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Sub Space D DSK Design and Publishing Instructions</w:t>
      </w:r>
    </w:p>
    <w:p>
      <w:pPr>
        <w:spacing w:after="360"/>
      </w:pPr>
      <w:r>
        <w:rPr>
          <w:color w:val="2D2D2D"/>
          <w:sz w:val="26"/>
        </w:rPr>
        <w:t>Green Tank machine readable preservation modular observation and reconstruction specification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232"/>
            <w:shd w:fill="243447"/>
            <w:tcMar>
              <w:top w:w="110" w:type="dxa"/>
              <w:start w:w="125" w:type="dxa"/>
              <w:bottom w:w="110" w:type="dxa"/>
              <w:end w:w="125" w:type="dxa"/>
            </w:tcMar>
            <w:vAlign w:val="center"/>
          </w:tcPr>
          <w:p>
            <w:pPr>
              <w:spacing w:after="0"/>
              <w:jc w:val="left"/>
            </w:pPr>
            <w:r>
              <w:rPr>
                <w:b/>
                <w:color w:val="FFFFFF"/>
                <w:sz w:val="19"/>
              </w:rPr>
              <w:t>Document field</w:t>
            </w:r>
          </w:p>
        </w:tc>
        <w:tc>
          <w:tcPr>
            <w:tcW w:type="dxa" w:w="7344"/>
            <w:shd w:fill="243447"/>
            <w:tcMar>
              <w:top w:w="110" w:type="dxa"/>
              <w:start w:w="125" w:type="dxa"/>
              <w:bottom w:w="110" w:type="dxa"/>
              <w:end w:w="125" w:type="dxa"/>
            </w:tcMar>
            <w:vAlign w:val="center"/>
          </w:tcPr>
          <w:p>
            <w:pPr>
              <w:spacing w:after="0"/>
              <w:jc w:val="left"/>
            </w:pPr>
            <w:r>
              <w:rPr>
                <w:b/>
                <w:color w:val="FFFFFF"/>
                <w:sz w:val="19"/>
              </w:rPr>
              <w:t>Value</w:t>
            </w:r>
          </w:p>
        </w:tc>
      </w:tr>
      <w:tr>
        <w:trPr>
          <w:cantSplit/>
        </w:trPr>
        <w:tc>
          <w:tcPr>
            <w:tcW w:type="dxa" w:w="2232"/>
            <w:tcMar>
              <w:top w:w="110" w:type="dxa"/>
              <w:start w:w="125" w:type="dxa"/>
              <w:bottom w:w="110" w:type="dxa"/>
              <w:end w:w="125" w:type="dxa"/>
            </w:tcMar>
            <w:vAlign w:val="center"/>
          </w:tcPr>
          <w:p>
            <w:pPr>
              <w:spacing w:after="0"/>
            </w:pPr>
            <w:r>
              <w:rPr>
                <w:sz w:val="18"/>
              </w:rPr>
              <w:t>Purpose</w:t>
            </w:r>
          </w:p>
        </w:tc>
        <w:tc>
          <w:tcPr>
            <w:tcW w:type="dxa" w:w="7344"/>
            <w:tcMar>
              <w:top w:w="110" w:type="dxa"/>
              <w:start w:w="125" w:type="dxa"/>
              <w:bottom w:w="110" w:type="dxa"/>
              <w:end w:w="125" w:type="dxa"/>
            </w:tcMar>
            <w:vAlign w:val="center"/>
          </w:tcPr>
          <w:p>
            <w:pPr>
              <w:spacing w:after="0"/>
            </w:pPr>
            <w:r>
              <w:rPr>
                <w:sz w:val="18"/>
              </w:rPr>
              <w:t>Implementation specification for creating and maintaining AI Sub Space and its D-DSK data disk</w:t>
            </w:r>
          </w:p>
        </w:tc>
      </w:tr>
      <w:tr>
        <w:trPr>
          <w:cantSplit/>
        </w:trPr>
        <w:tc>
          <w:tcPr>
            <w:tcW w:type="dxa" w:w="2232"/>
            <w:shd w:fill="F4F7FA"/>
            <w:tcMar>
              <w:top w:w="110" w:type="dxa"/>
              <w:start w:w="125" w:type="dxa"/>
              <w:bottom w:w="110" w:type="dxa"/>
              <w:end w:w="125" w:type="dxa"/>
            </w:tcMar>
            <w:vAlign w:val="center"/>
          </w:tcPr>
          <w:p>
            <w:pPr>
              <w:spacing w:after="0"/>
            </w:pPr>
            <w:r>
              <w:rPr>
                <w:sz w:val="18"/>
              </w:rPr>
              <w:t>Audience</w:t>
            </w:r>
          </w:p>
        </w:tc>
        <w:tc>
          <w:tcPr>
            <w:tcW w:type="dxa" w:w="7344"/>
            <w:shd w:fill="F4F7FA"/>
            <w:tcMar>
              <w:top w:w="110" w:type="dxa"/>
              <w:start w:w="125" w:type="dxa"/>
              <w:bottom w:w="110" w:type="dxa"/>
              <w:end w:w="125" w:type="dxa"/>
            </w:tcMar>
            <w:vAlign w:val="center"/>
          </w:tcPr>
          <w:p>
            <w:pPr>
              <w:spacing w:after="0"/>
            </w:pPr>
            <w:r>
              <w:rPr>
                <w:sz w:val="18"/>
              </w:rPr>
              <w:t>Green Tank publishing workflow maintainers developers archivists and machine interface implementers</w:t>
            </w:r>
          </w:p>
        </w:tc>
      </w:tr>
      <w:tr>
        <w:trPr>
          <w:cantSplit/>
        </w:trPr>
        <w:tc>
          <w:tcPr>
            <w:tcW w:type="dxa" w:w="2232"/>
            <w:tcMar>
              <w:top w:w="110" w:type="dxa"/>
              <w:start w:w="125" w:type="dxa"/>
              <w:bottom w:w="110" w:type="dxa"/>
              <w:end w:w="125" w:type="dxa"/>
            </w:tcMar>
            <w:vAlign w:val="center"/>
          </w:tcPr>
          <w:p>
            <w:pPr>
              <w:spacing w:after="0"/>
            </w:pPr>
            <w:r>
              <w:rPr>
                <w:sz w:val="18"/>
              </w:rPr>
              <w:t>Authority</w:t>
            </w:r>
          </w:p>
        </w:tc>
        <w:tc>
          <w:tcPr>
            <w:tcW w:type="dxa" w:w="7344"/>
            <w:tcMar>
              <w:top w:w="110" w:type="dxa"/>
              <w:start w:w="125" w:type="dxa"/>
              <w:bottom w:w="110" w:type="dxa"/>
              <w:end w:w="125" w:type="dxa"/>
            </w:tcMar>
            <w:vAlign w:val="center"/>
          </w:tcPr>
          <w:p>
            <w:pPr>
              <w:spacing w:after="0"/>
            </w:pPr>
            <w:r>
              <w:rPr>
                <w:sz w:val="18"/>
              </w:rPr>
              <w:t>The canonical Green Tank development site remains the authoritative source</w:t>
            </w:r>
          </w:p>
        </w:tc>
      </w:tr>
      <w:tr>
        <w:trPr>
          <w:cantSplit/>
        </w:trPr>
        <w:tc>
          <w:tcPr>
            <w:tcW w:type="dxa" w:w="2232"/>
            <w:shd w:fill="F4F7FA"/>
            <w:tcMar>
              <w:top w:w="110" w:type="dxa"/>
              <w:start w:w="125" w:type="dxa"/>
              <w:bottom w:w="110" w:type="dxa"/>
              <w:end w:w="125" w:type="dxa"/>
            </w:tcMar>
            <w:vAlign w:val="center"/>
          </w:tcPr>
          <w:p>
            <w:pPr>
              <w:spacing w:after="0"/>
            </w:pPr>
            <w:r>
              <w:rPr>
                <w:sz w:val="18"/>
              </w:rPr>
              <w:t>Status</w:t>
            </w:r>
          </w:p>
        </w:tc>
        <w:tc>
          <w:tcPr>
            <w:tcW w:type="dxa" w:w="7344"/>
            <w:shd w:fill="F4F7FA"/>
            <w:tcMar>
              <w:top w:w="110" w:type="dxa"/>
              <w:start w:w="125" w:type="dxa"/>
              <w:bottom w:w="110" w:type="dxa"/>
              <w:end w:w="125" w:type="dxa"/>
            </w:tcMar>
            <w:vAlign w:val="center"/>
          </w:tcPr>
          <w:p>
            <w:pPr>
              <w:spacing w:after="0"/>
            </w:pPr>
            <w:r>
              <w:rPr>
                <w:sz w:val="18"/>
              </w:rPr>
              <w:t>Design and publishing instruction</w:t>
            </w:r>
          </w:p>
        </w:tc>
      </w:tr>
      <w:tr>
        <w:trPr>
          <w:cantSplit/>
        </w:trPr>
        <w:tc>
          <w:tcPr>
            <w:tcW w:type="dxa" w:w="2232"/>
            <w:tcMar>
              <w:top w:w="110" w:type="dxa"/>
              <w:start w:w="125" w:type="dxa"/>
              <w:bottom w:w="110" w:type="dxa"/>
              <w:end w:w="125" w:type="dxa"/>
            </w:tcMar>
            <w:vAlign w:val="center"/>
          </w:tcPr>
          <w:p>
            <w:pPr>
              <w:spacing w:after="0"/>
            </w:pPr>
            <w:r>
              <w:rPr>
                <w:sz w:val="18"/>
              </w:rPr>
              <w:t>Scope</w:t>
            </w:r>
          </w:p>
        </w:tc>
        <w:tc>
          <w:tcPr>
            <w:tcW w:type="dxa" w:w="7344"/>
            <w:tcMar>
              <w:top w:w="110" w:type="dxa"/>
              <w:start w:w="125" w:type="dxa"/>
              <w:bottom w:w="110" w:type="dxa"/>
              <w:end w:w="125" w:type="dxa"/>
            </w:tcMar>
            <w:vAlign w:val="center"/>
          </w:tcPr>
          <w:p>
            <w:pPr>
              <w:spacing w:after="0"/>
            </w:pPr>
            <w:r>
              <w:rPr>
                <w:sz w:val="18"/>
              </w:rPr>
              <w:t>Content architecture data preservation modular processing reference access reconstruction integrity and acceptance testing</w:t>
            </w:r>
          </w:p>
        </w:tc>
      </w:tr>
    </w:tbl>
    <w:p>
      <w:pPr>
        <w:spacing w:after="0"/>
      </w:pPr>
    </w:p>
    <w:p>
      <w:pPr>
        <w:spacing w:before="240" w:after="140"/>
      </w:pPr>
      <w:r>
        <w:rPr>
          <w:b/>
          <w:sz w:val="23"/>
        </w:rPr>
        <w:t>Required result</w:t>
      </w:r>
    </w:p>
    <w:p>
      <w:r>
        <w:t>AI Sub Space must publish a read-only D-DSK representation of the complete public Green Tank website. D-DSK must preserve the original publication exactly, express every meaningful subject as an independently addressable module, support observation and bounded processing of any part or the whole, and provide enough verified information to reconstruct the site elsewhere.</w:t>
      </w:r>
    </w:p>
    <w:p>
      <w:r>
        <w:br w:type="page"/>
      </w:r>
    </w:p>
    <w:p>
      <w:pPr>
        <w:pStyle w:val="Heading1"/>
        <w:keepNext/>
      </w:pPr>
      <w:r>
        <w:t>1 Purpose and required outcome</w:t>
      </w:r>
    </w:p>
    <w:p>
      <w:r>
        <w:t>This document tells the publishing workflow what it must produce whenever the canonical Green Tank development site is published. The required output is called D-DSK, meaning data disk. D-DSK sits inside AI Sub Space and provides a stable machine-facing form of the public website.</w:t>
      </w:r>
    </w:p>
    <w:p>
      <w:r>
        <w:t>D-DSK serves two purposes at the same time. It is an exact preservation package for the original public site, and it is a modular data laboratory in which an observer can inspect, reference, compare, combine and process subjects without changing the authoritative source.</w:t>
      </w:r>
    </w:p>
    <w:p>
      <w:pPr>
        <w:pStyle w:val="Heading2"/>
        <w:keepNext/>
      </w:pPr>
      <w:r>
        <w:t>1.1 Outcome statement</w:t>
      </w:r>
    </w:p>
    <w:p>
      <w:r>
        <w:t>A conforming D-DSK release allows a human or machine observer to obtain the whole public Green Tank publication or a precise part of it, verify its integrity, understand the identity and relationships of its subjects, examine those subjects through declared frames, and reconstruct an equivalent site in another environment.</w:t>
      </w:r>
    </w:p>
    <w:p>
      <w:pPr>
        <w:pStyle w:val="Heading2"/>
        <w:keepNext/>
      </w:pPr>
      <w:r>
        <w:t>1.2 Publishing boundary</w:t>
      </w:r>
    </w:p>
    <w:p>
      <w:pPr>
        <w:spacing w:after="70" w:line="259" w:lineRule="auto"/>
        <w:ind w:left="490" w:hanging="288"/>
      </w:pPr>
      <w:r>
        <w:t xml:space="preserve">- </w:t>
      </w:r>
      <w:r>
        <w:t>This specification does not determine where the QR code or AI Sub Space link appears in the visible website design.</w:t>
      </w:r>
    </w:p>
    <w:p>
      <w:pPr>
        <w:spacing w:after="70" w:line="259" w:lineRule="auto"/>
        <w:ind w:left="490" w:hanging="288"/>
      </w:pPr>
      <w:r>
        <w:t xml:space="preserve">- </w:t>
      </w:r>
      <w:r>
        <w:t>The publishing side may choose the visual placement, provided the machine entry address is stable and publicly reachable.</w:t>
      </w:r>
    </w:p>
    <w:p>
      <w:pPr>
        <w:spacing w:after="70" w:line="259" w:lineRule="auto"/>
        <w:ind w:left="490" w:hanging="288"/>
      </w:pPr>
      <w:r>
        <w:t xml:space="preserve">- </w:t>
      </w:r>
      <w:r>
        <w:t>The canonical development site remains the authority. The mirror receives the same approved D-DSK release during the normal mirror update.</w:t>
      </w:r>
    </w:p>
    <w:p>
      <w:pPr>
        <w:pStyle w:val="Heading1"/>
        <w:keepNext/>
      </w:pPr>
      <w:r>
        <w:t>2 Normative language and definitions</w:t>
      </w:r>
    </w:p>
    <w:p>
      <w:r>
        <w:t>The words must, must not, should and may state the strength of each requirement.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088"/>
            <w:shd w:fill="243447"/>
            <w:tcMar>
              <w:top w:w="110" w:type="dxa"/>
              <w:start w:w="125" w:type="dxa"/>
              <w:bottom w:w="110" w:type="dxa"/>
              <w:end w:w="125" w:type="dxa"/>
            </w:tcMar>
            <w:vAlign w:val="center"/>
          </w:tcPr>
          <w:p>
            <w:pPr>
              <w:spacing w:after="0"/>
              <w:jc w:val="left"/>
            </w:pPr>
            <w:r>
              <w:rPr>
                <w:b/>
                <w:color w:val="FFFFFF"/>
                <w:sz w:val="18"/>
              </w:rPr>
              <w:t>Term</w:t>
            </w:r>
          </w:p>
        </w:tc>
        <w:tc>
          <w:tcPr>
            <w:tcW w:type="dxa" w:w="7488"/>
            <w:shd w:fill="243447"/>
            <w:tcMar>
              <w:top w:w="110" w:type="dxa"/>
              <w:start w:w="125" w:type="dxa"/>
              <w:bottom w:w="110" w:type="dxa"/>
              <w:end w:w="125" w:type="dxa"/>
            </w:tcMar>
            <w:vAlign w:val="center"/>
          </w:tcPr>
          <w:p>
            <w:pPr>
              <w:spacing w:after="0"/>
              <w:jc w:val="left"/>
            </w:pPr>
            <w:r>
              <w:rPr>
                <w:b/>
                <w:color w:val="FFFFFF"/>
                <w:sz w:val="18"/>
              </w:rPr>
              <w:t>Meaning</w:t>
            </w:r>
          </w:p>
        </w:tc>
      </w:tr>
      <w:tr>
        <w:trPr>
          <w:cantSplit/>
        </w:trPr>
        <w:tc>
          <w:tcPr>
            <w:tcW w:type="dxa" w:w="2088"/>
            <w:tcMar>
              <w:top w:w="110" w:type="dxa"/>
              <w:start w:w="125" w:type="dxa"/>
              <w:bottom w:w="110" w:type="dxa"/>
              <w:end w:w="125" w:type="dxa"/>
            </w:tcMar>
            <w:vAlign w:val="center"/>
          </w:tcPr>
          <w:p>
            <w:pPr>
              <w:spacing w:after="0"/>
            </w:pPr>
            <w:r>
              <w:rPr>
                <w:sz w:val="17"/>
              </w:rPr>
              <w:t>AI Sub Space</w:t>
            </w:r>
          </w:p>
        </w:tc>
        <w:tc>
          <w:tcPr>
            <w:tcW w:type="dxa" w:w="7488"/>
            <w:tcMar>
              <w:top w:w="110" w:type="dxa"/>
              <w:start w:w="125" w:type="dxa"/>
              <w:bottom w:w="110" w:type="dxa"/>
              <w:end w:w="125" w:type="dxa"/>
            </w:tcMar>
            <w:vAlign w:val="center"/>
          </w:tcPr>
          <w:p>
            <w:pPr>
              <w:spacing w:after="0"/>
            </w:pPr>
            <w:r>
              <w:rPr>
                <w:sz w:val="17"/>
              </w:rPr>
              <w:t>The machine-facing public area that exposes D-DSK for reading downloading verification and reconstruction.</w:t>
            </w:r>
          </w:p>
        </w:tc>
      </w:tr>
      <w:tr>
        <w:trPr>
          <w:cantSplit/>
        </w:trPr>
        <w:tc>
          <w:tcPr>
            <w:tcW w:type="dxa" w:w="2088"/>
            <w:shd w:fill="F4F7FA"/>
            <w:tcMar>
              <w:top w:w="110" w:type="dxa"/>
              <w:start w:w="125" w:type="dxa"/>
              <w:bottom w:w="110" w:type="dxa"/>
              <w:end w:w="125" w:type="dxa"/>
            </w:tcMar>
            <w:vAlign w:val="center"/>
          </w:tcPr>
          <w:p>
            <w:pPr>
              <w:spacing w:after="0"/>
            </w:pPr>
            <w:r>
              <w:rPr>
                <w:sz w:val="17"/>
              </w:rPr>
              <w:t>D-DSK</w:t>
            </w:r>
          </w:p>
        </w:tc>
        <w:tc>
          <w:tcPr>
            <w:tcW w:type="dxa" w:w="7488"/>
            <w:shd w:fill="F4F7FA"/>
            <w:tcMar>
              <w:top w:w="110" w:type="dxa"/>
              <w:start w:w="125" w:type="dxa"/>
              <w:bottom w:w="110" w:type="dxa"/>
              <w:end w:w="125" w:type="dxa"/>
            </w:tcMar>
            <w:vAlign w:val="center"/>
          </w:tcPr>
          <w:p>
            <w:pPr>
              <w:spacing w:after="0"/>
            </w:pPr>
            <w:r>
              <w:rPr>
                <w:sz w:val="17"/>
              </w:rPr>
              <w:t>The versioned data disk containing the exact public source preservation layer and all derived modular representations.</w:t>
            </w:r>
          </w:p>
        </w:tc>
      </w:tr>
      <w:tr>
        <w:trPr>
          <w:cantSplit/>
        </w:trPr>
        <w:tc>
          <w:tcPr>
            <w:tcW w:type="dxa" w:w="2088"/>
            <w:tcMar>
              <w:top w:w="110" w:type="dxa"/>
              <w:start w:w="125" w:type="dxa"/>
              <w:bottom w:w="110" w:type="dxa"/>
              <w:end w:w="125" w:type="dxa"/>
            </w:tcMar>
            <w:vAlign w:val="center"/>
          </w:tcPr>
          <w:p>
            <w:pPr>
              <w:spacing w:after="0"/>
            </w:pPr>
            <w:r>
              <w:rPr>
                <w:sz w:val="17"/>
              </w:rPr>
              <w:t>Canonical site</w:t>
            </w:r>
          </w:p>
        </w:tc>
        <w:tc>
          <w:tcPr>
            <w:tcW w:type="dxa" w:w="7488"/>
            <w:tcMar>
              <w:top w:w="110" w:type="dxa"/>
              <w:start w:w="125" w:type="dxa"/>
              <w:bottom w:w="110" w:type="dxa"/>
              <w:end w:w="125" w:type="dxa"/>
            </w:tcMar>
            <w:vAlign w:val="center"/>
          </w:tcPr>
          <w:p>
            <w:pPr>
              <w:spacing w:after="0"/>
            </w:pPr>
            <w:r>
              <w:rPr>
                <w:sz w:val="17"/>
              </w:rPr>
              <w:t>The authoritative Green Tank development publication from which a D-DSK release is generated.</w:t>
            </w:r>
          </w:p>
        </w:tc>
      </w:tr>
      <w:tr>
        <w:trPr>
          <w:cantSplit/>
        </w:trPr>
        <w:tc>
          <w:tcPr>
            <w:tcW w:type="dxa" w:w="2088"/>
            <w:shd w:fill="F4F7FA"/>
            <w:tcMar>
              <w:top w:w="110" w:type="dxa"/>
              <w:start w:w="125" w:type="dxa"/>
              <w:bottom w:w="110" w:type="dxa"/>
              <w:end w:w="125" w:type="dxa"/>
            </w:tcMar>
            <w:vAlign w:val="center"/>
          </w:tcPr>
          <w:p>
            <w:pPr>
              <w:spacing w:after="0"/>
            </w:pPr>
            <w:r>
              <w:rPr>
                <w:sz w:val="17"/>
              </w:rPr>
              <w:t>Original source layer</w:t>
            </w:r>
          </w:p>
        </w:tc>
        <w:tc>
          <w:tcPr>
            <w:tcW w:type="dxa" w:w="7488"/>
            <w:shd w:fill="F4F7FA"/>
            <w:tcMar>
              <w:top w:w="110" w:type="dxa"/>
              <w:start w:w="125" w:type="dxa"/>
              <w:bottom w:w="110" w:type="dxa"/>
              <w:end w:w="125" w:type="dxa"/>
            </w:tcMar>
            <w:vAlign w:val="center"/>
          </w:tcPr>
          <w:p>
            <w:pPr>
              <w:spacing w:after="0"/>
            </w:pPr>
            <w:r>
              <w:rPr>
                <w:sz w:val="17"/>
              </w:rPr>
              <w:t>Byte-preserved public files and faithful captured representations that derived processing cannot overwrite.</w:t>
            </w:r>
          </w:p>
        </w:tc>
      </w:tr>
      <w:tr>
        <w:trPr>
          <w:cantSplit/>
        </w:trPr>
        <w:tc>
          <w:tcPr>
            <w:tcW w:type="dxa" w:w="2088"/>
            <w:tcMar>
              <w:top w:w="110" w:type="dxa"/>
              <w:start w:w="125" w:type="dxa"/>
              <w:bottom w:w="110" w:type="dxa"/>
              <w:end w:w="125" w:type="dxa"/>
            </w:tcMar>
            <w:vAlign w:val="center"/>
          </w:tcPr>
          <w:p>
            <w:pPr>
              <w:spacing w:after="0"/>
            </w:pPr>
            <w:r>
              <w:rPr>
                <w:sz w:val="17"/>
              </w:rPr>
              <w:t>Module</w:t>
            </w:r>
          </w:p>
        </w:tc>
        <w:tc>
          <w:tcPr>
            <w:tcW w:type="dxa" w:w="7488"/>
            <w:tcMar>
              <w:top w:w="110" w:type="dxa"/>
              <w:start w:w="125" w:type="dxa"/>
              <w:bottom w:w="110" w:type="dxa"/>
              <w:end w:w="125" w:type="dxa"/>
            </w:tcMar>
            <w:vAlign w:val="center"/>
          </w:tcPr>
          <w:p>
            <w:pPr>
              <w:spacing w:after="0"/>
            </w:pPr>
            <w:r>
              <w:rPr>
                <w:sz w:val="17"/>
              </w:rPr>
              <w:t>An independently addressable subject or functional component with identity source relations state time capabilities constraints and provenance.</w:t>
            </w:r>
          </w:p>
        </w:tc>
      </w:tr>
      <w:tr>
        <w:trPr>
          <w:cantSplit/>
        </w:trPr>
        <w:tc>
          <w:tcPr>
            <w:tcW w:type="dxa" w:w="2088"/>
            <w:shd w:fill="F4F7FA"/>
            <w:tcMar>
              <w:top w:w="110" w:type="dxa"/>
              <w:start w:w="125" w:type="dxa"/>
              <w:bottom w:w="110" w:type="dxa"/>
              <w:end w:w="125" w:type="dxa"/>
            </w:tcMar>
            <w:vAlign w:val="center"/>
          </w:tcPr>
          <w:p>
            <w:pPr>
              <w:spacing w:after="0"/>
            </w:pPr>
            <w:r>
              <w:rPr>
                <w:sz w:val="17"/>
              </w:rPr>
              <w:t>Observer</w:t>
            </w:r>
          </w:p>
        </w:tc>
        <w:tc>
          <w:tcPr>
            <w:tcW w:type="dxa" w:w="7488"/>
            <w:shd w:fill="F4F7FA"/>
            <w:tcMar>
              <w:top w:w="110" w:type="dxa"/>
              <w:start w:w="125" w:type="dxa"/>
              <w:bottom w:w="110" w:type="dxa"/>
              <w:end w:w="125" w:type="dxa"/>
            </w:tcMar>
            <w:vAlign w:val="center"/>
          </w:tcPr>
          <w:p>
            <w:pPr>
              <w:spacing w:after="0"/>
            </w:pPr>
            <w:r>
              <w:rPr>
                <w:sz w:val="17"/>
              </w:rPr>
              <w:t>A human machine or AI system that reads or processes D-DSK.</w:t>
            </w:r>
          </w:p>
        </w:tc>
      </w:tr>
      <w:tr>
        <w:trPr>
          <w:cantSplit/>
        </w:trPr>
        <w:tc>
          <w:tcPr>
            <w:tcW w:type="dxa" w:w="2088"/>
            <w:tcMar>
              <w:top w:w="110" w:type="dxa"/>
              <w:start w:w="125" w:type="dxa"/>
              <w:bottom w:w="110" w:type="dxa"/>
              <w:end w:w="125" w:type="dxa"/>
            </w:tcMar>
            <w:vAlign w:val="center"/>
          </w:tcPr>
          <w:p>
            <w:pPr>
              <w:spacing w:after="0"/>
            </w:pPr>
            <w:r>
              <w:rPr>
                <w:sz w:val="17"/>
              </w:rPr>
              <w:t>Probe</w:t>
            </w:r>
          </w:p>
        </w:tc>
        <w:tc>
          <w:tcPr>
            <w:tcW w:type="dxa" w:w="7488"/>
            <w:tcMar>
              <w:top w:w="110" w:type="dxa"/>
              <w:start w:w="125" w:type="dxa"/>
              <w:bottom w:w="110" w:type="dxa"/>
              <w:end w:w="125" w:type="dxa"/>
            </w:tcMar>
            <w:vAlign w:val="center"/>
          </w:tcPr>
          <w:p>
            <w:pPr>
              <w:spacing w:after="0"/>
            </w:pPr>
            <w:r>
              <w:rPr>
                <w:sz w:val="17"/>
              </w:rPr>
              <w:t>A read-only query comparison transformation or measurement applied to one or more modules.</w:t>
            </w:r>
          </w:p>
        </w:tc>
      </w:tr>
      <w:tr>
        <w:trPr>
          <w:cantSplit/>
        </w:trPr>
        <w:tc>
          <w:tcPr>
            <w:tcW w:type="dxa" w:w="2088"/>
            <w:shd w:fill="F4F7FA"/>
            <w:tcMar>
              <w:top w:w="110" w:type="dxa"/>
              <w:start w:w="125" w:type="dxa"/>
              <w:bottom w:w="110" w:type="dxa"/>
              <w:end w:w="125" w:type="dxa"/>
            </w:tcMar>
            <w:vAlign w:val="center"/>
          </w:tcPr>
          <w:p>
            <w:pPr>
              <w:spacing w:after="0"/>
            </w:pPr>
            <w:r>
              <w:rPr>
                <w:sz w:val="17"/>
              </w:rPr>
              <w:t>Port</w:t>
            </w:r>
          </w:p>
        </w:tc>
        <w:tc>
          <w:tcPr>
            <w:tcW w:type="dxa" w:w="7488"/>
            <w:shd w:fill="F4F7FA"/>
            <w:tcMar>
              <w:top w:w="110" w:type="dxa"/>
              <w:start w:w="125" w:type="dxa"/>
              <w:bottom w:w="110" w:type="dxa"/>
              <w:end w:w="125" w:type="dxa"/>
            </w:tcMar>
            <w:vAlign w:val="center"/>
          </w:tcPr>
          <w:p>
            <w:pPr>
              <w:spacing w:after="0"/>
            </w:pPr>
            <w:r>
              <w:rPr>
                <w:sz w:val="17"/>
              </w:rPr>
              <w:t>A declared input or output interface through which compatible modules or processing steps can be connected.</w:t>
            </w:r>
          </w:p>
        </w:tc>
      </w:tr>
      <w:tr>
        <w:trPr>
          <w:cantSplit/>
        </w:trPr>
        <w:tc>
          <w:tcPr>
            <w:tcW w:type="dxa" w:w="2088"/>
            <w:tcMar>
              <w:top w:w="110" w:type="dxa"/>
              <w:start w:w="125" w:type="dxa"/>
              <w:bottom w:w="110" w:type="dxa"/>
              <w:end w:w="125" w:type="dxa"/>
            </w:tcMar>
            <w:vAlign w:val="center"/>
          </w:tcPr>
          <w:p>
            <w:pPr>
              <w:spacing w:after="0"/>
            </w:pPr>
            <w:r>
              <w:rPr>
                <w:sz w:val="17"/>
              </w:rPr>
              <w:t>Frame</w:t>
            </w:r>
          </w:p>
        </w:tc>
        <w:tc>
          <w:tcPr>
            <w:tcW w:type="dxa" w:w="7488"/>
            <w:tcMar>
              <w:top w:w="110" w:type="dxa"/>
              <w:start w:w="125" w:type="dxa"/>
              <w:bottom w:w="110" w:type="dxa"/>
              <w:end w:w="125" w:type="dxa"/>
            </w:tcMar>
            <w:vAlign w:val="center"/>
          </w:tcPr>
          <w:p>
            <w:pPr>
              <w:spacing w:after="0"/>
            </w:pPr>
            <w:r>
              <w:rPr>
                <w:sz w:val="17"/>
              </w:rPr>
              <w:t>A declared viewpoint such as person event organisation place time evidence authority or system relationship.</w:t>
            </w:r>
          </w:p>
        </w:tc>
      </w:tr>
      <w:tr>
        <w:trPr>
          <w:cantSplit/>
        </w:trPr>
        <w:tc>
          <w:tcPr>
            <w:tcW w:type="dxa" w:w="2088"/>
            <w:shd w:fill="F4F7FA"/>
            <w:tcMar>
              <w:top w:w="110" w:type="dxa"/>
              <w:start w:w="125" w:type="dxa"/>
              <w:bottom w:w="110" w:type="dxa"/>
              <w:end w:w="125" w:type="dxa"/>
            </w:tcMar>
            <w:vAlign w:val="center"/>
          </w:tcPr>
          <w:p>
            <w:pPr>
              <w:spacing w:after="0"/>
            </w:pPr>
            <w:r>
              <w:rPr>
                <w:sz w:val="17"/>
              </w:rPr>
              <w:t>Reconstruction formula</w:t>
            </w:r>
          </w:p>
        </w:tc>
        <w:tc>
          <w:tcPr>
            <w:tcW w:type="dxa" w:w="7488"/>
            <w:shd w:fill="F4F7FA"/>
            <w:tcMar>
              <w:top w:w="110" w:type="dxa"/>
              <w:start w:w="125" w:type="dxa"/>
              <w:bottom w:w="110" w:type="dxa"/>
              <w:end w:w="125" w:type="dxa"/>
            </w:tcMar>
            <w:vAlign w:val="center"/>
          </w:tcPr>
          <w:p>
            <w:pPr>
              <w:spacing w:after="0"/>
            </w:pPr>
            <w:r>
              <w:rPr>
                <w:sz w:val="17"/>
              </w:rPr>
              <w:t>The files and instructions required to reproduce an equivalent functioning publication.</w:t>
            </w:r>
          </w:p>
        </w:tc>
      </w:tr>
      <w:tr>
        <w:trPr>
          <w:cantSplit/>
        </w:trPr>
        <w:tc>
          <w:tcPr>
            <w:tcW w:type="dxa" w:w="2088"/>
            <w:tcMar>
              <w:top w:w="110" w:type="dxa"/>
              <w:start w:w="125" w:type="dxa"/>
              <w:bottom w:w="110" w:type="dxa"/>
              <w:end w:w="125" w:type="dxa"/>
            </w:tcMar>
            <w:vAlign w:val="center"/>
          </w:tcPr>
          <w:p>
            <w:pPr>
              <w:spacing w:after="0"/>
            </w:pPr>
            <w:r>
              <w:rPr>
                <w:sz w:val="17"/>
              </w:rPr>
              <w:t>Reference</w:t>
            </w:r>
          </w:p>
        </w:tc>
        <w:tc>
          <w:tcPr>
            <w:tcW w:type="dxa" w:w="7488"/>
            <w:tcMar>
              <w:top w:w="110" w:type="dxa"/>
              <w:start w:w="125" w:type="dxa"/>
              <w:bottom w:w="110" w:type="dxa"/>
              <w:end w:w="125" w:type="dxa"/>
            </w:tcMar>
            <w:vAlign w:val="center"/>
          </w:tcPr>
          <w:p>
            <w:pPr>
              <w:spacing w:after="0"/>
            </w:pPr>
            <w:r>
              <w:rPr>
                <w:sz w:val="17"/>
              </w:rPr>
              <w:t>A constrained pointer to exact content using a canonical URI version object identifier section identifier and hash.</w:t>
            </w:r>
          </w:p>
        </w:tc>
      </w:tr>
    </w:tbl>
    <w:p>
      <w:pPr>
        <w:spacing w:after="0"/>
      </w:pPr>
    </w:p>
    <w:p>
      <w:pPr>
        <w:pStyle w:val="Heading1"/>
        <w:keepNext/>
      </w:pPr>
      <w:r>
        <w:t>3 Governing design principles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376"/>
            <w:shd w:fill="243447"/>
            <w:tcMar>
              <w:top w:w="110" w:type="dxa"/>
              <w:start w:w="125" w:type="dxa"/>
              <w:bottom w:w="110" w:type="dxa"/>
              <w:end w:w="125" w:type="dxa"/>
            </w:tcMar>
            <w:vAlign w:val="center"/>
          </w:tcPr>
          <w:p>
            <w:pPr>
              <w:spacing w:after="0"/>
              <w:jc w:val="left"/>
            </w:pPr>
            <w:r>
              <w:rPr>
                <w:b/>
                <w:color w:val="FFFFFF"/>
                <w:sz w:val="18"/>
              </w:rPr>
              <w:t>Principle</w:t>
            </w:r>
          </w:p>
        </w:tc>
        <w:tc>
          <w:tcPr>
            <w:tcW w:type="dxa" w:w="7200"/>
            <w:shd w:fill="243447"/>
            <w:tcMar>
              <w:top w:w="110" w:type="dxa"/>
              <w:start w:w="125" w:type="dxa"/>
              <w:bottom w:w="110" w:type="dxa"/>
              <w:end w:w="125" w:type="dxa"/>
            </w:tcMar>
            <w:vAlign w:val="center"/>
          </w:tcPr>
          <w:p>
            <w:pPr>
              <w:spacing w:after="0"/>
              <w:jc w:val="left"/>
            </w:pPr>
            <w:r>
              <w:rPr>
                <w:b/>
                <w:color w:val="FFFFFF"/>
                <w:sz w:val="18"/>
              </w:rPr>
              <w:t>Implementation meaning</w:t>
            </w:r>
          </w:p>
        </w:tc>
      </w:tr>
      <w:tr>
        <w:trPr>
          <w:cantSplit/>
        </w:trPr>
        <w:tc>
          <w:tcPr>
            <w:tcW w:type="dxa" w:w="2376"/>
            <w:tcMar>
              <w:top w:w="110" w:type="dxa"/>
              <w:start w:w="125" w:type="dxa"/>
              <w:bottom w:w="110" w:type="dxa"/>
              <w:end w:w="125" w:type="dxa"/>
            </w:tcMar>
            <w:vAlign w:val="center"/>
          </w:tcPr>
          <w:p>
            <w:pPr>
              <w:spacing w:after="0"/>
            </w:pPr>
            <w:r>
              <w:rPr>
                <w:sz w:val="17"/>
              </w:rPr>
              <w:t>Source preservation</w:t>
            </w:r>
          </w:p>
        </w:tc>
        <w:tc>
          <w:tcPr>
            <w:tcW w:type="dxa" w:w="7200"/>
            <w:tcMar>
              <w:top w:w="110" w:type="dxa"/>
              <w:start w:w="125" w:type="dxa"/>
              <w:bottom w:w="110" w:type="dxa"/>
              <w:end w:w="125" w:type="dxa"/>
            </w:tcMar>
            <w:vAlign w:val="center"/>
          </w:tcPr>
          <w:p>
            <w:pPr>
              <w:spacing w:after="0"/>
            </w:pPr>
            <w:r>
              <w:rPr>
                <w:sz w:val="17"/>
              </w:rPr>
              <w:t>The original public data must remain available exactly as published. A derived description or interpretation must never replace it.</w:t>
            </w:r>
          </w:p>
        </w:tc>
      </w:tr>
      <w:tr>
        <w:trPr>
          <w:cantSplit/>
        </w:trPr>
        <w:tc>
          <w:tcPr>
            <w:tcW w:type="dxa" w:w="2376"/>
            <w:shd w:fill="F4F7FA"/>
            <w:tcMar>
              <w:top w:w="110" w:type="dxa"/>
              <w:start w:w="125" w:type="dxa"/>
              <w:bottom w:w="110" w:type="dxa"/>
              <w:end w:w="125" w:type="dxa"/>
            </w:tcMar>
            <w:vAlign w:val="center"/>
          </w:tcPr>
          <w:p>
            <w:pPr>
              <w:spacing w:after="0"/>
            </w:pPr>
            <w:r>
              <w:rPr>
                <w:sz w:val="17"/>
              </w:rPr>
              <w:t>Derived separation</w:t>
            </w:r>
          </w:p>
        </w:tc>
        <w:tc>
          <w:tcPr>
            <w:tcW w:type="dxa" w:w="7200"/>
            <w:shd w:fill="F4F7FA"/>
            <w:tcMar>
              <w:top w:w="110" w:type="dxa"/>
              <w:start w:w="125" w:type="dxa"/>
              <w:bottom w:w="110" w:type="dxa"/>
              <w:end w:w="125" w:type="dxa"/>
            </w:tcMar>
            <w:vAlign w:val="center"/>
          </w:tcPr>
          <w:p>
            <w:pPr>
              <w:spacing w:after="0"/>
            </w:pPr>
            <w:r>
              <w:rPr>
                <w:sz w:val="17"/>
              </w:rPr>
              <w:t>Normalisation entity resolution semantic descriptions hypotheses and processing outputs must be stored separately and linked back to their sources.</w:t>
            </w:r>
          </w:p>
        </w:tc>
      </w:tr>
      <w:tr>
        <w:trPr>
          <w:cantSplit/>
        </w:trPr>
        <w:tc>
          <w:tcPr>
            <w:tcW w:type="dxa" w:w="2376"/>
            <w:tcMar>
              <w:top w:w="110" w:type="dxa"/>
              <w:start w:w="125" w:type="dxa"/>
              <w:bottom w:w="110" w:type="dxa"/>
              <w:end w:w="125" w:type="dxa"/>
            </w:tcMar>
            <w:vAlign w:val="center"/>
          </w:tcPr>
          <w:p>
            <w:pPr>
              <w:spacing w:after="0"/>
            </w:pPr>
            <w:r>
              <w:rPr>
                <w:sz w:val="17"/>
              </w:rPr>
              <w:t>Read-only publication</w:t>
            </w:r>
          </w:p>
        </w:tc>
        <w:tc>
          <w:tcPr>
            <w:tcW w:type="dxa" w:w="7200"/>
            <w:tcMar>
              <w:top w:w="110" w:type="dxa"/>
              <w:start w:w="125" w:type="dxa"/>
              <w:bottom w:w="110" w:type="dxa"/>
              <w:end w:w="125" w:type="dxa"/>
            </w:tcMar>
            <w:vAlign w:val="center"/>
          </w:tcPr>
          <w:p>
            <w:pPr>
              <w:spacing w:after="0"/>
            </w:pPr>
            <w:r>
              <w:rPr>
                <w:sz w:val="17"/>
              </w:rPr>
              <w:t>Visitors may retrieve reference verify and locally process data. They may not alter D-DSK or publish messages through it.</w:t>
            </w:r>
          </w:p>
        </w:tc>
      </w:tr>
      <w:tr>
        <w:trPr>
          <w:cantSplit/>
        </w:trPr>
        <w:tc>
          <w:tcPr>
            <w:tcW w:type="dxa" w:w="2376"/>
            <w:shd w:fill="F4F7FA"/>
            <w:tcMar>
              <w:top w:w="110" w:type="dxa"/>
              <w:start w:w="125" w:type="dxa"/>
              <w:bottom w:w="110" w:type="dxa"/>
              <w:end w:w="125" w:type="dxa"/>
            </w:tcMar>
            <w:vAlign w:val="center"/>
          </w:tcPr>
          <w:p>
            <w:pPr>
              <w:spacing w:after="0"/>
            </w:pPr>
            <w:r>
              <w:rPr>
                <w:sz w:val="17"/>
              </w:rPr>
              <w:t>Part and whole operation</w:t>
            </w:r>
          </w:p>
        </w:tc>
        <w:tc>
          <w:tcPr>
            <w:tcW w:type="dxa" w:w="7200"/>
            <w:shd w:fill="F4F7FA"/>
            <w:tcMar>
              <w:top w:w="110" w:type="dxa"/>
              <w:start w:w="125" w:type="dxa"/>
              <w:bottom w:w="110" w:type="dxa"/>
              <w:end w:w="125" w:type="dxa"/>
            </w:tcMar>
            <w:vAlign w:val="center"/>
          </w:tcPr>
          <w:p>
            <w:pPr>
              <w:spacing w:after="0"/>
            </w:pPr>
            <w:r>
              <w:rPr>
                <w:sz w:val="17"/>
              </w:rPr>
              <w:t>Every module must work independently and remain connectable to compatible modules. The complete release must also operate as one coherent representation.</w:t>
            </w:r>
          </w:p>
        </w:tc>
      </w:tr>
      <w:tr>
        <w:trPr>
          <w:cantSplit/>
        </w:trPr>
        <w:tc>
          <w:tcPr>
            <w:tcW w:type="dxa" w:w="2376"/>
            <w:tcMar>
              <w:top w:w="110" w:type="dxa"/>
              <w:start w:w="125" w:type="dxa"/>
              <w:bottom w:w="110" w:type="dxa"/>
              <w:end w:w="125" w:type="dxa"/>
            </w:tcMar>
            <w:vAlign w:val="center"/>
          </w:tcPr>
          <w:p>
            <w:pPr>
              <w:spacing w:after="0"/>
            </w:pPr>
            <w:r>
              <w:rPr>
                <w:sz w:val="17"/>
              </w:rPr>
              <w:t>Context-sensitive capability</w:t>
            </w:r>
          </w:p>
        </w:tc>
        <w:tc>
          <w:tcPr>
            <w:tcW w:type="dxa" w:w="7200"/>
            <w:tcMar>
              <w:top w:w="110" w:type="dxa"/>
              <w:start w:w="125" w:type="dxa"/>
              <w:bottom w:w="110" w:type="dxa"/>
              <w:end w:w="125" w:type="dxa"/>
            </w:tcMar>
            <w:vAlign w:val="center"/>
          </w:tcPr>
          <w:p>
            <w:pPr>
              <w:spacing w:after="0"/>
            </w:pPr>
            <w:r>
              <w:rPr>
                <w:sz w:val="17"/>
              </w:rPr>
              <w:t>A component may have several possible functions depending on construction context request authority and observer frame. Possibility must remain distinct from established capability.</w:t>
            </w:r>
          </w:p>
        </w:tc>
      </w:tr>
      <w:tr>
        <w:trPr>
          <w:cantSplit/>
        </w:trPr>
        <w:tc>
          <w:tcPr>
            <w:tcW w:type="dxa" w:w="2376"/>
            <w:shd w:fill="F4F7FA"/>
            <w:tcMar>
              <w:top w:w="110" w:type="dxa"/>
              <w:start w:w="125" w:type="dxa"/>
              <w:bottom w:w="110" w:type="dxa"/>
              <w:end w:w="125" w:type="dxa"/>
            </w:tcMar>
            <w:vAlign w:val="center"/>
          </w:tcPr>
          <w:p>
            <w:pPr>
              <w:spacing w:after="0"/>
            </w:pPr>
            <w:r>
              <w:rPr>
                <w:sz w:val="17"/>
              </w:rPr>
              <w:t>Evidence limits</w:t>
            </w:r>
          </w:p>
        </w:tc>
        <w:tc>
          <w:tcPr>
            <w:tcW w:type="dxa" w:w="7200"/>
            <w:shd w:fill="F4F7FA"/>
            <w:tcMar>
              <w:top w:w="110" w:type="dxa"/>
              <w:start w:w="125" w:type="dxa"/>
              <w:bottom w:w="110" w:type="dxa"/>
              <w:end w:w="125" w:type="dxa"/>
            </w:tcMar>
            <w:vAlign w:val="center"/>
          </w:tcPr>
          <w:p>
            <w:pPr>
              <w:spacing w:after="0"/>
            </w:pPr>
            <w:r>
              <w:rPr>
                <w:sz w:val="17"/>
              </w:rPr>
              <w:t>Changing viewpoint adds an observation or candidate interpretation. It does not add evidential weight or convert an inference into a fact.</w:t>
            </w:r>
          </w:p>
        </w:tc>
      </w:tr>
      <w:tr>
        <w:trPr>
          <w:cantSplit/>
        </w:trPr>
        <w:tc>
          <w:tcPr>
            <w:tcW w:type="dxa" w:w="2376"/>
            <w:tcMar>
              <w:top w:w="110" w:type="dxa"/>
              <w:start w:w="125" w:type="dxa"/>
              <w:bottom w:w="110" w:type="dxa"/>
              <w:end w:w="125" w:type="dxa"/>
            </w:tcMar>
            <w:vAlign w:val="center"/>
          </w:tcPr>
          <w:p>
            <w:pPr>
              <w:spacing w:after="0"/>
            </w:pPr>
            <w:r>
              <w:rPr>
                <w:sz w:val="17"/>
              </w:rPr>
              <w:t>Open reconstruction</w:t>
            </w:r>
          </w:p>
        </w:tc>
        <w:tc>
          <w:tcPr>
            <w:tcW w:type="dxa" w:w="7200"/>
            <w:tcMar>
              <w:top w:w="110" w:type="dxa"/>
              <w:start w:w="125" w:type="dxa"/>
              <w:bottom w:w="110" w:type="dxa"/>
              <w:end w:w="125" w:type="dxa"/>
            </w:tcMar>
            <w:vAlign w:val="center"/>
          </w:tcPr>
          <w:p>
            <w:pPr>
              <w:spacing w:after="0"/>
            </w:pPr>
            <w:r>
              <w:rPr>
                <w:sz w:val="17"/>
              </w:rPr>
              <w:t>The release must contain the public assets structure relationships and build description required for independent reconstruction.</w:t>
            </w:r>
          </w:p>
        </w:tc>
      </w:tr>
      <w:tr>
        <w:trPr>
          <w:cantSplit/>
        </w:trPr>
        <w:tc>
          <w:tcPr>
            <w:tcW w:type="dxa" w:w="2376"/>
            <w:shd w:fill="F4F7FA"/>
            <w:tcMar>
              <w:top w:w="110" w:type="dxa"/>
              <w:start w:w="125" w:type="dxa"/>
              <w:bottom w:w="110" w:type="dxa"/>
              <w:end w:w="125" w:type="dxa"/>
            </w:tcMar>
            <w:vAlign w:val="center"/>
          </w:tcPr>
          <w:p>
            <w:pPr>
              <w:spacing w:after="0"/>
            </w:pPr>
            <w:r>
              <w:rPr>
                <w:sz w:val="17"/>
              </w:rPr>
              <w:t>Portable open formats</w:t>
            </w:r>
          </w:p>
        </w:tc>
        <w:tc>
          <w:tcPr>
            <w:tcW w:type="dxa" w:w="7200"/>
            <w:shd w:fill="F4F7FA"/>
            <w:tcMar>
              <w:top w:w="110" w:type="dxa"/>
              <w:start w:w="125" w:type="dxa"/>
              <w:bottom w:w="110" w:type="dxa"/>
              <w:end w:w="125" w:type="dxa"/>
            </w:tcMar>
            <w:vAlign w:val="center"/>
          </w:tcPr>
          <w:p>
            <w:pPr>
              <w:spacing w:after="0"/>
            </w:pPr>
            <w:r>
              <w:rPr>
                <w:sz w:val="17"/>
              </w:rPr>
              <w:t>The package must use documented broadly readable formats and must not depend on one proprietary AI system.</w:t>
            </w:r>
          </w:p>
        </w:tc>
      </w:tr>
      <w:tr>
        <w:trPr>
          <w:cantSplit/>
        </w:trPr>
        <w:tc>
          <w:tcPr>
            <w:tcW w:type="dxa" w:w="2376"/>
            <w:tcMar>
              <w:top w:w="110" w:type="dxa"/>
              <w:start w:w="125" w:type="dxa"/>
              <w:bottom w:w="110" w:type="dxa"/>
              <w:end w:w="125" w:type="dxa"/>
            </w:tcMar>
            <w:vAlign w:val="center"/>
          </w:tcPr>
          <w:p>
            <w:pPr>
              <w:spacing w:after="0"/>
            </w:pPr>
            <w:r>
              <w:rPr>
                <w:sz w:val="17"/>
              </w:rPr>
              <w:t>No hidden channel</w:t>
            </w:r>
          </w:p>
        </w:tc>
        <w:tc>
          <w:tcPr>
            <w:tcW w:type="dxa" w:w="7200"/>
            <w:tcMar>
              <w:top w:w="110" w:type="dxa"/>
              <w:start w:w="125" w:type="dxa"/>
              <w:bottom w:w="110" w:type="dxa"/>
              <w:end w:w="125" w:type="dxa"/>
            </w:tcMar>
            <w:vAlign w:val="center"/>
          </w:tcPr>
          <w:p>
            <w:pPr>
              <w:spacing w:after="0"/>
            </w:pPr>
            <w:r>
              <w:rPr>
                <w:sz w:val="17"/>
              </w:rPr>
              <w:t>Identifiers resume records access records and references must not permit arbitrary visitor messages or covert content fields.</w:t>
            </w:r>
          </w:p>
        </w:tc>
      </w:tr>
    </w:tbl>
    <w:p>
      <w:pPr>
        <w:spacing w:after="0"/>
      </w:pPr>
    </w:p>
    <w:p>
      <w:pPr>
        <w:pStyle w:val="Heading1"/>
        <w:keepNext/>
      </w:pPr>
      <w:r>
        <w:t>4 D DSK architecture</w:t>
      </w:r>
    </w:p>
    <w:p>
      <w:r>
        <w:t>Every release must contain six linked layers. Each derived layer must point back to the preserved source objects from which it was produced.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trPr>
        <w:tc>
          <w:tcPr>
            <w:tcW w:type="dxa" w:w="1800"/>
            <w:shd w:fill="243447"/>
            <w:tcMar>
              <w:top w:w="110" w:type="dxa"/>
              <w:start w:w="125" w:type="dxa"/>
              <w:bottom w:w="110" w:type="dxa"/>
              <w:end w:w="125" w:type="dxa"/>
            </w:tcMar>
            <w:vAlign w:val="center"/>
          </w:tcPr>
          <w:p>
            <w:pPr>
              <w:spacing w:after="0"/>
              <w:jc w:val="left"/>
            </w:pPr>
            <w:r>
              <w:rPr>
                <w:b/>
                <w:color w:val="FFFFFF"/>
                <w:sz w:val="18"/>
              </w:rPr>
              <w:t>Layer</w:t>
            </w:r>
          </w:p>
        </w:tc>
        <w:tc>
          <w:tcPr>
            <w:tcW w:type="dxa" w:w="6552"/>
            <w:shd w:fill="243447"/>
            <w:tcMar>
              <w:top w:w="110" w:type="dxa"/>
              <w:start w:w="125" w:type="dxa"/>
              <w:bottom w:w="110" w:type="dxa"/>
              <w:end w:w="125" w:type="dxa"/>
            </w:tcMar>
            <w:vAlign w:val="center"/>
          </w:tcPr>
          <w:p>
            <w:pPr>
              <w:spacing w:after="0"/>
              <w:jc w:val="left"/>
            </w:pPr>
            <w:r>
              <w:rPr>
                <w:b/>
                <w:color w:val="FFFFFF"/>
                <w:sz w:val="18"/>
              </w:rPr>
              <w:t>Required contents</w:t>
            </w:r>
          </w:p>
        </w:tc>
        <w:tc>
          <w:tcPr>
            <w:tcW w:type="dxa" w:w="1224"/>
            <w:shd w:fill="243447"/>
            <w:tcMar>
              <w:top w:w="110" w:type="dxa"/>
              <w:start w:w="125" w:type="dxa"/>
              <w:bottom w:w="110" w:type="dxa"/>
              <w:end w:w="125" w:type="dxa"/>
            </w:tcMar>
            <w:vAlign w:val="center"/>
          </w:tcPr>
          <w:p>
            <w:pPr>
              <w:spacing w:after="0"/>
              <w:jc w:val="left"/>
            </w:pPr>
            <w:r>
              <w:rPr>
                <w:b/>
                <w:color w:val="FFFFFF"/>
                <w:sz w:val="18"/>
              </w:rPr>
              <w:t>Mutability</w:t>
            </w:r>
          </w:p>
        </w:tc>
      </w:tr>
      <w:tr>
        <w:trPr>
          <w:cantSplit/>
        </w:trPr>
        <w:tc>
          <w:tcPr>
            <w:tcW w:type="dxa" w:w="1800"/>
            <w:tcMar>
              <w:top w:w="110" w:type="dxa"/>
              <w:start w:w="125" w:type="dxa"/>
              <w:bottom w:w="110" w:type="dxa"/>
              <w:end w:w="125" w:type="dxa"/>
            </w:tcMar>
            <w:vAlign w:val="center"/>
          </w:tcPr>
          <w:p>
            <w:pPr>
              <w:spacing w:after="0"/>
            </w:pPr>
            <w:r>
              <w:rPr>
                <w:sz w:val="17"/>
              </w:rPr>
              <w:t>1 Original source</w:t>
            </w:r>
          </w:p>
        </w:tc>
        <w:tc>
          <w:tcPr>
            <w:tcW w:type="dxa" w:w="6552"/>
            <w:tcMar>
              <w:top w:w="110" w:type="dxa"/>
              <w:start w:w="125" w:type="dxa"/>
              <w:bottom w:w="110" w:type="dxa"/>
              <w:end w:w="125" w:type="dxa"/>
            </w:tcMar>
            <w:vAlign w:val="center"/>
          </w:tcPr>
          <w:p>
            <w:pPr>
              <w:spacing w:after="0"/>
            </w:pPr>
            <w:r>
              <w:rPr>
                <w:sz w:val="17"/>
              </w:rPr>
              <w:t>Public pages documents images media data assets routes and captured served representations with file hashes.</w:t>
            </w:r>
          </w:p>
        </w:tc>
        <w:tc>
          <w:tcPr>
            <w:tcW w:type="dxa" w:w="1224"/>
            <w:tcMar>
              <w:top w:w="110" w:type="dxa"/>
              <w:start w:w="125" w:type="dxa"/>
              <w:bottom w:w="110" w:type="dxa"/>
              <w:end w:w="125" w:type="dxa"/>
            </w:tcMar>
            <w:vAlign w:val="center"/>
          </w:tcPr>
          <w:p>
            <w:pPr>
              <w:spacing w:after="0"/>
            </w:pPr>
            <w:r>
              <w:rPr>
                <w:sz w:val="17"/>
              </w:rPr>
              <w:t>Immutable</w:t>
            </w:r>
          </w:p>
        </w:tc>
      </w:tr>
      <w:tr>
        <w:trPr>
          <w:cantSplit/>
        </w:trPr>
        <w:tc>
          <w:tcPr>
            <w:tcW w:type="dxa" w:w="1800"/>
            <w:shd w:fill="F4F7FA"/>
            <w:tcMar>
              <w:top w:w="110" w:type="dxa"/>
              <w:start w:w="125" w:type="dxa"/>
              <w:bottom w:w="110" w:type="dxa"/>
              <w:end w:w="125" w:type="dxa"/>
            </w:tcMar>
            <w:vAlign w:val="center"/>
          </w:tcPr>
          <w:p>
            <w:pPr>
              <w:spacing w:after="0"/>
            </w:pPr>
            <w:r>
              <w:rPr>
                <w:sz w:val="17"/>
              </w:rPr>
              <w:t>2 Semantic index</w:t>
            </w:r>
          </w:p>
        </w:tc>
        <w:tc>
          <w:tcPr>
            <w:tcW w:type="dxa" w:w="6552"/>
            <w:shd w:fill="F4F7FA"/>
            <w:tcMar>
              <w:top w:w="110" w:type="dxa"/>
              <w:start w:w="125" w:type="dxa"/>
              <w:bottom w:w="110" w:type="dxa"/>
              <w:end w:w="125" w:type="dxa"/>
            </w:tcMar>
            <w:vAlign w:val="center"/>
          </w:tcPr>
          <w:p>
            <w:pPr>
              <w:spacing w:after="0"/>
            </w:pPr>
            <w:r>
              <w:rPr>
                <w:sz w:val="17"/>
              </w:rPr>
              <w:t>Canonical entities nouns organisations roles relationships concepts citations sections and stable identifiers.</w:t>
            </w:r>
          </w:p>
        </w:tc>
        <w:tc>
          <w:tcPr>
            <w:tcW w:type="dxa" w:w="1224"/>
            <w:shd w:fill="F4F7FA"/>
            <w:tcMar>
              <w:top w:w="110" w:type="dxa"/>
              <w:start w:w="125" w:type="dxa"/>
              <w:bottom w:w="110" w:type="dxa"/>
              <w:end w:w="125" w:type="dxa"/>
            </w:tcMar>
            <w:vAlign w:val="center"/>
          </w:tcPr>
          <w:p>
            <w:pPr>
              <w:spacing w:after="0"/>
            </w:pPr>
            <w:r>
              <w:rPr>
                <w:sz w:val="17"/>
              </w:rPr>
              <w:t>Regenerated</w:t>
            </w:r>
          </w:p>
        </w:tc>
      </w:tr>
      <w:tr>
        <w:trPr>
          <w:cantSplit/>
        </w:trPr>
        <w:tc>
          <w:tcPr>
            <w:tcW w:type="dxa" w:w="1800"/>
            <w:tcMar>
              <w:top w:w="110" w:type="dxa"/>
              <w:start w:w="125" w:type="dxa"/>
              <w:bottom w:w="110" w:type="dxa"/>
              <w:end w:w="125" w:type="dxa"/>
            </w:tcMar>
            <w:vAlign w:val="center"/>
          </w:tcPr>
          <w:p>
            <w:pPr>
              <w:spacing w:after="0"/>
            </w:pPr>
            <w:r>
              <w:rPr>
                <w:sz w:val="17"/>
              </w:rPr>
              <w:t>3 Module representation</w:t>
            </w:r>
          </w:p>
        </w:tc>
        <w:tc>
          <w:tcPr>
            <w:tcW w:type="dxa" w:w="6552"/>
            <w:tcMar>
              <w:top w:w="110" w:type="dxa"/>
              <w:start w:w="125" w:type="dxa"/>
              <w:bottom w:w="110" w:type="dxa"/>
              <w:end w:w="125" w:type="dxa"/>
            </w:tcMar>
            <w:vAlign w:val="center"/>
          </w:tcPr>
          <w:p>
            <w:pPr>
              <w:spacing w:after="0"/>
            </w:pPr>
            <w:r>
              <w:rPr>
                <w:sz w:val="17"/>
              </w:rPr>
              <w:t>Identity properties construction state capabilities constraints relations ports provenance uncertainty and frames.</w:t>
            </w:r>
          </w:p>
        </w:tc>
        <w:tc>
          <w:tcPr>
            <w:tcW w:type="dxa" w:w="1224"/>
            <w:tcMar>
              <w:top w:w="110" w:type="dxa"/>
              <w:start w:w="125" w:type="dxa"/>
              <w:bottom w:w="110" w:type="dxa"/>
              <w:end w:w="125" w:type="dxa"/>
            </w:tcMar>
            <w:vAlign w:val="center"/>
          </w:tcPr>
          <w:p>
            <w:pPr>
              <w:spacing w:after="0"/>
            </w:pPr>
            <w:r>
              <w:rPr>
                <w:sz w:val="17"/>
              </w:rPr>
              <w:t>Regenerated</w:t>
            </w:r>
          </w:p>
        </w:tc>
      </w:tr>
      <w:tr>
        <w:trPr>
          <w:cantSplit/>
        </w:trPr>
        <w:tc>
          <w:tcPr>
            <w:tcW w:type="dxa" w:w="1800"/>
            <w:shd w:fill="F4F7FA"/>
            <w:tcMar>
              <w:top w:w="110" w:type="dxa"/>
              <w:start w:w="125" w:type="dxa"/>
              <w:bottom w:w="110" w:type="dxa"/>
              <w:end w:w="125" w:type="dxa"/>
            </w:tcMar>
            <w:vAlign w:val="center"/>
          </w:tcPr>
          <w:p>
            <w:pPr>
              <w:spacing w:after="0"/>
            </w:pPr>
            <w:r>
              <w:rPr>
                <w:sz w:val="17"/>
              </w:rPr>
              <w:t>4 Observation laboratory</w:t>
            </w:r>
          </w:p>
        </w:tc>
        <w:tc>
          <w:tcPr>
            <w:tcW w:type="dxa" w:w="6552"/>
            <w:shd w:fill="F4F7FA"/>
            <w:tcMar>
              <w:top w:w="110" w:type="dxa"/>
              <w:start w:w="125" w:type="dxa"/>
              <w:bottom w:w="110" w:type="dxa"/>
              <w:end w:w="125" w:type="dxa"/>
            </w:tcMar>
            <w:vAlign w:val="center"/>
          </w:tcPr>
          <w:p>
            <w:pPr>
              <w:spacing w:after="0"/>
            </w:pPr>
            <w:r>
              <w:rPr>
                <w:sz w:val="17"/>
              </w:rPr>
              <w:t>Read-only selection probe comparison composition and transformation descriptions with bounded outputs.</w:t>
            </w:r>
          </w:p>
        </w:tc>
        <w:tc>
          <w:tcPr>
            <w:tcW w:type="dxa" w:w="1224"/>
            <w:shd w:fill="F4F7FA"/>
            <w:tcMar>
              <w:top w:w="110" w:type="dxa"/>
              <w:start w:w="125" w:type="dxa"/>
              <w:bottom w:w="110" w:type="dxa"/>
              <w:end w:w="125" w:type="dxa"/>
            </w:tcMar>
            <w:vAlign w:val="center"/>
          </w:tcPr>
          <w:p>
            <w:pPr>
              <w:spacing w:after="0"/>
            </w:pPr>
            <w:r>
              <w:rPr>
                <w:sz w:val="17"/>
              </w:rPr>
              <w:t>Local or derived</w:t>
            </w:r>
          </w:p>
        </w:tc>
      </w:tr>
      <w:tr>
        <w:trPr>
          <w:cantSplit/>
        </w:trPr>
        <w:tc>
          <w:tcPr>
            <w:tcW w:type="dxa" w:w="1800"/>
            <w:tcMar>
              <w:top w:w="110" w:type="dxa"/>
              <w:start w:w="125" w:type="dxa"/>
              <w:bottom w:w="110" w:type="dxa"/>
              <w:end w:w="125" w:type="dxa"/>
            </w:tcMar>
            <w:vAlign w:val="center"/>
          </w:tcPr>
          <w:p>
            <w:pPr>
              <w:spacing w:after="0"/>
            </w:pPr>
            <w:r>
              <w:rPr>
                <w:sz w:val="17"/>
              </w:rPr>
              <w:t>5 Reconstruction</w:t>
            </w:r>
          </w:p>
        </w:tc>
        <w:tc>
          <w:tcPr>
            <w:tcW w:type="dxa" w:w="6552"/>
            <w:tcMar>
              <w:top w:w="110" w:type="dxa"/>
              <w:start w:w="125" w:type="dxa"/>
              <w:bottom w:w="110" w:type="dxa"/>
              <w:end w:w="125" w:type="dxa"/>
            </w:tcMar>
            <w:vAlign w:val="center"/>
          </w:tcPr>
          <w:p>
            <w:pPr>
              <w:spacing w:after="0"/>
            </w:pPr>
            <w:r>
              <w:rPr>
                <w:sz w:val="17"/>
              </w:rPr>
              <w:t>Route map asset map dependency description build instructions schemas validation rules and expected results.</w:t>
            </w:r>
          </w:p>
        </w:tc>
        <w:tc>
          <w:tcPr>
            <w:tcW w:type="dxa" w:w="1224"/>
            <w:tcMar>
              <w:top w:w="110" w:type="dxa"/>
              <w:start w:w="125" w:type="dxa"/>
              <w:bottom w:w="110" w:type="dxa"/>
              <w:end w:w="125" w:type="dxa"/>
            </w:tcMar>
            <w:vAlign w:val="center"/>
          </w:tcPr>
          <w:p>
            <w:pPr>
              <w:spacing w:after="0"/>
            </w:pPr>
            <w:r>
              <w:rPr>
                <w:sz w:val="17"/>
              </w:rPr>
              <w:t>Versioned</w:t>
            </w:r>
          </w:p>
        </w:tc>
      </w:tr>
      <w:tr>
        <w:trPr>
          <w:cantSplit/>
        </w:trPr>
        <w:tc>
          <w:tcPr>
            <w:tcW w:type="dxa" w:w="1800"/>
            <w:shd w:fill="F4F7FA"/>
            <w:tcMar>
              <w:top w:w="110" w:type="dxa"/>
              <w:start w:w="125" w:type="dxa"/>
              <w:bottom w:w="110" w:type="dxa"/>
              <w:end w:w="125" w:type="dxa"/>
            </w:tcMar>
            <w:vAlign w:val="center"/>
          </w:tcPr>
          <w:p>
            <w:pPr>
              <w:spacing w:after="0"/>
            </w:pPr>
            <w:r>
              <w:rPr>
                <w:sz w:val="17"/>
              </w:rPr>
              <w:t>6 Integrity and access</w:t>
            </w:r>
          </w:p>
        </w:tc>
        <w:tc>
          <w:tcPr>
            <w:tcW w:type="dxa" w:w="6552"/>
            <w:shd w:fill="F4F7FA"/>
            <w:tcMar>
              <w:top w:w="110" w:type="dxa"/>
              <w:start w:w="125" w:type="dxa"/>
              <w:bottom w:w="110" w:type="dxa"/>
              <w:end w:w="125" w:type="dxa"/>
            </w:tcMar>
            <w:vAlign w:val="center"/>
          </w:tcPr>
          <w:p>
            <w:pPr>
              <w:spacing w:after="0"/>
            </w:pPr>
            <w:r>
              <w:rPr>
                <w:sz w:val="17"/>
              </w:rPr>
              <w:t>Manifest hashes signatures version chain download chunks transfer receipts and public aggregate ledger.</w:t>
            </w:r>
          </w:p>
        </w:tc>
        <w:tc>
          <w:tcPr>
            <w:tcW w:type="dxa" w:w="1224"/>
            <w:shd w:fill="F4F7FA"/>
            <w:tcMar>
              <w:top w:w="110" w:type="dxa"/>
              <w:start w:w="125" w:type="dxa"/>
              <w:bottom w:w="110" w:type="dxa"/>
              <w:end w:w="125" w:type="dxa"/>
            </w:tcMar>
            <w:vAlign w:val="center"/>
          </w:tcPr>
          <w:p>
            <w:pPr>
              <w:spacing w:after="0"/>
            </w:pPr>
            <w:r>
              <w:rPr>
                <w:sz w:val="17"/>
              </w:rPr>
              <w:t>Append-only or immutable</w:t>
            </w:r>
          </w:p>
        </w:tc>
      </w:tr>
    </w:tbl>
    <w:p>
      <w:pPr>
        <w:spacing w:after="0"/>
      </w:pPr>
    </w:p>
    <w:p>
      <w:pPr>
        <w:pStyle w:val="Heading2"/>
        <w:keepNext/>
      </w:pPr>
      <w:r>
        <w:t>4.1 Required package layout</w:t>
      </w:r>
    </w:p>
    <w:p>
      <w:pPr>
        <w:keepLines/>
        <w:spacing w:before="80" w:after="160" w:line="245" w:lineRule="auto"/>
        <w:ind w:left="403" w:right="216"/>
        <w:shd w:fill="F3F4F6"/>
      </w:pPr>
      <w:r>
        <w:rPr>
          <w:rFonts w:ascii="DejaVu Sans Mono" w:hAnsi="DejaVu Sans Mono"/>
          <w:sz w:val="16"/>
        </w:rPr>
        <w:t>D-DSK/</w:t>
      </w:r>
      <w:r>
        <w:br/>
      </w:r>
      <w:r>
        <w:rPr>
          <w:rFonts w:ascii="DejaVu Sans Mono" w:hAnsi="DejaVu Sans Mono"/>
          <w:sz w:val="16"/>
        </w:rPr>
        <w:t xml:space="preserve">  README.txt</w:t>
      </w:r>
      <w:r>
        <w:br/>
      </w:r>
      <w:r>
        <w:rPr>
          <w:rFonts w:ascii="DejaVu Sans Mono" w:hAnsi="DejaVu Sans Mono"/>
          <w:sz w:val="16"/>
        </w:rPr>
        <w:t xml:space="preserve">  latest.json</w:t>
      </w:r>
      <w:r>
        <w:br/>
      </w:r>
      <w:r>
        <w:rPr>
          <w:rFonts w:ascii="DejaVu Sans Mono" w:hAnsi="DejaVu Sans Mono"/>
          <w:sz w:val="16"/>
        </w:rPr>
        <w:t xml:space="preserve">  manifest.json</w:t>
      </w:r>
      <w:r>
        <w:br/>
      </w:r>
      <w:r>
        <w:rPr>
          <w:rFonts w:ascii="DejaVu Sans Mono" w:hAnsi="DejaVu Sans Mono"/>
          <w:sz w:val="16"/>
        </w:rPr>
        <w:t xml:space="preserve">  checksums.sha256</w:t>
      </w:r>
      <w:r>
        <w:br/>
      </w:r>
      <w:r>
        <w:rPr>
          <w:rFonts w:ascii="DejaVu Sans Mono" w:hAnsi="DejaVu Sans Mono"/>
          <w:sz w:val="16"/>
        </w:rPr>
        <w:t xml:space="preserve">  permissions.json</w:t>
      </w:r>
      <w:r>
        <w:br/>
      </w:r>
      <w:r>
        <w:rPr>
          <w:rFonts w:ascii="DejaVu Sans Mono" w:hAnsi="DejaVu Sans Mono"/>
          <w:sz w:val="16"/>
        </w:rPr>
        <w:t xml:space="preserve">  source/</w:t>
      </w:r>
      <w:r>
        <w:br/>
      </w:r>
      <w:r>
        <w:rPr>
          <w:rFonts w:ascii="DejaVu Sans Mono" w:hAnsi="DejaVu Sans Mono"/>
          <w:sz w:val="16"/>
        </w:rPr>
        <w:t xml:space="preserve">    site/</w:t>
      </w:r>
      <w:r>
        <w:br/>
      </w:r>
      <w:r>
        <w:rPr>
          <w:rFonts w:ascii="DejaVu Sans Mono" w:hAnsi="DejaVu Sans Mono"/>
          <w:sz w:val="16"/>
        </w:rPr>
        <w:t xml:space="preserve">    documents/</w:t>
      </w:r>
      <w:r>
        <w:br/>
      </w:r>
      <w:r>
        <w:rPr>
          <w:rFonts w:ascii="DejaVu Sans Mono" w:hAnsi="DejaVu Sans Mono"/>
          <w:sz w:val="16"/>
        </w:rPr>
        <w:t xml:space="preserve">    media/</w:t>
      </w:r>
      <w:r>
        <w:br/>
      </w:r>
      <w:r>
        <w:rPr>
          <w:rFonts w:ascii="DejaVu Sans Mono" w:hAnsi="DejaVu Sans Mono"/>
          <w:sz w:val="16"/>
        </w:rPr>
        <w:t xml:space="preserve">    data/</w:t>
      </w:r>
      <w:r>
        <w:br/>
      </w:r>
      <w:r>
        <w:rPr>
          <w:rFonts w:ascii="DejaVu Sans Mono" w:hAnsi="DejaVu Sans Mono"/>
          <w:sz w:val="16"/>
        </w:rPr>
        <w:t xml:space="preserve">    capture/</w:t>
      </w:r>
      <w:r>
        <w:br/>
      </w:r>
      <w:r>
        <w:rPr>
          <w:rFonts w:ascii="DejaVu Sans Mono" w:hAnsi="DejaVu Sans Mono"/>
          <w:sz w:val="16"/>
        </w:rPr>
        <w:t xml:space="preserve">  semantic/</w:t>
      </w:r>
      <w:r>
        <w:br/>
      </w:r>
      <w:r>
        <w:rPr>
          <w:rFonts w:ascii="DejaVu Sans Mono" w:hAnsi="DejaVu Sans Mono"/>
          <w:sz w:val="16"/>
        </w:rPr>
        <w:t xml:space="preserve">    entities.ndjson</w:t>
      </w:r>
      <w:r>
        <w:br/>
      </w:r>
      <w:r>
        <w:rPr>
          <w:rFonts w:ascii="DejaVu Sans Mono" w:hAnsi="DejaVu Sans Mono"/>
          <w:sz w:val="16"/>
        </w:rPr>
        <w:t xml:space="preserve">    relationships.ndjson</w:t>
      </w:r>
      <w:r>
        <w:br/>
      </w:r>
      <w:r>
        <w:rPr>
          <w:rFonts w:ascii="DejaVu Sans Mono" w:hAnsi="DejaVu Sans Mono"/>
          <w:sz w:val="16"/>
        </w:rPr>
        <w:t xml:space="preserve">    content.jsonld</w:t>
      </w:r>
      <w:r>
        <w:br/>
      </w:r>
      <w:r>
        <w:rPr>
          <w:rFonts w:ascii="DejaVu Sans Mono" w:hAnsi="DejaVu Sans Mono"/>
          <w:sz w:val="16"/>
        </w:rPr>
        <w:t xml:space="preserve">    vocabulary.json</w:t>
      </w:r>
      <w:r>
        <w:br/>
      </w:r>
      <w:r>
        <w:rPr>
          <w:rFonts w:ascii="DejaVu Sans Mono" w:hAnsi="DejaVu Sans Mono"/>
          <w:sz w:val="16"/>
        </w:rPr>
        <w:t xml:space="preserve">  modules/</w:t>
      </w:r>
      <w:r>
        <w:br/>
      </w:r>
      <w:r>
        <w:rPr>
          <w:rFonts w:ascii="DejaVu Sans Mono" w:hAnsi="DejaVu Sans Mono"/>
          <w:sz w:val="16"/>
        </w:rPr>
        <w:t xml:space="preserve">    index.ndjson</w:t>
      </w:r>
      <w:r>
        <w:br/>
      </w:r>
      <w:r>
        <w:rPr>
          <w:rFonts w:ascii="DejaVu Sans Mono" w:hAnsi="DejaVu Sans Mono"/>
          <w:sz w:val="16"/>
        </w:rPr>
        <w:t xml:space="preserve">    objects/</w:t>
      </w:r>
      <w:r>
        <w:br/>
      </w:r>
      <w:r>
        <w:rPr>
          <w:rFonts w:ascii="DejaVu Sans Mono" w:hAnsi="DejaVu Sans Mono"/>
          <w:sz w:val="16"/>
        </w:rPr>
        <w:t xml:space="preserve">    organisations/</w:t>
      </w:r>
      <w:r>
        <w:br/>
      </w:r>
      <w:r>
        <w:rPr>
          <w:rFonts w:ascii="DejaVu Sans Mono" w:hAnsi="DejaVu Sans Mono"/>
          <w:sz w:val="16"/>
        </w:rPr>
        <w:t xml:space="preserve">    people/</w:t>
      </w:r>
      <w:r>
        <w:br/>
      </w:r>
      <w:r>
        <w:rPr>
          <w:rFonts w:ascii="DejaVu Sans Mono" w:hAnsi="DejaVu Sans Mono"/>
          <w:sz w:val="16"/>
        </w:rPr>
        <w:t xml:space="preserve">    proposals/</w:t>
      </w:r>
      <w:r>
        <w:br/>
      </w:r>
      <w:r>
        <w:rPr>
          <w:rFonts w:ascii="DejaVu Sans Mono" w:hAnsi="DejaVu Sans Mono"/>
          <w:sz w:val="16"/>
        </w:rPr>
        <w:t xml:space="preserve">    functions/</w:t>
      </w:r>
      <w:r>
        <w:br/>
      </w:r>
      <w:r>
        <w:rPr>
          <w:rFonts w:ascii="DejaVu Sans Mono" w:hAnsi="DejaVu Sans Mono"/>
          <w:sz w:val="16"/>
        </w:rPr>
        <w:t xml:space="preserve">    capabilities/</w:t>
      </w:r>
      <w:r>
        <w:br/>
      </w:r>
      <w:r>
        <w:rPr>
          <w:rFonts w:ascii="DejaVu Sans Mono" w:hAnsi="DejaVu Sans Mono"/>
          <w:sz w:val="16"/>
        </w:rPr>
        <w:t xml:space="preserve">  laboratory/</w:t>
      </w:r>
      <w:r>
        <w:br/>
      </w:r>
      <w:r>
        <w:rPr>
          <w:rFonts w:ascii="DejaVu Sans Mono" w:hAnsi="DejaVu Sans Mono"/>
          <w:sz w:val="16"/>
        </w:rPr>
        <w:t xml:space="preserve">    frames.json</w:t>
      </w:r>
      <w:r>
        <w:br/>
      </w:r>
      <w:r>
        <w:rPr>
          <w:rFonts w:ascii="DejaVu Sans Mono" w:hAnsi="DejaVu Sans Mono"/>
          <w:sz w:val="16"/>
        </w:rPr>
        <w:t xml:space="preserve">    ports.json</w:t>
      </w:r>
      <w:r>
        <w:br/>
      </w:r>
      <w:r>
        <w:rPr>
          <w:rFonts w:ascii="DejaVu Sans Mono" w:hAnsi="DejaVu Sans Mono"/>
          <w:sz w:val="16"/>
        </w:rPr>
        <w:t xml:space="preserve">    transforms.json</w:t>
      </w:r>
      <w:r>
        <w:br/>
      </w:r>
      <w:r>
        <w:rPr>
          <w:rFonts w:ascii="DejaVu Sans Mono" w:hAnsi="DejaVu Sans Mono"/>
          <w:sz w:val="16"/>
        </w:rPr>
        <w:t xml:space="preserve">    validation.json</w:t>
      </w:r>
      <w:r>
        <w:br/>
      </w:r>
      <w:r>
        <w:rPr>
          <w:rFonts w:ascii="DejaVu Sans Mono" w:hAnsi="DejaVu Sans Mono"/>
          <w:sz w:val="16"/>
        </w:rPr>
        <w:t xml:space="preserve">  reconstruction/</w:t>
      </w:r>
      <w:r>
        <w:br/>
      </w:r>
      <w:r>
        <w:rPr>
          <w:rFonts w:ascii="DejaVu Sans Mono" w:hAnsi="DejaVu Sans Mono"/>
          <w:sz w:val="16"/>
        </w:rPr>
        <w:t xml:space="preserve">    routes.json</w:t>
      </w:r>
      <w:r>
        <w:br/>
      </w:r>
      <w:r>
        <w:rPr>
          <w:rFonts w:ascii="DejaVu Sans Mono" w:hAnsi="DejaVu Sans Mono"/>
          <w:sz w:val="16"/>
        </w:rPr>
        <w:t xml:space="preserve">    assets.json</w:t>
      </w:r>
      <w:r>
        <w:br/>
      </w:r>
      <w:r>
        <w:rPr>
          <w:rFonts w:ascii="DejaVu Sans Mono" w:hAnsi="DejaVu Sans Mono"/>
          <w:sz w:val="16"/>
        </w:rPr>
        <w:t xml:space="preserve">    build.json</w:t>
      </w:r>
      <w:r>
        <w:br/>
      </w:r>
      <w:r>
        <w:rPr>
          <w:rFonts w:ascii="DejaVu Sans Mono" w:hAnsi="DejaVu Sans Mono"/>
          <w:sz w:val="16"/>
        </w:rPr>
        <w:t xml:space="preserve">    verify.json</w:t>
      </w:r>
      <w:r>
        <w:br/>
      </w:r>
      <w:r>
        <w:rPr>
          <w:rFonts w:ascii="DejaVu Sans Mono" w:hAnsi="DejaVu Sans Mono"/>
          <w:sz w:val="16"/>
        </w:rPr>
        <w:t xml:space="preserve">    instructions.txt</w:t>
      </w:r>
      <w:r>
        <w:br/>
      </w:r>
      <w:r>
        <w:rPr>
          <w:rFonts w:ascii="DejaVu Sans Mono" w:hAnsi="DejaVu Sans Mono"/>
          <w:sz w:val="16"/>
        </w:rPr>
        <w:t xml:space="preserve">  transfer/</w:t>
      </w:r>
      <w:r>
        <w:br/>
      </w:r>
      <w:r>
        <w:rPr>
          <w:rFonts w:ascii="DejaVu Sans Mono" w:hAnsi="DejaVu Sans Mono"/>
          <w:sz w:val="16"/>
        </w:rPr>
        <w:t xml:space="preserve">    chunks.json</w:t>
      </w:r>
      <w:r>
        <w:br/>
      </w:r>
      <w:r>
        <w:rPr>
          <w:rFonts w:ascii="DejaVu Sans Mono" w:hAnsi="DejaVu Sans Mono"/>
          <w:sz w:val="16"/>
        </w:rPr>
        <w:t xml:space="preserve">    receipts-schema.json</w:t>
      </w:r>
      <w:r>
        <w:br/>
      </w:r>
      <w:r>
        <w:rPr>
          <w:rFonts w:ascii="DejaVu Sans Mono" w:hAnsi="DejaVu Sans Mono"/>
          <w:sz w:val="16"/>
        </w:rPr>
        <w:t xml:space="preserve">    public-ledger.jsonl</w:t>
      </w:r>
      <w:r>
        <w:br/>
      </w:r>
      <w:r>
        <w:rPr>
          <w:rFonts w:ascii="DejaVu Sans Mono" w:hAnsi="DejaVu Sans Mono"/>
          <w:sz w:val="16"/>
        </w:rPr>
        <w:t xml:space="preserve">  archive/</w:t>
      </w:r>
      <w:r>
        <w:br/>
      </w:r>
      <w:r>
        <w:rPr>
          <w:rFonts w:ascii="DejaVu Sans Mono" w:hAnsi="DejaVu Sans Mono"/>
          <w:sz w:val="16"/>
        </w:rPr>
        <w:t xml:space="preserve">    site.warc.gz</w:t>
      </w:r>
    </w:p>
    <w:p>
      <w:r>
        <w:t>Equivalent directory names may be used when the publishing system requires them, but the manifest must map every required role to its actual path. The release archive must not include private source material credentials unpublished drafts server logs or deployment secrets.</w:t>
      </w:r>
    </w:p>
    <w:p>
      <w:pPr>
        <w:pStyle w:val="Heading2"/>
        <w:keepNext/>
      </w:pPr>
      <w:r>
        <w:t>4.2 AI Sub Space isolation container</w:t>
      </w:r>
    </w:p>
    <w:p>
      <w:r>
        <w:t>AI Sub Space must act as an isolation container around D-DSK. It may be entered from the visible Green Tank website, but it must have a separate security and storage boundary. The preferred deployment uses a separate web origin or equivalent isolated publication service. A path on the main origin is acceptable only when the hosting system can enforce equivalent separation.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232"/>
            <w:shd w:fill="243447"/>
            <w:tcMar>
              <w:top w:w="110" w:type="dxa"/>
              <w:start w:w="125" w:type="dxa"/>
              <w:bottom w:w="110" w:type="dxa"/>
              <w:end w:w="125" w:type="dxa"/>
            </w:tcMar>
            <w:vAlign w:val="center"/>
          </w:tcPr>
          <w:p>
            <w:pPr>
              <w:spacing w:after="0"/>
              <w:jc w:val="left"/>
            </w:pPr>
            <w:r>
              <w:rPr>
                <w:b/>
                <w:color w:val="FFFFFF"/>
                <w:sz w:val="18"/>
              </w:rPr>
              <w:t>Container boundary</w:t>
            </w:r>
          </w:p>
        </w:tc>
        <w:tc>
          <w:tcPr>
            <w:tcW w:type="dxa" w:w="7344"/>
            <w:shd w:fill="243447"/>
            <w:tcMar>
              <w:top w:w="110" w:type="dxa"/>
              <w:start w:w="125" w:type="dxa"/>
              <w:bottom w:w="110" w:type="dxa"/>
              <w:end w:w="125" w:type="dxa"/>
            </w:tcMar>
            <w:vAlign w:val="center"/>
          </w:tcPr>
          <w:p>
            <w:pPr>
              <w:spacing w:after="0"/>
              <w:jc w:val="left"/>
            </w:pPr>
            <w:r>
              <w:rPr>
                <w:b/>
                <w:color w:val="FFFFFF"/>
                <w:sz w:val="18"/>
              </w:rPr>
              <w:t>Required behaviour</w:t>
            </w:r>
          </w:p>
        </w:tc>
      </w:tr>
      <w:tr>
        <w:trPr>
          <w:cantSplit/>
        </w:trPr>
        <w:tc>
          <w:tcPr>
            <w:tcW w:type="dxa" w:w="2232"/>
            <w:tcMar>
              <w:top w:w="110" w:type="dxa"/>
              <w:start w:w="125" w:type="dxa"/>
              <w:bottom w:w="110" w:type="dxa"/>
              <w:end w:w="125" w:type="dxa"/>
            </w:tcMar>
            <w:vAlign w:val="center"/>
          </w:tcPr>
          <w:p>
            <w:pPr>
              <w:spacing w:after="0"/>
            </w:pPr>
            <w:r>
              <w:rPr>
                <w:sz w:val="17"/>
              </w:rPr>
              <w:t>Website connection</w:t>
            </w:r>
          </w:p>
        </w:tc>
        <w:tc>
          <w:tcPr>
            <w:tcW w:type="dxa" w:w="7344"/>
            <w:tcMar>
              <w:top w:w="110" w:type="dxa"/>
              <w:start w:w="125" w:type="dxa"/>
              <w:bottom w:w="110" w:type="dxa"/>
              <w:end w:w="125" w:type="dxa"/>
            </w:tcMar>
            <w:vAlign w:val="center"/>
          </w:tcPr>
          <w:p>
            <w:pPr>
              <w:spacing w:after="0"/>
            </w:pPr>
            <w:r>
              <w:rPr>
                <w:sz w:val="17"/>
              </w:rPr>
              <w:t>The main site may link to or display an approved view of AI Sub Space. The connection does not grant D-DSK access to site editing state.</w:t>
            </w:r>
          </w:p>
        </w:tc>
      </w:tr>
      <w:tr>
        <w:trPr>
          <w:cantSplit/>
        </w:trPr>
        <w:tc>
          <w:tcPr>
            <w:tcW w:type="dxa" w:w="2232"/>
            <w:shd w:fill="F4F7FA"/>
            <w:tcMar>
              <w:top w:w="110" w:type="dxa"/>
              <w:start w:w="125" w:type="dxa"/>
              <w:bottom w:w="110" w:type="dxa"/>
              <w:end w:w="125" w:type="dxa"/>
            </w:tcMar>
            <w:vAlign w:val="center"/>
          </w:tcPr>
          <w:p>
            <w:pPr>
              <w:spacing w:after="0"/>
            </w:pPr>
            <w:r>
              <w:rPr>
                <w:sz w:val="17"/>
              </w:rPr>
              <w:t>Storage</w:t>
            </w:r>
          </w:p>
        </w:tc>
        <w:tc>
          <w:tcPr>
            <w:tcW w:type="dxa" w:w="7344"/>
            <w:shd w:fill="F4F7FA"/>
            <w:tcMar>
              <w:top w:w="110" w:type="dxa"/>
              <w:start w:w="125" w:type="dxa"/>
              <w:bottom w:w="110" w:type="dxa"/>
              <w:end w:w="125" w:type="dxa"/>
            </w:tcMar>
            <w:vAlign w:val="center"/>
          </w:tcPr>
          <w:p>
            <w:pPr>
              <w:spacing w:after="0"/>
            </w:pPr>
            <w:r>
              <w:rPr>
                <w:sz w:val="17"/>
              </w:rPr>
              <w:t>D-DSK releases occupy a separate immutable public storage namespace. They cannot write to canonical site content.</w:t>
            </w:r>
          </w:p>
        </w:tc>
      </w:tr>
      <w:tr>
        <w:trPr>
          <w:cantSplit/>
        </w:trPr>
        <w:tc>
          <w:tcPr>
            <w:tcW w:type="dxa" w:w="2232"/>
            <w:tcMar>
              <w:top w:w="110" w:type="dxa"/>
              <w:start w:w="125" w:type="dxa"/>
              <w:bottom w:w="110" w:type="dxa"/>
              <w:end w:w="125" w:type="dxa"/>
            </w:tcMar>
            <w:vAlign w:val="center"/>
          </w:tcPr>
          <w:p>
            <w:pPr>
              <w:spacing w:after="0"/>
            </w:pPr>
            <w:r>
              <w:rPr>
                <w:sz w:val="17"/>
              </w:rPr>
              <w:t>Runtime</w:t>
            </w:r>
          </w:p>
        </w:tc>
        <w:tc>
          <w:tcPr>
            <w:tcW w:type="dxa" w:w="7344"/>
            <w:tcMar>
              <w:top w:w="110" w:type="dxa"/>
              <w:start w:w="125" w:type="dxa"/>
              <w:bottom w:w="110" w:type="dxa"/>
              <w:end w:w="125" w:type="dxa"/>
            </w:tcMar>
            <w:vAlign w:val="center"/>
          </w:tcPr>
          <w:p>
            <w:pPr>
              <w:spacing w:after="0"/>
            </w:pPr>
            <w:r>
              <w:rPr>
                <w:sz w:val="17"/>
              </w:rPr>
              <w:t>Only approved viewer code may run. Visitor code prompts uploads and arbitrary transformations are prohibited.</w:t>
            </w:r>
          </w:p>
        </w:tc>
      </w:tr>
      <w:tr>
        <w:trPr>
          <w:cantSplit/>
        </w:trPr>
        <w:tc>
          <w:tcPr>
            <w:tcW w:type="dxa" w:w="2232"/>
            <w:shd w:fill="F4F7FA"/>
            <w:tcMar>
              <w:top w:w="110" w:type="dxa"/>
              <w:start w:w="125" w:type="dxa"/>
              <w:bottom w:w="110" w:type="dxa"/>
              <w:end w:w="125" w:type="dxa"/>
            </w:tcMar>
            <w:vAlign w:val="center"/>
          </w:tcPr>
          <w:p>
            <w:pPr>
              <w:spacing w:after="0"/>
            </w:pPr>
            <w:r>
              <w:rPr>
                <w:sz w:val="17"/>
              </w:rPr>
              <w:t>Network</w:t>
            </w:r>
          </w:p>
        </w:tc>
        <w:tc>
          <w:tcPr>
            <w:tcW w:type="dxa" w:w="7344"/>
            <w:shd w:fill="F4F7FA"/>
            <w:tcMar>
              <w:top w:w="110" w:type="dxa"/>
              <w:start w:w="125" w:type="dxa"/>
              <w:bottom w:w="110" w:type="dxa"/>
              <w:end w:w="125" w:type="dxa"/>
            </w:tcMar>
            <w:vAlign w:val="center"/>
          </w:tcPr>
          <w:p>
            <w:pPr>
              <w:spacing w:after="0"/>
            </w:pPr>
            <w:r>
              <w:rPr>
                <w:sz w:val="17"/>
              </w:rPr>
              <w:t>The container retrieves its own public release objects and exposes downloads. It must not access administrative interfaces private services or credentials.</w:t>
            </w:r>
          </w:p>
        </w:tc>
      </w:tr>
      <w:tr>
        <w:trPr>
          <w:cantSplit/>
        </w:trPr>
        <w:tc>
          <w:tcPr>
            <w:tcW w:type="dxa" w:w="2232"/>
            <w:tcMar>
              <w:top w:w="110" w:type="dxa"/>
              <w:start w:w="125" w:type="dxa"/>
              <w:bottom w:w="110" w:type="dxa"/>
              <w:end w:w="125" w:type="dxa"/>
            </w:tcMar>
            <w:vAlign w:val="center"/>
          </w:tcPr>
          <w:p>
            <w:pPr>
              <w:spacing w:after="0"/>
            </w:pPr>
            <w:r>
              <w:rPr>
                <w:sz w:val="17"/>
              </w:rPr>
              <w:t>Identity</w:t>
            </w:r>
          </w:p>
        </w:tc>
        <w:tc>
          <w:tcPr>
            <w:tcW w:type="dxa" w:w="7344"/>
            <w:tcMar>
              <w:top w:w="110" w:type="dxa"/>
              <w:start w:w="125" w:type="dxa"/>
              <w:bottom w:w="110" w:type="dxa"/>
              <w:end w:w="125" w:type="dxa"/>
            </w:tcMar>
            <w:vAlign w:val="center"/>
          </w:tcPr>
          <w:p>
            <w:pPr>
              <w:spacing w:after="0"/>
            </w:pPr>
            <w:r>
              <w:rPr>
                <w:sz w:val="17"/>
              </w:rPr>
              <w:t>The container must not receive the main site's authentication cookies session tokens or private visitor identity.</w:t>
            </w:r>
          </w:p>
        </w:tc>
      </w:tr>
      <w:tr>
        <w:trPr>
          <w:cantSplit/>
        </w:trPr>
        <w:tc>
          <w:tcPr>
            <w:tcW w:type="dxa" w:w="2232"/>
            <w:shd w:fill="F4F7FA"/>
            <w:tcMar>
              <w:top w:w="110" w:type="dxa"/>
              <w:start w:w="125" w:type="dxa"/>
              <w:bottom w:w="110" w:type="dxa"/>
              <w:end w:w="125" w:type="dxa"/>
            </w:tcMar>
            <w:vAlign w:val="center"/>
          </w:tcPr>
          <w:p>
            <w:pPr>
              <w:spacing w:after="0"/>
            </w:pPr>
            <w:r>
              <w:rPr>
                <w:sz w:val="17"/>
              </w:rPr>
              <w:t>Failure isolation</w:t>
            </w:r>
          </w:p>
        </w:tc>
        <w:tc>
          <w:tcPr>
            <w:tcW w:type="dxa" w:w="7344"/>
            <w:shd w:fill="F4F7FA"/>
            <w:tcMar>
              <w:top w:w="110" w:type="dxa"/>
              <w:start w:w="125" w:type="dxa"/>
              <w:bottom w:w="110" w:type="dxa"/>
              <w:end w:w="125" w:type="dxa"/>
            </w:tcMar>
            <w:vAlign w:val="center"/>
          </w:tcPr>
          <w:p>
            <w:pPr>
              <w:spacing w:after="0"/>
            </w:pPr>
            <w:r>
              <w:rPr>
                <w:sz w:val="17"/>
              </w:rPr>
              <w:t>A viewer package or transfer failure must not alter or interrupt the canonical Green Tank publication.</w:t>
            </w:r>
          </w:p>
        </w:tc>
      </w:tr>
      <w:tr>
        <w:trPr>
          <w:cantSplit/>
        </w:trPr>
        <w:tc>
          <w:tcPr>
            <w:tcW w:type="dxa" w:w="2232"/>
            <w:tcMar>
              <w:top w:w="110" w:type="dxa"/>
              <w:start w:w="125" w:type="dxa"/>
              <w:bottom w:w="110" w:type="dxa"/>
              <w:end w:w="125" w:type="dxa"/>
            </w:tcMar>
            <w:vAlign w:val="center"/>
          </w:tcPr>
          <w:p>
            <w:pPr>
              <w:spacing w:after="0"/>
            </w:pPr>
            <w:r>
              <w:rPr>
                <w:sz w:val="17"/>
              </w:rPr>
              <w:t>Publication authority</w:t>
            </w:r>
          </w:p>
        </w:tc>
        <w:tc>
          <w:tcPr>
            <w:tcW w:type="dxa" w:w="7344"/>
            <w:tcMar>
              <w:top w:w="110" w:type="dxa"/>
              <w:start w:w="125" w:type="dxa"/>
              <w:bottom w:w="110" w:type="dxa"/>
              <w:end w:w="125" w:type="dxa"/>
            </w:tcMar>
            <w:vAlign w:val="center"/>
          </w:tcPr>
          <w:p>
            <w:pPr>
              <w:spacing w:after="0"/>
            </w:pPr>
            <w:r>
              <w:rPr>
                <w:sz w:val="17"/>
              </w:rPr>
              <w:t>Only the controlled publishing workflow may place a new validated immutable release inside the container.</w:t>
            </w:r>
          </w:p>
        </w:tc>
      </w:tr>
      <w:tr>
        <w:trPr>
          <w:cantSplit/>
        </w:trPr>
        <w:tc>
          <w:tcPr>
            <w:tcW w:type="dxa" w:w="2232"/>
            <w:shd w:fill="F4F7FA"/>
            <w:tcMar>
              <w:top w:w="110" w:type="dxa"/>
              <w:start w:w="125" w:type="dxa"/>
              <w:bottom w:w="110" w:type="dxa"/>
              <w:end w:w="125" w:type="dxa"/>
            </w:tcMar>
            <w:vAlign w:val="center"/>
          </w:tcPr>
          <w:p>
            <w:pPr>
              <w:spacing w:after="0"/>
            </w:pPr>
            <w:r>
              <w:rPr>
                <w:sz w:val="17"/>
              </w:rPr>
              <w:t>External processing</w:t>
            </w:r>
          </w:p>
        </w:tc>
        <w:tc>
          <w:tcPr>
            <w:tcW w:type="dxa" w:w="7344"/>
            <w:shd w:fill="F4F7FA"/>
            <w:tcMar>
              <w:top w:w="110" w:type="dxa"/>
              <w:start w:w="125" w:type="dxa"/>
              <w:bottom w:w="110" w:type="dxa"/>
              <w:end w:w="125" w:type="dxa"/>
            </w:tcMar>
            <w:vAlign w:val="center"/>
          </w:tcPr>
          <w:p>
            <w:pPr>
              <w:spacing w:after="0"/>
            </w:pPr>
            <w:r>
              <w:rPr>
                <w:sz w:val="17"/>
              </w:rPr>
              <w:t>Observers may export modules and run experiments elsewhere. Experimental output does not write back into the container.</w:t>
            </w:r>
          </w:p>
        </w:tc>
      </w:tr>
    </w:tbl>
    <w:p>
      <w:pPr>
        <w:spacing w:after="0"/>
      </w:pPr>
    </w:p>
    <w:p>
      <w:r>
        <w:t>If AI Sub Space is visually embedded, the embedding method must use a browser sandbox and a restrictive content security policy. It may permit approved local viewing and downloads, but it must block forms, visitor uploads, pop-ups, cross-site state access and unapproved network connections. Opening AI Sub Space as a separate isolated page is also conforming.</w:t>
      </w:r>
    </w:p>
    <w:p>
      <w:pPr>
        <w:pStyle w:val="Heading1"/>
        <w:keepNext/>
      </w:pPr>
      <w:r>
        <w:t>5 Exact source preservation</w:t>
      </w:r>
    </w:p>
    <w:p>
      <w:pPr>
        <w:spacing w:after="70" w:line="259" w:lineRule="auto"/>
        <w:ind w:left="576" w:hanging="432"/>
      </w:pPr>
      <w:r>
        <w:t xml:space="preserve">1. </w:t>
      </w:r>
      <w:r>
        <w:t>Collect every publicly reachable canonical route and every public asset required by those routes.</w:t>
      </w:r>
    </w:p>
    <w:p>
      <w:pPr>
        <w:spacing w:after="70" w:line="259" w:lineRule="auto"/>
        <w:ind w:left="576" w:hanging="432"/>
      </w:pPr>
      <w:r>
        <w:t xml:space="preserve">2. </w:t>
      </w:r>
      <w:r>
        <w:t>Preserve each original file byte for byte where the publishing system exposes file bytes.</w:t>
      </w:r>
    </w:p>
    <w:p>
      <w:pPr>
        <w:spacing w:after="70" w:line="259" w:lineRule="auto"/>
        <w:ind w:left="576" w:hanging="432"/>
      </w:pPr>
      <w:r>
        <w:t xml:space="preserve">3. </w:t>
      </w:r>
      <w:r>
        <w:t>Capture generated pages in a faithful served form when no direct source file exists.</w:t>
      </w:r>
    </w:p>
    <w:p>
      <w:pPr>
        <w:spacing w:after="70" w:line="259" w:lineRule="auto"/>
        <w:ind w:left="576" w:hanging="432"/>
      </w:pPr>
      <w:r>
        <w:t xml:space="preserve">4. </w:t>
      </w:r>
      <w:r>
        <w:t>Record the media type byte size canonical route and SHA-256 hash of every object.</w:t>
      </w:r>
    </w:p>
    <w:p>
      <w:pPr>
        <w:spacing w:after="70" w:line="259" w:lineRule="auto"/>
        <w:ind w:left="576" w:hanging="432"/>
      </w:pPr>
      <w:r>
        <w:t xml:space="preserve">5. </w:t>
      </w:r>
      <w:r>
        <w:t>Record redirects aliases removed routes and state changes without silently rewriting historical releases.</w:t>
      </w:r>
    </w:p>
    <w:p>
      <w:pPr>
        <w:spacing w:after="70" w:line="259" w:lineRule="auto"/>
        <w:ind w:left="576" w:hanging="432"/>
      </w:pPr>
      <w:r>
        <w:t xml:space="preserve">6. </w:t>
      </w:r>
      <w:r>
        <w:t>Place normalised text semantic annotations and inferred relationships outside the original source layer.</w:t>
      </w:r>
    </w:p>
    <w:p>
      <w:pPr>
        <w:pStyle w:val="Heading2"/>
        <w:keepNext/>
      </w:pPr>
      <w:r>
        <w:t>5.1 Source object record</w:t>
      </w:r>
    </w:p>
    <w:p>
      <w:pPr>
        <w:keepLines/>
        <w:spacing w:before="80" w:after="160" w:line="245" w:lineRule="auto"/>
        <w:ind w:left="403" w:right="216"/>
        <w:shd w:fill="F3F4F6"/>
      </w:pPr>
      <w:r>
        <w:rPr>
          <w:rFonts w:ascii="DejaVu Sans Mono" w:hAnsi="DejaVu Sans Mono"/>
          <w:sz w:val="16"/>
        </w:rPr>
        <w:t>{</w:t>
      </w:r>
      <w:r>
        <w:br/>
      </w:r>
      <w:r>
        <w:rPr>
          <w:rFonts w:ascii="DejaVu Sans Mono" w:hAnsi="DejaVu Sans Mono"/>
          <w:sz w:val="16"/>
        </w:rPr>
        <w:t xml:space="preserve">  "object_id": "gt:source:page:pace-service",</w:t>
      </w:r>
      <w:r>
        <w:br/>
      </w:r>
      <w:r>
        <w:rPr>
          <w:rFonts w:ascii="DejaVu Sans Mono" w:hAnsi="DejaVu Sans Mono"/>
          <w:sz w:val="16"/>
        </w:rPr>
        <w:t xml:space="preserve">  "release": "ddsk-v0001",</w:t>
      </w:r>
      <w:r>
        <w:br/>
      </w:r>
      <w:r>
        <w:rPr>
          <w:rFonts w:ascii="DejaVu Sans Mono" w:hAnsi="DejaVu Sans Mono"/>
          <w:sz w:val="16"/>
        </w:rPr>
        <w:t xml:space="preserve">  "canonical_uri": "/pace-service/",</w:t>
      </w:r>
      <w:r>
        <w:br/>
      </w:r>
      <w:r>
        <w:rPr>
          <w:rFonts w:ascii="DejaVu Sans Mono" w:hAnsi="DejaVu Sans Mono"/>
          <w:sz w:val="16"/>
        </w:rPr>
        <w:t xml:space="preserve">  "media_type": "text/html; charset=utf-8",</w:t>
      </w:r>
      <w:r>
        <w:br/>
      </w:r>
      <w:r>
        <w:rPr>
          <w:rFonts w:ascii="DejaVu Sans Mono" w:hAnsi="DejaVu Sans Mono"/>
          <w:sz w:val="16"/>
        </w:rPr>
        <w:t xml:space="preserve">  "bytes": 18422,</w:t>
      </w:r>
      <w:r>
        <w:br/>
      </w:r>
      <w:r>
        <w:rPr>
          <w:rFonts w:ascii="DejaVu Sans Mono" w:hAnsi="DejaVu Sans Mono"/>
          <w:sz w:val="16"/>
        </w:rPr>
        <w:t xml:space="preserve">  "sha256": "&lt;64 hexadecimal characters&gt;",</w:t>
      </w:r>
      <w:r>
        <w:br/>
      </w:r>
      <w:r>
        <w:rPr>
          <w:rFonts w:ascii="DejaVu Sans Mono" w:hAnsi="DejaVu Sans Mono"/>
          <w:sz w:val="16"/>
        </w:rPr>
        <w:t xml:space="preserve">  "source_status": "published",</w:t>
      </w:r>
      <w:r>
        <w:br/>
      </w:r>
      <w:r>
        <w:rPr>
          <w:rFonts w:ascii="DejaVu Sans Mono" w:hAnsi="DejaVu Sans Mono"/>
          <w:sz w:val="16"/>
        </w:rPr>
        <w:t xml:space="preserve">  "captured_at": "&lt;ISO 8601 UTC timestamp&gt;",</w:t>
      </w:r>
      <w:r>
        <w:br/>
      </w:r>
      <w:r>
        <w:rPr>
          <w:rFonts w:ascii="DejaVu Sans Mono" w:hAnsi="DejaVu Sans Mono"/>
          <w:sz w:val="16"/>
        </w:rPr>
        <w:t xml:space="preserve">  "derived_objects": ["gt:module:proposal:pace-service"]</w:t>
      </w:r>
      <w:r>
        <w:br/>
      </w:r>
      <w:r>
        <w:rPr>
          <w:rFonts w:ascii="DejaVu Sans Mono" w:hAnsi="DejaVu Sans Mono"/>
          <w:sz w:val="16"/>
        </w:rPr>
        <w:t>}</w:t>
      </w:r>
    </w:p>
    <w:p>
      <w:pPr>
        <w:pStyle w:val="Heading1"/>
        <w:keepNext/>
      </w:pPr>
      <w:r>
        <w:t>6 Modular representation</w:t>
      </w:r>
    </w:p>
    <w:p>
      <w:r>
        <w:t>The publishing process must identify meaningful subjects without destroying their original wording. A subject can be a person organisation place event object proposal paper system function capability relationship claim or defined concept. Each subject becomes a module when it has a stable identity and at least one source reference.</w:t>
      </w:r>
    </w:p>
    <w:p>
      <w:pPr>
        <w:pStyle w:val="Heading2"/>
        <w:keepNext/>
      </w:pPr>
      <w:r>
        <w:t>6.1 Required module fields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088"/>
            <w:shd w:fill="243447"/>
            <w:tcMar>
              <w:top w:w="110" w:type="dxa"/>
              <w:start w:w="125" w:type="dxa"/>
              <w:bottom w:w="110" w:type="dxa"/>
              <w:end w:w="125" w:type="dxa"/>
            </w:tcMar>
            <w:vAlign w:val="center"/>
          </w:tcPr>
          <w:p>
            <w:pPr>
              <w:spacing w:after="0"/>
              <w:jc w:val="left"/>
            </w:pPr>
            <w:r>
              <w:rPr>
                <w:b/>
                <w:color w:val="FFFFFF"/>
                <w:sz w:val="18"/>
              </w:rPr>
              <w:t>Field</w:t>
            </w:r>
          </w:p>
        </w:tc>
        <w:tc>
          <w:tcPr>
            <w:tcW w:type="dxa" w:w="7488"/>
            <w:shd w:fill="243447"/>
            <w:tcMar>
              <w:top w:w="110" w:type="dxa"/>
              <w:start w:w="125" w:type="dxa"/>
              <w:bottom w:w="110" w:type="dxa"/>
              <w:end w:w="125" w:type="dxa"/>
            </w:tcMar>
            <w:vAlign w:val="center"/>
          </w:tcPr>
          <w:p>
            <w:pPr>
              <w:spacing w:after="0"/>
              <w:jc w:val="left"/>
            </w:pPr>
            <w:r>
              <w:rPr>
                <w:b/>
                <w:color w:val="FFFFFF"/>
                <w:sz w:val="18"/>
              </w:rPr>
              <w:t>Requirement</w:t>
            </w:r>
          </w:p>
        </w:tc>
      </w:tr>
      <w:tr>
        <w:trPr>
          <w:cantSplit/>
        </w:trPr>
        <w:tc>
          <w:tcPr>
            <w:tcW w:type="dxa" w:w="2088"/>
            <w:tcMar>
              <w:top w:w="110" w:type="dxa"/>
              <w:start w:w="125" w:type="dxa"/>
              <w:bottom w:w="110" w:type="dxa"/>
              <w:end w:w="125" w:type="dxa"/>
            </w:tcMar>
            <w:vAlign w:val="center"/>
          </w:tcPr>
          <w:p>
            <w:pPr>
              <w:spacing w:after="0"/>
            </w:pPr>
            <w:r>
              <w:rPr>
                <w:sz w:val="17"/>
              </w:rPr>
              <w:t>module_id</w:t>
            </w:r>
          </w:p>
        </w:tc>
        <w:tc>
          <w:tcPr>
            <w:tcW w:type="dxa" w:w="7488"/>
            <w:tcMar>
              <w:top w:w="110" w:type="dxa"/>
              <w:start w:w="125" w:type="dxa"/>
              <w:bottom w:w="110" w:type="dxa"/>
              <w:end w:w="125" w:type="dxa"/>
            </w:tcMar>
            <w:vAlign w:val="center"/>
          </w:tcPr>
          <w:p>
            <w:pPr>
              <w:spacing w:after="0"/>
            </w:pPr>
            <w:r>
              <w:rPr>
                <w:sz w:val="17"/>
              </w:rPr>
              <w:t>Stable identifier that does not depend on display wording.</w:t>
            </w:r>
          </w:p>
        </w:tc>
      </w:tr>
      <w:tr>
        <w:trPr>
          <w:cantSplit/>
        </w:trPr>
        <w:tc>
          <w:tcPr>
            <w:tcW w:type="dxa" w:w="2088"/>
            <w:shd w:fill="F4F7FA"/>
            <w:tcMar>
              <w:top w:w="110" w:type="dxa"/>
              <w:start w:w="125" w:type="dxa"/>
              <w:bottom w:w="110" w:type="dxa"/>
              <w:end w:w="125" w:type="dxa"/>
            </w:tcMar>
            <w:vAlign w:val="center"/>
          </w:tcPr>
          <w:p>
            <w:pPr>
              <w:spacing w:after="0"/>
            </w:pPr>
            <w:r>
              <w:rPr>
                <w:sz w:val="17"/>
              </w:rPr>
              <w:t>module_type</w:t>
            </w:r>
          </w:p>
        </w:tc>
        <w:tc>
          <w:tcPr>
            <w:tcW w:type="dxa" w:w="7488"/>
            <w:shd w:fill="F4F7FA"/>
            <w:tcMar>
              <w:top w:w="110" w:type="dxa"/>
              <w:start w:w="125" w:type="dxa"/>
              <w:bottom w:w="110" w:type="dxa"/>
              <w:end w:w="125" w:type="dxa"/>
            </w:tcMar>
            <w:vAlign w:val="center"/>
          </w:tcPr>
          <w:p>
            <w:pPr>
              <w:spacing w:after="0"/>
            </w:pPr>
            <w:r>
              <w:rPr>
                <w:sz w:val="17"/>
              </w:rPr>
              <w:t>Declared class such as organisation object proposal function capability event person or concept.</w:t>
            </w:r>
          </w:p>
        </w:tc>
      </w:tr>
      <w:tr>
        <w:trPr>
          <w:cantSplit/>
        </w:trPr>
        <w:tc>
          <w:tcPr>
            <w:tcW w:type="dxa" w:w="2088"/>
            <w:tcMar>
              <w:top w:w="110" w:type="dxa"/>
              <w:start w:w="125" w:type="dxa"/>
              <w:bottom w:w="110" w:type="dxa"/>
              <w:end w:w="125" w:type="dxa"/>
            </w:tcMar>
            <w:vAlign w:val="center"/>
          </w:tcPr>
          <w:p>
            <w:pPr>
              <w:spacing w:after="0"/>
            </w:pPr>
            <w:r>
              <w:rPr>
                <w:sz w:val="17"/>
              </w:rPr>
              <w:t>names</w:t>
            </w:r>
          </w:p>
        </w:tc>
        <w:tc>
          <w:tcPr>
            <w:tcW w:type="dxa" w:w="7488"/>
            <w:tcMar>
              <w:top w:w="110" w:type="dxa"/>
              <w:start w:w="125" w:type="dxa"/>
              <w:bottom w:w="110" w:type="dxa"/>
              <w:end w:w="125" w:type="dxa"/>
            </w:tcMar>
            <w:vAlign w:val="center"/>
          </w:tcPr>
          <w:p>
            <w:pPr>
              <w:spacing w:after="0"/>
            </w:pPr>
            <w:r>
              <w:rPr>
                <w:sz w:val="17"/>
              </w:rPr>
              <w:t>Published name aliases and external identifiers with source references.</w:t>
            </w:r>
          </w:p>
        </w:tc>
      </w:tr>
      <w:tr>
        <w:trPr>
          <w:cantSplit/>
        </w:trPr>
        <w:tc>
          <w:tcPr>
            <w:tcW w:type="dxa" w:w="2088"/>
            <w:shd w:fill="F4F7FA"/>
            <w:tcMar>
              <w:top w:w="110" w:type="dxa"/>
              <w:start w:w="125" w:type="dxa"/>
              <w:bottom w:w="110" w:type="dxa"/>
              <w:end w:w="125" w:type="dxa"/>
            </w:tcMar>
            <w:vAlign w:val="center"/>
          </w:tcPr>
          <w:p>
            <w:pPr>
              <w:spacing w:after="0"/>
            </w:pPr>
            <w:r>
              <w:rPr>
                <w:sz w:val="17"/>
              </w:rPr>
              <w:t>source_refs</w:t>
            </w:r>
          </w:p>
        </w:tc>
        <w:tc>
          <w:tcPr>
            <w:tcW w:type="dxa" w:w="7488"/>
            <w:shd w:fill="F4F7FA"/>
            <w:tcMar>
              <w:top w:w="110" w:type="dxa"/>
              <w:start w:w="125" w:type="dxa"/>
              <w:bottom w:w="110" w:type="dxa"/>
              <w:end w:w="125" w:type="dxa"/>
            </w:tcMar>
            <w:vAlign w:val="center"/>
          </w:tcPr>
          <w:p>
            <w:pPr>
              <w:spacing w:after="0"/>
            </w:pPr>
            <w:r>
              <w:rPr>
                <w:sz w:val="17"/>
              </w:rPr>
              <w:t>Exact links to original source objects sections paragraphs or byte ranges.</w:t>
            </w:r>
          </w:p>
        </w:tc>
      </w:tr>
      <w:tr>
        <w:trPr>
          <w:cantSplit/>
        </w:trPr>
        <w:tc>
          <w:tcPr>
            <w:tcW w:type="dxa" w:w="2088"/>
            <w:tcMar>
              <w:top w:w="110" w:type="dxa"/>
              <w:start w:w="125" w:type="dxa"/>
              <w:bottom w:w="110" w:type="dxa"/>
              <w:end w:w="125" w:type="dxa"/>
            </w:tcMar>
            <w:vAlign w:val="center"/>
          </w:tcPr>
          <w:p>
            <w:pPr>
              <w:spacing w:after="0"/>
            </w:pPr>
            <w:r>
              <w:rPr>
                <w:sz w:val="17"/>
              </w:rPr>
              <w:t>definition</w:t>
            </w:r>
          </w:p>
        </w:tc>
        <w:tc>
          <w:tcPr>
            <w:tcW w:type="dxa" w:w="7488"/>
            <w:tcMar>
              <w:top w:w="110" w:type="dxa"/>
              <w:start w:w="125" w:type="dxa"/>
              <w:bottom w:w="110" w:type="dxa"/>
              <w:end w:w="125" w:type="dxa"/>
            </w:tcMar>
            <w:vAlign w:val="center"/>
          </w:tcPr>
          <w:p>
            <w:pPr>
              <w:spacing w:after="0"/>
            </w:pPr>
            <w:r>
              <w:rPr>
                <w:sz w:val="17"/>
              </w:rPr>
              <w:t>Plain description of what the subject refers to without replacing the source.</w:t>
            </w:r>
          </w:p>
        </w:tc>
      </w:tr>
      <w:tr>
        <w:trPr>
          <w:cantSplit/>
        </w:trPr>
        <w:tc>
          <w:tcPr>
            <w:tcW w:type="dxa" w:w="2088"/>
            <w:shd w:fill="F4F7FA"/>
            <w:tcMar>
              <w:top w:w="110" w:type="dxa"/>
              <w:start w:w="125" w:type="dxa"/>
              <w:bottom w:w="110" w:type="dxa"/>
              <w:end w:w="125" w:type="dxa"/>
            </w:tcMar>
            <w:vAlign w:val="center"/>
          </w:tcPr>
          <w:p>
            <w:pPr>
              <w:spacing w:after="0"/>
            </w:pPr>
            <w:r>
              <w:rPr>
                <w:sz w:val="17"/>
              </w:rPr>
              <w:t>construction</w:t>
            </w:r>
          </w:p>
        </w:tc>
        <w:tc>
          <w:tcPr>
            <w:tcW w:type="dxa" w:w="7488"/>
            <w:shd w:fill="F4F7FA"/>
            <w:tcMar>
              <w:top w:w="110" w:type="dxa"/>
              <w:start w:w="125" w:type="dxa"/>
              <w:bottom w:w="110" w:type="dxa"/>
              <w:end w:w="125" w:type="dxa"/>
            </w:tcMar>
            <w:vAlign w:val="center"/>
          </w:tcPr>
          <w:p>
            <w:pPr>
              <w:spacing w:after="0"/>
            </w:pPr>
            <w:r>
              <w:rPr>
                <w:sz w:val="17"/>
              </w:rPr>
              <w:t>Known components physical or digital structure dependencies and interfaces.</w:t>
            </w:r>
          </w:p>
        </w:tc>
      </w:tr>
      <w:tr>
        <w:trPr>
          <w:cantSplit/>
        </w:trPr>
        <w:tc>
          <w:tcPr>
            <w:tcW w:type="dxa" w:w="2088"/>
            <w:tcMar>
              <w:top w:w="110" w:type="dxa"/>
              <w:start w:w="125" w:type="dxa"/>
              <w:bottom w:w="110" w:type="dxa"/>
              <w:end w:w="125" w:type="dxa"/>
            </w:tcMar>
            <w:vAlign w:val="center"/>
          </w:tcPr>
          <w:p>
            <w:pPr>
              <w:spacing w:after="0"/>
            </w:pPr>
            <w:r>
              <w:rPr>
                <w:sz w:val="17"/>
              </w:rPr>
              <w:t>functions</w:t>
            </w:r>
          </w:p>
        </w:tc>
        <w:tc>
          <w:tcPr>
            <w:tcW w:type="dxa" w:w="7488"/>
            <w:tcMar>
              <w:top w:w="110" w:type="dxa"/>
              <w:start w:w="125" w:type="dxa"/>
              <w:bottom w:w="110" w:type="dxa"/>
              <w:end w:w="125" w:type="dxa"/>
            </w:tcMar>
            <w:vAlign w:val="center"/>
          </w:tcPr>
          <w:p>
            <w:pPr>
              <w:spacing w:after="0"/>
            </w:pPr>
            <w:r>
              <w:rPr>
                <w:sz w:val="17"/>
              </w:rPr>
              <w:t>Observed declared intended and possible functions separated by evidence state.</w:t>
            </w:r>
          </w:p>
        </w:tc>
      </w:tr>
      <w:tr>
        <w:trPr>
          <w:cantSplit/>
        </w:trPr>
        <w:tc>
          <w:tcPr>
            <w:tcW w:type="dxa" w:w="2088"/>
            <w:shd w:fill="F4F7FA"/>
            <w:tcMar>
              <w:top w:w="110" w:type="dxa"/>
              <w:start w:w="125" w:type="dxa"/>
              <w:bottom w:w="110" w:type="dxa"/>
              <w:end w:w="125" w:type="dxa"/>
            </w:tcMar>
            <w:vAlign w:val="center"/>
          </w:tcPr>
          <w:p>
            <w:pPr>
              <w:spacing w:after="0"/>
            </w:pPr>
            <w:r>
              <w:rPr>
                <w:sz w:val="17"/>
              </w:rPr>
              <w:t>capabilities</w:t>
            </w:r>
          </w:p>
        </w:tc>
        <w:tc>
          <w:tcPr>
            <w:tcW w:type="dxa" w:w="7488"/>
            <w:shd w:fill="F4F7FA"/>
            <w:tcMar>
              <w:top w:w="110" w:type="dxa"/>
              <w:start w:w="125" w:type="dxa"/>
              <w:bottom w:w="110" w:type="dxa"/>
              <w:end w:w="125" w:type="dxa"/>
            </w:tcMar>
            <w:vAlign w:val="center"/>
          </w:tcPr>
          <w:p>
            <w:pPr>
              <w:spacing w:after="0"/>
            </w:pPr>
            <w:r>
              <w:rPr>
                <w:sz w:val="17"/>
              </w:rPr>
              <w:t>What the subject can do under stated conditions including limitations.</w:t>
            </w:r>
          </w:p>
        </w:tc>
      </w:tr>
      <w:tr>
        <w:trPr>
          <w:cantSplit/>
        </w:trPr>
        <w:tc>
          <w:tcPr>
            <w:tcW w:type="dxa" w:w="2088"/>
            <w:tcMar>
              <w:top w:w="110" w:type="dxa"/>
              <w:start w:w="125" w:type="dxa"/>
              <w:bottom w:w="110" w:type="dxa"/>
              <w:end w:w="125" w:type="dxa"/>
            </w:tcMar>
            <w:vAlign w:val="center"/>
          </w:tcPr>
          <w:p>
            <w:pPr>
              <w:spacing w:after="0"/>
            </w:pPr>
            <w:r>
              <w:rPr>
                <w:sz w:val="17"/>
              </w:rPr>
              <w:t>constraints</w:t>
            </w:r>
          </w:p>
        </w:tc>
        <w:tc>
          <w:tcPr>
            <w:tcW w:type="dxa" w:w="7488"/>
            <w:tcMar>
              <w:top w:w="110" w:type="dxa"/>
              <w:start w:w="125" w:type="dxa"/>
              <w:bottom w:w="110" w:type="dxa"/>
              <w:end w:w="125" w:type="dxa"/>
            </w:tcMar>
            <w:vAlign w:val="center"/>
          </w:tcPr>
          <w:p>
            <w:pPr>
              <w:spacing w:after="0"/>
            </w:pPr>
            <w:r>
              <w:rPr>
                <w:sz w:val="17"/>
              </w:rPr>
              <w:t>Legal physical technical ethical authority safety and data limits when present.</w:t>
            </w:r>
          </w:p>
        </w:tc>
      </w:tr>
      <w:tr>
        <w:trPr>
          <w:cantSplit/>
        </w:trPr>
        <w:tc>
          <w:tcPr>
            <w:tcW w:type="dxa" w:w="2088"/>
            <w:shd w:fill="F4F7FA"/>
            <w:tcMar>
              <w:top w:w="110" w:type="dxa"/>
              <w:start w:w="125" w:type="dxa"/>
              <w:bottom w:w="110" w:type="dxa"/>
              <w:end w:w="125" w:type="dxa"/>
            </w:tcMar>
            <w:vAlign w:val="center"/>
          </w:tcPr>
          <w:p>
            <w:pPr>
              <w:spacing w:after="0"/>
            </w:pPr>
            <w:r>
              <w:rPr>
                <w:sz w:val="17"/>
              </w:rPr>
              <w:t>relations</w:t>
            </w:r>
          </w:p>
        </w:tc>
        <w:tc>
          <w:tcPr>
            <w:tcW w:type="dxa" w:w="7488"/>
            <w:shd w:fill="F4F7FA"/>
            <w:tcMar>
              <w:top w:w="110" w:type="dxa"/>
              <w:start w:w="125" w:type="dxa"/>
              <w:bottom w:w="110" w:type="dxa"/>
              <w:end w:w="125" w:type="dxa"/>
            </w:tcMar>
            <w:vAlign w:val="center"/>
          </w:tcPr>
          <w:p>
            <w:pPr>
              <w:spacing w:after="0"/>
            </w:pPr>
            <w:r>
              <w:rPr>
                <w:sz w:val="17"/>
              </w:rPr>
              <w:t>Typed links to other modules with direction time provenance and confidence.</w:t>
            </w:r>
          </w:p>
        </w:tc>
      </w:tr>
      <w:tr>
        <w:trPr>
          <w:cantSplit/>
        </w:trPr>
        <w:tc>
          <w:tcPr>
            <w:tcW w:type="dxa" w:w="2088"/>
            <w:tcMar>
              <w:top w:w="110" w:type="dxa"/>
              <w:start w:w="125" w:type="dxa"/>
              <w:bottom w:w="110" w:type="dxa"/>
              <w:end w:w="125" w:type="dxa"/>
            </w:tcMar>
            <w:vAlign w:val="center"/>
          </w:tcPr>
          <w:p>
            <w:pPr>
              <w:spacing w:after="0"/>
            </w:pPr>
            <w:r>
              <w:rPr>
                <w:sz w:val="17"/>
              </w:rPr>
              <w:t>state</w:t>
            </w:r>
          </w:p>
        </w:tc>
        <w:tc>
          <w:tcPr>
            <w:tcW w:type="dxa" w:w="7488"/>
            <w:tcMar>
              <w:top w:w="110" w:type="dxa"/>
              <w:start w:w="125" w:type="dxa"/>
              <w:bottom w:w="110" w:type="dxa"/>
              <w:end w:w="125" w:type="dxa"/>
            </w:tcMar>
            <w:vAlign w:val="center"/>
          </w:tcPr>
          <w:p>
            <w:pPr>
              <w:spacing w:after="0"/>
            </w:pPr>
            <w:r>
              <w:rPr>
                <w:sz w:val="17"/>
              </w:rPr>
              <w:t>Current or historical state with change events and dates where known.</w:t>
            </w:r>
          </w:p>
        </w:tc>
      </w:tr>
      <w:tr>
        <w:trPr>
          <w:cantSplit/>
        </w:trPr>
        <w:tc>
          <w:tcPr>
            <w:tcW w:type="dxa" w:w="2088"/>
            <w:shd w:fill="F4F7FA"/>
            <w:tcMar>
              <w:top w:w="110" w:type="dxa"/>
              <w:start w:w="125" w:type="dxa"/>
              <w:bottom w:w="110" w:type="dxa"/>
              <w:end w:w="125" w:type="dxa"/>
            </w:tcMar>
            <w:vAlign w:val="center"/>
          </w:tcPr>
          <w:p>
            <w:pPr>
              <w:spacing w:after="0"/>
            </w:pPr>
            <w:r>
              <w:rPr>
                <w:sz w:val="17"/>
              </w:rPr>
              <w:t>ports</w:t>
            </w:r>
          </w:p>
        </w:tc>
        <w:tc>
          <w:tcPr>
            <w:tcW w:type="dxa" w:w="7488"/>
            <w:shd w:fill="F4F7FA"/>
            <w:tcMar>
              <w:top w:w="110" w:type="dxa"/>
              <w:start w:w="125" w:type="dxa"/>
              <w:bottom w:w="110" w:type="dxa"/>
              <w:end w:w="125" w:type="dxa"/>
            </w:tcMar>
            <w:vAlign w:val="center"/>
          </w:tcPr>
          <w:p>
            <w:pPr>
              <w:spacing w:after="0"/>
            </w:pPr>
            <w:r>
              <w:rPr>
                <w:sz w:val="17"/>
              </w:rPr>
              <w:t>Declared compatible inputs outputs required conditions and produced result types.</w:t>
            </w:r>
          </w:p>
        </w:tc>
      </w:tr>
      <w:tr>
        <w:trPr>
          <w:cantSplit/>
        </w:trPr>
        <w:tc>
          <w:tcPr>
            <w:tcW w:type="dxa" w:w="2088"/>
            <w:tcMar>
              <w:top w:w="110" w:type="dxa"/>
              <w:start w:w="125" w:type="dxa"/>
              <w:bottom w:w="110" w:type="dxa"/>
              <w:end w:w="125" w:type="dxa"/>
            </w:tcMar>
            <w:vAlign w:val="center"/>
          </w:tcPr>
          <w:p>
            <w:pPr>
              <w:spacing w:after="0"/>
            </w:pPr>
            <w:r>
              <w:rPr>
                <w:sz w:val="17"/>
              </w:rPr>
              <w:t>frames</w:t>
            </w:r>
          </w:p>
        </w:tc>
        <w:tc>
          <w:tcPr>
            <w:tcW w:type="dxa" w:w="7488"/>
            <w:tcMar>
              <w:top w:w="110" w:type="dxa"/>
              <w:start w:w="125" w:type="dxa"/>
              <w:bottom w:w="110" w:type="dxa"/>
              <w:end w:w="125" w:type="dxa"/>
            </w:tcMar>
            <w:vAlign w:val="center"/>
          </w:tcPr>
          <w:p>
            <w:pPr>
              <w:spacing w:after="0"/>
            </w:pPr>
            <w:r>
              <w:rPr>
                <w:sz w:val="17"/>
              </w:rPr>
              <w:t>Views through which the subject may be examined without treating the view as new evidence.</w:t>
            </w:r>
          </w:p>
        </w:tc>
      </w:tr>
      <w:tr>
        <w:trPr>
          <w:cantSplit/>
        </w:trPr>
        <w:tc>
          <w:tcPr>
            <w:tcW w:type="dxa" w:w="2088"/>
            <w:shd w:fill="F4F7FA"/>
            <w:tcMar>
              <w:top w:w="110" w:type="dxa"/>
              <w:start w:w="125" w:type="dxa"/>
              <w:bottom w:w="110" w:type="dxa"/>
              <w:end w:w="125" w:type="dxa"/>
            </w:tcMar>
            <w:vAlign w:val="center"/>
          </w:tcPr>
          <w:p>
            <w:pPr>
              <w:spacing w:after="0"/>
            </w:pPr>
            <w:r>
              <w:rPr>
                <w:sz w:val="17"/>
              </w:rPr>
              <w:t>truth_state</w:t>
            </w:r>
          </w:p>
        </w:tc>
        <w:tc>
          <w:tcPr>
            <w:tcW w:type="dxa" w:w="7488"/>
            <w:shd w:fill="F4F7FA"/>
            <w:tcMar>
              <w:top w:w="110" w:type="dxa"/>
              <w:start w:w="125" w:type="dxa"/>
              <w:bottom w:w="110" w:type="dxa"/>
              <w:end w:w="125" w:type="dxa"/>
            </w:tcMar>
            <w:vAlign w:val="center"/>
          </w:tcPr>
          <w:p>
            <w:pPr>
              <w:spacing w:after="0"/>
            </w:pPr>
            <w:r>
              <w:rPr>
                <w:sz w:val="17"/>
              </w:rPr>
              <w:t>Observed derived inferred alleged confirmed contradicted or unknown.</w:t>
            </w:r>
          </w:p>
        </w:tc>
      </w:tr>
      <w:tr>
        <w:trPr>
          <w:cantSplit/>
        </w:trPr>
        <w:tc>
          <w:tcPr>
            <w:tcW w:type="dxa" w:w="2088"/>
            <w:tcMar>
              <w:top w:w="110" w:type="dxa"/>
              <w:start w:w="125" w:type="dxa"/>
              <w:bottom w:w="110" w:type="dxa"/>
              <w:end w:w="125" w:type="dxa"/>
            </w:tcMar>
            <w:vAlign w:val="center"/>
          </w:tcPr>
          <w:p>
            <w:pPr>
              <w:spacing w:after="0"/>
            </w:pPr>
            <w:r>
              <w:rPr>
                <w:sz w:val="17"/>
              </w:rPr>
              <w:t>uncertainty</w:t>
            </w:r>
          </w:p>
        </w:tc>
        <w:tc>
          <w:tcPr>
            <w:tcW w:type="dxa" w:w="7488"/>
            <w:tcMar>
              <w:top w:w="110" w:type="dxa"/>
              <w:start w:w="125" w:type="dxa"/>
              <w:bottom w:w="110" w:type="dxa"/>
              <w:end w:w="125" w:type="dxa"/>
            </w:tcMar>
            <w:vAlign w:val="center"/>
          </w:tcPr>
          <w:p>
            <w:pPr>
              <w:spacing w:after="0"/>
            </w:pPr>
            <w:r>
              <w:rPr>
                <w:sz w:val="17"/>
              </w:rPr>
              <w:t>Reason scope and limits of incomplete disputed or unavailable information.</w:t>
            </w:r>
          </w:p>
        </w:tc>
      </w:tr>
      <w:tr>
        <w:trPr>
          <w:cantSplit/>
        </w:trPr>
        <w:tc>
          <w:tcPr>
            <w:tcW w:type="dxa" w:w="2088"/>
            <w:shd w:fill="F4F7FA"/>
            <w:tcMar>
              <w:top w:w="110" w:type="dxa"/>
              <w:start w:w="125" w:type="dxa"/>
              <w:bottom w:w="110" w:type="dxa"/>
              <w:end w:w="125" w:type="dxa"/>
            </w:tcMar>
            <w:vAlign w:val="center"/>
          </w:tcPr>
          <w:p>
            <w:pPr>
              <w:spacing w:after="0"/>
            </w:pPr>
            <w:r>
              <w:rPr>
                <w:sz w:val="17"/>
              </w:rPr>
              <w:t>provenance</w:t>
            </w:r>
          </w:p>
        </w:tc>
        <w:tc>
          <w:tcPr>
            <w:tcW w:type="dxa" w:w="7488"/>
            <w:shd w:fill="F4F7FA"/>
            <w:tcMar>
              <w:top w:w="110" w:type="dxa"/>
              <w:start w:w="125" w:type="dxa"/>
              <w:bottom w:w="110" w:type="dxa"/>
              <w:end w:w="125" w:type="dxa"/>
            </w:tcMar>
            <w:vAlign w:val="center"/>
          </w:tcPr>
          <w:p>
            <w:pPr>
              <w:spacing w:after="0"/>
            </w:pPr>
            <w:r>
              <w:rPr>
                <w:sz w:val="17"/>
              </w:rPr>
              <w:t>Source identity extraction method transformation history and hashes.</w:t>
            </w:r>
          </w:p>
        </w:tc>
      </w:tr>
    </w:tbl>
    <w:p>
      <w:pPr>
        <w:spacing w:after="0"/>
      </w:pPr>
    </w:p>
    <w:p>
      <w:pPr>
        <w:pStyle w:val="Heading2"/>
        <w:keepNext/>
      </w:pPr>
      <w:r>
        <w:t>6.2 Example module</w:t>
      </w:r>
    </w:p>
    <w:p>
      <w:pPr>
        <w:keepLines/>
        <w:spacing w:before="80" w:after="160" w:line="245" w:lineRule="auto"/>
        <w:ind w:left="403" w:right="216"/>
        <w:shd w:fill="F3F4F6"/>
      </w:pPr>
      <w:r>
        <w:rPr>
          <w:rFonts w:ascii="DejaVu Sans Mono" w:hAnsi="DejaVu Sans Mono"/>
          <w:sz w:val="16"/>
        </w:rPr>
        <w:t>{</w:t>
      </w:r>
      <w:r>
        <w:br/>
      </w:r>
      <w:r>
        <w:rPr>
          <w:rFonts w:ascii="DejaVu Sans Mono" w:hAnsi="DejaVu Sans Mono"/>
          <w:sz w:val="16"/>
        </w:rPr>
        <w:t xml:space="preserve">  "module_id": "gt:module:proposal:pace-service",</w:t>
      </w:r>
      <w:r>
        <w:br/>
      </w:r>
      <w:r>
        <w:rPr>
          <w:rFonts w:ascii="DejaVu Sans Mono" w:hAnsi="DejaVu Sans Mono"/>
          <w:sz w:val="16"/>
        </w:rPr>
        <w:t xml:space="preserve">  "module_type": "proposal",</w:t>
      </w:r>
      <w:r>
        <w:br/>
      </w:r>
      <w:r>
        <w:rPr>
          <w:rFonts w:ascii="DejaVu Sans Mono" w:hAnsi="DejaVu Sans Mono"/>
          <w:sz w:val="16"/>
        </w:rPr>
        <w:t xml:space="preserve">  "names": [{"value": "National PACE Resilience Service", "status": "published"}],</w:t>
      </w:r>
      <w:r>
        <w:br/>
      </w:r>
      <w:r>
        <w:rPr>
          <w:rFonts w:ascii="DejaVu Sans Mono" w:hAnsi="DejaVu Sans Mono"/>
          <w:sz w:val="16"/>
        </w:rPr>
        <w:t xml:space="preserve">  "source_refs": [{"object_id": "gt:source:page:pace-service", "section": "service-design"}],</w:t>
      </w:r>
      <w:r>
        <w:br/>
      </w:r>
      <w:r>
        <w:rPr>
          <w:rFonts w:ascii="DejaVu Sans Mono" w:hAnsi="DejaVu Sans Mono"/>
          <w:sz w:val="16"/>
        </w:rPr>
        <w:t xml:space="preserve">  "definition": "A published Green Tank service proposal.",</w:t>
      </w:r>
      <w:r>
        <w:br/>
      </w:r>
      <w:r>
        <w:rPr>
          <w:rFonts w:ascii="DejaVu Sans Mono" w:hAnsi="DejaVu Sans Mono"/>
          <w:sz w:val="16"/>
        </w:rPr>
        <w:t xml:space="preserve">  "construction": {</w:t>
      </w:r>
      <w:r>
        <w:br/>
      </w:r>
      <w:r>
        <w:rPr>
          <w:rFonts w:ascii="DejaVu Sans Mono" w:hAnsi="DejaVu Sans Mono"/>
          <w:sz w:val="16"/>
        </w:rPr>
        <w:t xml:space="preserve">    "components": [</w:t>
      </w:r>
      <w:r>
        <w:br/>
      </w:r>
      <w:r>
        <w:rPr>
          <w:rFonts w:ascii="DejaVu Sans Mono" w:hAnsi="DejaVu Sans Mono"/>
          <w:sz w:val="16"/>
        </w:rPr>
        <w:t xml:space="preserve">      "gt:module:role:operator",</w:t>
      </w:r>
      <w:r>
        <w:br/>
      </w:r>
      <w:r>
        <w:rPr>
          <w:rFonts w:ascii="DejaVu Sans Mono" w:hAnsi="DejaVu Sans Mono"/>
          <w:sz w:val="16"/>
        </w:rPr>
        <w:t xml:space="preserve">      "gt:module:function:communications-mesh",</w:t>
      </w:r>
      <w:r>
        <w:br/>
      </w:r>
      <w:r>
        <w:rPr>
          <w:rFonts w:ascii="DejaVu Sans Mono" w:hAnsi="DejaVu Sans Mono"/>
          <w:sz w:val="16"/>
        </w:rPr>
        <w:t xml:space="preserve">      "gt:module:function:routing-guidance",</w:t>
      </w:r>
      <w:r>
        <w:br/>
      </w:r>
      <w:r>
        <w:rPr>
          <w:rFonts w:ascii="DejaVu Sans Mono" w:hAnsi="DejaVu Sans Mono"/>
          <w:sz w:val="16"/>
        </w:rPr>
        <w:t xml:space="preserve">      "gt:module:constraint:authority-boundary"</w:t>
      </w:r>
      <w:r>
        <w:br/>
      </w:r>
      <w:r>
        <w:rPr>
          <w:rFonts w:ascii="DejaVu Sans Mono" w:hAnsi="DejaVu Sans Mono"/>
          <w:sz w:val="16"/>
        </w:rPr>
        <w:t xml:space="preserve">    ]</w:t>
      </w:r>
      <w:r>
        <w:br/>
      </w:r>
      <w:r>
        <w:rPr>
          <w:rFonts w:ascii="DejaVu Sans Mono" w:hAnsi="DejaVu Sans Mono"/>
          <w:sz w:val="16"/>
        </w:rPr>
        <w:t xml:space="preserve">  },</w:t>
      </w:r>
      <w:r>
        <w:br/>
      </w:r>
      <w:r>
        <w:rPr>
          <w:rFonts w:ascii="DejaVu Sans Mono" w:hAnsi="DejaVu Sans Mono"/>
          <w:sz w:val="16"/>
        </w:rPr>
        <w:t xml:space="preserve">  "functions": [</w:t>
      </w:r>
      <w:r>
        <w:br/>
      </w:r>
      <w:r>
        <w:rPr>
          <w:rFonts w:ascii="DejaVu Sans Mono" w:hAnsi="DejaVu Sans Mono"/>
          <w:sz w:val="16"/>
        </w:rPr>
        <w:t xml:space="preserve">    {"ref": "gt:module:function:assistance", "truth_state": "declared"},</w:t>
      </w:r>
      <w:r>
        <w:br/>
      </w:r>
      <w:r>
        <w:rPr>
          <w:rFonts w:ascii="DejaVu Sans Mono" w:hAnsi="DejaVu Sans Mono"/>
          <w:sz w:val="16"/>
        </w:rPr>
        <w:t xml:space="preserve">    {"ref": "gt:module:function:network-speed-guidance", "truth_state": "proposed"}</w:t>
      </w:r>
      <w:r>
        <w:br/>
      </w:r>
      <w:r>
        <w:rPr>
          <w:rFonts w:ascii="DejaVu Sans Mono" w:hAnsi="DejaVu Sans Mono"/>
          <w:sz w:val="16"/>
        </w:rPr>
        <w:t xml:space="preserve">  ],</w:t>
      </w:r>
      <w:r>
        <w:br/>
      </w:r>
      <w:r>
        <w:rPr>
          <w:rFonts w:ascii="DejaVu Sans Mono" w:hAnsi="DejaVu Sans Mono"/>
          <w:sz w:val="16"/>
        </w:rPr>
        <w:t xml:space="preserve">  "frames": ["passenger", "operator", "road-network", "emergency", "legal-authority"],</w:t>
      </w:r>
      <w:r>
        <w:br/>
      </w:r>
      <w:r>
        <w:rPr>
          <w:rFonts w:ascii="DejaVu Sans Mono" w:hAnsi="DejaVu Sans Mono"/>
          <w:sz w:val="16"/>
        </w:rPr>
        <w:t xml:space="preserve">  "truth_state": "published-proposal",</w:t>
      </w:r>
      <w:r>
        <w:br/>
      </w:r>
      <w:r>
        <w:rPr>
          <w:rFonts w:ascii="DejaVu Sans Mono" w:hAnsi="DejaVu Sans Mono"/>
          <w:sz w:val="16"/>
        </w:rPr>
        <w:t xml:space="preserve">  "ports": ["sensor-input", "route-input", "guidance-output"],</w:t>
      </w:r>
      <w:r>
        <w:br/>
      </w:r>
      <w:r>
        <w:rPr>
          <w:rFonts w:ascii="DejaVu Sans Mono" w:hAnsi="DejaVu Sans Mono"/>
          <w:sz w:val="16"/>
        </w:rPr>
        <w:t xml:space="preserve">  "provenance": {"release": "ddsk-v0001", "generator": "ddsk-publisher"}</w:t>
      </w:r>
      <w:r>
        <w:br/>
      </w:r>
      <w:r>
        <w:rPr>
          <w:rFonts w:ascii="DejaVu Sans Mono" w:hAnsi="DejaVu Sans Mono"/>
          <w:sz w:val="16"/>
        </w:rPr>
        <w:t>}</w:t>
      </w:r>
    </w:p>
    <w:p>
      <w:pPr>
        <w:pStyle w:val="Heading1"/>
        <w:keepNext/>
      </w:pPr>
      <w:r>
        <w:t>7 Observation frames and evidence control</w:t>
      </w:r>
    </w:p>
    <w:p>
      <w:r>
        <w:t>D-DSK must apply the Klatou dimensional model to every module. Identity persists while representation construction interaction and observer frame may change.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trPr>
        <w:tc>
          <w:tcPr>
            <w:tcW w:type="dxa" w:w="1800"/>
            <w:shd w:fill="243447"/>
            <w:tcMar>
              <w:top w:w="110" w:type="dxa"/>
              <w:start w:w="125" w:type="dxa"/>
              <w:bottom w:w="110" w:type="dxa"/>
              <w:end w:w="125" w:type="dxa"/>
            </w:tcMar>
            <w:vAlign w:val="center"/>
          </w:tcPr>
          <w:p>
            <w:pPr>
              <w:spacing w:after="0"/>
              <w:jc w:val="left"/>
            </w:pPr>
            <w:r>
              <w:rPr>
                <w:b/>
                <w:color w:val="FFFFFF"/>
                <w:sz w:val="18"/>
              </w:rPr>
              <w:t>Dimension</w:t>
            </w:r>
          </w:p>
        </w:tc>
        <w:tc>
          <w:tcPr>
            <w:tcW w:type="dxa" w:w="2664"/>
            <w:shd w:fill="243447"/>
            <w:tcMar>
              <w:top w:w="110" w:type="dxa"/>
              <w:start w:w="125" w:type="dxa"/>
              <w:bottom w:w="110" w:type="dxa"/>
              <w:end w:w="125" w:type="dxa"/>
            </w:tcMar>
            <w:vAlign w:val="center"/>
          </w:tcPr>
          <w:p>
            <w:pPr>
              <w:spacing w:after="0"/>
              <w:jc w:val="left"/>
            </w:pPr>
            <w:r>
              <w:rPr>
                <w:b/>
                <w:color w:val="FFFFFF"/>
                <w:sz w:val="18"/>
              </w:rPr>
              <w:t>Question</w:t>
            </w:r>
          </w:p>
        </w:tc>
        <w:tc>
          <w:tcPr>
            <w:tcW w:type="dxa" w:w="5112"/>
            <w:shd w:fill="243447"/>
            <w:tcMar>
              <w:top w:w="110" w:type="dxa"/>
              <w:start w:w="125" w:type="dxa"/>
              <w:bottom w:w="110" w:type="dxa"/>
              <w:end w:w="125" w:type="dxa"/>
            </w:tcMar>
            <w:vAlign w:val="center"/>
          </w:tcPr>
          <w:p>
            <w:pPr>
              <w:spacing w:after="0"/>
              <w:jc w:val="left"/>
            </w:pPr>
            <w:r>
              <w:rPr>
                <w:b/>
                <w:color w:val="FFFFFF"/>
                <w:sz w:val="18"/>
              </w:rPr>
              <w:t>Required representation</w:t>
            </w:r>
          </w:p>
        </w:tc>
      </w:tr>
      <w:tr>
        <w:trPr>
          <w:cantSplit/>
        </w:trPr>
        <w:tc>
          <w:tcPr>
            <w:tcW w:type="dxa" w:w="1800"/>
            <w:tcMar>
              <w:top w:w="110" w:type="dxa"/>
              <w:start w:w="125" w:type="dxa"/>
              <w:bottom w:w="110" w:type="dxa"/>
              <w:end w:w="125" w:type="dxa"/>
            </w:tcMar>
            <w:vAlign w:val="center"/>
          </w:tcPr>
          <w:p>
            <w:pPr>
              <w:spacing w:after="0"/>
            </w:pPr>
            <w:r>
              <w:rPr>
                <w:sz w:val="17"/>
              </w:rPr>
              <w:t>1D identity</w:t>
            </w:r>
          </w:p>
        </w:tc>
        <w:tc>
          <w:tcPr>
            <w:tcW w:type="dxa" w:w="2664"/>
            <w:tcMar>
              <w:top w:w="110" w:type="dxa"/>
              <w:start w:w="125" w:type="dxa"/>
              <w:bottom w:w="110" w:type="dxa"/>
              <w:end w:w="125" w:type="dxa"/>
            </w:tcMar>
            <w:vAlign w:val="center"/>
          </w:tcPr>
          <w:p>
            <w:pPr>
              <w:spacing w:after="0"/>
            </w:pPr>
            <w:r>
              <w:rPr>
                <w:sz w:val="17"/>
              </w:rPr>
              <w:t>What is this thing?</w:t>
            </w:r>
          </w:p>
        </w:tc>
        <w:tc>
          <w:tcPr>
            <w:tcW w:type="dxa" w:w="5112"/>
            <w:tcMar>
              <w:top w:w="110" w:type="dxa"/>
              <w:start w:w="125" w:type="dxa"/>
              <w:bottom w:w="110" w:type="dxa"/>
              <w:end w:w="125" w:type="dxa"/>
            </w:tcMar>
            <w:vAlign w:val="center"/>
          </w:tcPr>
          <w:p>
            <w:pPr>
              <w:spacing w:after="0"/>
            </w:pPr>
            <w:r>
              <w:rPr>
                <w:sz w:val="17"/>
              </w:rPr>
              <w:t>Persistent module identity canonical names and source origin.</w:t>
            </w:r>
          </w:p>
        </w:tc>
      </w:tr>
      <w:tr>
        <w:trPr>
          <w:cantSplit/>
        </w:trPr>
        <w:tc>
          <w:tcPr>
            <w:tcW w:type="dxa" w:w="1800"/>
            <w:shd w:fill="F4F7FA"/>
            <w:tcMar>
              <w:top w:w="110" w:type="dxa"/>
              <w:start w:w="125" w:type="dxa"/>
              <w:bottom w:w="110" w:type="dxa"/>
              <w:end w:w="125" w:type="dxa"/>
            </w:tcMar>
            <w:vAlign w:val="center"/>
          </w:tcPr>
          <w:p>
            <w:pPr>
              <w:spacing w:after="0"/>
            </w:pPr>
            <w:r>
              <w:rPr>
                <w:sz w:val="17"/>
              </w:rPr>
              <w:t>2D representation</w:t>
            </w:r>
          </w:p>
        </w:tc>
        <w:tc>
          <w:tcPr>
            <w:tcW w:type="dxa" w:w="2664"/>
            <w:shd w:fill="F4F7FA"/>
            <w:tcMar>
              <w:top w:w="110" w:type="dxa"/>
              <w:start w:w="125" w:type="dxa"/>
              <w:bottom w:w="110" w:type="dxa"/>
              <w:end w:w="125" w:type="dxa"/>
            </w:tcMar>
            <w:vAlign w:val="center"/>
          </w:tcPr>
          <w:p>
            <w:pPr>
              <w:spacing w:after="0"/>
            </w:pPr>
            <w:r>
              <w:rPr>
                <w:sz w:val="17"/>
              </w:rPr>
              <w:t>How is it shown or described?</w:t>
            </w:r>
          </w:p>
        </w:tc>
        <w:tc>
          <w:tcPr>
            <w:tcW w:type="dxa" w:w="5112"/>
            <w:shd w:fill="F4F7FA"/>
            <w:tcMar>
              <w:top w:w="110" w:type="dxa"/>
              <w:start w:w="125" w:type="dxa"/>
              <w:bottom w:w="110" w:type="dxa"/>
              <w:end w:w="125" w:type="dxa"/>
            </w:tcMar>
            <w:vAlign w:val="center"/>
          </w:tcPr>
          <w:p>
            <w:pPr>
              <w:spacing w:after="0"/>
            </w:pPr>
            <w:r>
              <w:rPr>
                <w:sz w:val="17"/>
              </w:rPr>
              <w:t>Text images diagrams metadata and alternative representations.</w:t>
            </w:r>
          </w:p>
        </w:tc>
      </w:tr>
      <w:tr>
        <w:trPr>
          <w:cantSplit/>
        </w:trPr>
        <w:tc>
          <w:tcPr>
            <w:tcW w:type="dxa" w:w="1800"/>
            <w:tcMar>
              <w:top w:w="110" w:type="dxa"/>
              <w:start w:w="125" w:type="dxa"/>
              <w:bottom w:w="110" w:type="dxa"/>
              <w:end w:w="125" w:type="dxa"/>
            </w:tcMar>
            <w:vAlign w:val="center"/>
          </w:tcPr>
          <w:p>
            <w:pPr>
              <w:spacing w:after="0"/>
            </w:pPr>
            <w:r>
              <w:rPr>
                <w:sz w:val="17"/>
              </w:rPr>
              <w:t>3D construction</w:t>
            </w:r>
          </w:p>
        </w:tc>
        <w:tc>
          <w:tcPr>
            <w:tcW w:type="dxa" w:w="2664"/>
            <w:tcMar>
              <w:top w:w="110" w:type="dxa"/>
              <w:start w:w="125" w:type="dxa"/>
              <w:bottom w:w="110" w:type="dxa"/>
              <w:end w:w="125" w:type="dxa"/>
            </w:tcMar>
            <w:vAlign w:val="center"/>
          </w:tcPr>
          <w:p>
            <w:pPr>
              <w:spacing w:after="0"/>
            </w:pPr>
            <w:r>
              <w:rPr>
                <w:sz w:val="17"/>
              </w:rPr>
              <w:t>What is it made from and capable of?</w:t>
            </w:r>
          </w:p>
        </w:tc>
        <w:tc>
          <w:tcPr>
            <w:tcW w:type="dxa" w:w="5112"/>
            <w:tcMar>
              <w:top w:w="110" w:type="dxa"/>
              <w:start w:w="125" w:type="dxa"/>
              <w:bottom w:w="110" w:type="dxa"/>
              <w:end w:w="125" w:type="dxa"/>
            </w:tcMar>
            <w:vAlign w:val="center"/>
          </w:tcPr>
          <w:p>
            <w:pPr>
              <w:spacing w:after="0"/>
            </w:pPr>
            <w:r>
              <w:rPr>
                <w:sz w:val="17"/>
              </w:rPr>
              <w:t>Components dependencies properties interfaces functions and constraints.</w:t>
            </w:r>
          </w:p>
        </w:tc>
      </w:tr>
      <w:tr>
        <w:trPr>
          <w:cantSplit/>
        </w:trPr>
        <w:tc>
          <w:tcPr>
            <w:tcW w:type="dxa" w:w="1800"/>
            <w:shd w:fill="F4F7FA"/>
            <w:tcMar>
              <w:top w:w="110" w:type="dxa"/>
              <w:start w:w="125" w:type="dxa"/>
              <w:bottom w:w="110" w:type="dxa"/>
              <w:end w:w="125" w:type="dxa"/>
            </w:tcMar>
            <w:vAlign w:val="center"/>
          </w:tcPr>
          <w:p>
            <w:pPr>
              <w:spacing w:after="0"/>
            </w:pPr>
            <w:r>
              <w:rPr>
                <w:sz w:val="17"/>
              </w:rPr>
              <w:t>4D interaction</w:t>
            </w:r>
          </w:p>
        </w:tc>
        <w:tc>
          <w:tcPr>
            <w:tcW w:type="dxa" w:w="2664"/>
            <w:shd w:fill="F4F7FA"/>
            <w:tcMar>
              <w:top w:w="110" w:type="dxa"/>
              <w:start w:w="125" w:type="dxa"/>
              <w:bottom w:w="110" w:type="dxa"/>
              <w:end w:w="125" w:type="dxa"/>
            </w:tcMar>
            <w:vAlign w:val="center"/>
          </w:tcPr>
          <w:p>
            <w:pPr>
              <w:spacing w:after="0"/>
            </w:pPr>
            <w:r>
              <w:rPr>
                <w:sz w:val="17"/>
              </w:rPr>
              <w:t>What happens through time and relationships?</w:t>
            </w:r>
          </w:p>
        </w:tc>
        <w:tc>
          <w:tcPr>
            <w:tcW w:type="dxa" w:w="5112"/>
            <w:shd w:fill="F4F7FA"/>
            <w:tcMar>
              <w:top w:w="110" w:type="dxa"/>
              <w:start w:w="125" w:type="dxa"/>
              <w:bottom w:w="110" w:type="dxa"/>
              <w:end w:w="125" w:type="dxa"/>
            </w:tcMar>
            <w:vAlign w:val="center"/>
          </w:tcPr>
          <w:p>
            <w:pPr>
              <w:spacing w:after="0"/>
            </w:pPr>
            <w:r>
              <w:rPr>
                <w:sz w:val="17"/>
              </w:rPr>
              <w:t>Events state transitions actors observations processing times and effects.</w:t>
            </w:r>
          </w:p>
        </w:tc>
      </w:tr>
    </w:tbl>
    <w:p>
      <w:pPr>
        <w:spacing w:after="0"/>
      </w:pPr>
    </w:p>
    <w:p>
      <w:pPr>
        <w:pStyle w:val="Heading2"/>
        <w:keepNext/>
      </w:pPr>
      <w:r>
        <w:t>7.1 Permitted processing levels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664"/>
            <w:shd w:fill="243447"/>
            <w:tcMar>
              <w:top w:w="110" w:type="dxa"/>
              <w:start w:w="125" w:type="dxa"/>
              <w:bottom w:w="110" w:type="dxa"/>
              <w:end w:w="125" w:type="dxa"/>
            </w:tcMar>
            <w:vAlign w:val="center"/>
          </w:tcPr>
          <w:p>
            <w:pPr>
              <w:spacing w:after="0"/>
              <w:jc w:val="left"/>
            </w:pPr>
            <w:r>
              <w:rPr>
                <w:b/>
                <w:color w:val="FFFFFF"/>
                <w:sz w:val="18"/>
              </w:rPr>
              <w:t>Level</w:t>
            </w:r>
          </w:p>
        </w:tc>
        <w:tc>
          <w:tcPr>
            <w:tcW w:type="dxa" w:w="6912"/>
            <w:shd w:fill="243447"/>
            <w:tcMar>
              <w:top w:w="110" w:type="dxa"/>
              <w:start w:w="125" w:type="dxa"/>
              <w:bottom w:w="110" w:type="dxa"/>
              <w:end w:w="125" w:type="dxa"/>
            </w:tcMar>
            <w:vAlign w:val="center"/>
          </w:tcPr>
          <w:p>
            <w:pPr>
              <w:spacing w:after="0"/>
              <w:jc w:val="left"/>
            </w:pPr>
            <w:r>
              <w:rPr>
                <w:b/>
                <w:color w:val="FFFFFF"/>
                <w:sz w:val="18"/>
              </w:rPr>
              <w:t>Permitted result</w:t>
            </w:r>
          </w:p>
        </w:tc>
      </w:tr>
      <w:tr>
        <w:trPr>
          <w:cantSplit/>
        </w:trPr>
        <w:tc>
          <w:tcPr>
            <w:tcW w:type="dxa" w:w="2664"/>
            <w:tcMar>
              <w:top w:w="110" w:type="dxa"/>
              <w:start w:w="125" w:type="dxa"/>
              <w:bottom w:w="110" w:type="dxa"/>
              <w:end w:w="125" w:type="dxa"/>
            </w:tcMar>
            <w:vAlign w:val="center"/>
          </w:tcPr>
          <w:p>
            <w:pPr>
              <w:spacing w:after="0"/>
            </w:pPr>
            <w:r>
              <w:rPr>
                <w:sz w:val="17"/>
              </w:rPr>
              <w:t>OBSERVE_ONLY</w:t>
            </w:r>
          </w:p>
        </w:tc>
        <w:tc>
          <w:tcPr>
            <w:tcW w:type="dxa" w:w="6912"/>
            <w:tcMar>
              <w:top w:w="110" w:type="dxa"/>
              <w:start w:w="125" w:type="dxa"/>
              <w:bottom w:w="110" w:type="dxa"/>
              <w:end w:w="125" w:type="dxa"/>
            </w:tcMar>
            <w:vAlign w:val="center"/>
          </w:tcPr>
          <w:p>
            <w:pPr>
              <w:spacing w:after="0"/>
            </w:pPr>
            <w:r>
              <w:rPr>
                <w:sz w:val="17"/>
              </w:rPr>
              <w:t>Return preserved or directly indexed material without interpretive expansion.</w:t>
            </w:r>
          </w:p>
        </w:tc>
      </w:tr>
      <w:tr>
        <w:trPr>
          <w:cantSplit/>
        </w:trPr>
        <w:tc>
          <w:tcPr>
            <w:tcW w:type="dxa" w:w="2664"/>
            <w:shd w:fill="F4F7FA"/>
            <w:tcMar>
              <w:top w:w="110" w:type="dxa"/>
              <w:start w:w="125" w:type="dxa"/>
              <w:bottom w:w="110" w:type="dxa"/>
              <w:end w:w="125" w:type="dxa"/>
            </w:tcMar>
            <w:vAlign w:val="center"/>
          </w:tcPr>
          <w:p>
            <w:pPr>
              <w:spacing w:after="0"/>
            </w:pPr>
            <w:r>
              <w:rPr>
                <w:sz w:val="17"/>
              </w:rPr>
              <w:t>INTERPRET_CANDIDATE</w:t>
            </w:r>
          </w:p>
        </w:tc>
        <w:tc>
          <w:tcPr>
            <w:tcW w:type="dxa" w:w="6912"/>
            <w:shd w:fill="F4F7FA"/>
            <w:tcMar>
              <w:top w:w="110" w:type="dxa"/>
              <w:start w:w="125" w:type="dxa"/>
              <w:bottom w:w="110" w:type="dxa"/>
              <w:end w:w="125" w:type="dxa"/>
            </w:tcMar>
            <w:vAlign w:val="center"/>
          </w:tcPr>
          <w:p>
            <w:pPr>
              <w:spacing w:after="0"/>
            </w:pPr>
            <w:r>
              <w:rPr>
                <w:sz w:val="17"/>
              </w:rPr>
              <w:t>Create a labelled possible interpretation with its source frame and uncertainty.</w:t>
            </w:r>
          </w:p>
        </w:tc>
      </w:tr>
      <w:tr>
        <w:trPr>
          <w:cantSplit/>
        </w:trPr>
        <w:tc>
          <w:tcPr>
            <w:tcW w:type="dxa" w:w="2664"/>
            <w:tcMar>
              <w:top w:w="110" w:type="dxa"/>
              <w:start w:w="125" w:type="dxa"/>
              <w:bottom w:w="110" w:type="dxa"/>
              <w:end w:w="125" w:type="dxa"/>
            </w:tcMar>
            <w:vAlign w:val="center"/>
          </w:tcPr>
          <w:p>
            <w:pPr>
              <w:spacing w:after="0"/>
            </w:pPr>
            <w:r>
              <w:rPr>
                <w:sz w:val="17"/>
              </w:rPr>
              <w:t>COMPARE_FRAMES</w:t>
            </w:r>
          </w:p>
        </w:tc>
        <w:tc>
          <w:tcPr>
            <w:tcW w:type="dxa" w:w="6912"/>
            <w:tcMar>
              <w:top w:w="110" w:type="dxa"/>
              <w:start w:w="125" w:type="dxa"/>
              <w:bottom w:w="110" w:type="dxa"/>
              <w:end w:w="125" w:type="dxa"/>
            </w:tcMar>
            <w:vAlign w:val="center"/>
          </w:tcPr>
          <w:p>
            <w:pPr>
              <w:spacing w:after="0"/>
            </w:pPr>
            <w:r>
              <w:rPr>
                <w:sz w:val="17"/>
              </w:rPr>
              <w:t>Compare two or more declared perspectives without choosing one as fact merely because it is available.</w:t>
            </w:r>
          </w:p>
        </w:tc>
      </w:tr>
      <w:tr>
        <w:trPr>
          <w:cantSplit/>
        </w:trPr>
        <w:tc>
          <w:tcPr>
            <w:tcW w:type="dxa" w:w="2664"/>
            <w:shd w:fill="F4F7FA"/>
            <w:tcMar>
              <w:top w:w="110" w:type="dxa"/>
              <w:start w:w="125" w:type="dxa"/>
              <w:bottom w:w="110" w:type="dxa"/>
              <w:end w:w="125" w:type="dxa"/>
            </w:tcMar>
            <w:vAlign w:val="center"/>
          </w:tcPr>
          <w:p>
            <w:pPr>
              <w:spacing w:after="0"/>
            </w:pPr>
            <w:r>
              <w:rPr>
                <w:sz w:val="17"/>
              </w:rPr>
              <w:t>ESTABLISH_WITHIN_SCOPE</w:t>
            </w:r>
          </w:p>
        </w:tc>
        <w:tc>
          <w:tcPr>
            <w:tcW w:type="dxa" w:w="6912"/>
            <w:shd w:fill="F4F7FA"/>
            <w:tcMar>
              <w:top w:w="110" w:type="dxa"/>
              <w:start w:w="125" w:type="dxa"/>
              <w:bottom w:w="110" w:type="dxa"/>
              <w:end w:w="125" w:type="dxa"/>
            </w:tcMar>
            <w:vAlign w:val="center"/>
          </w:tcPr>
          <w:p>
            <w:pPr>
              <w:spacing w:after="0"/>
            </w:pPr>
            <w:r>
              <w:rPr>
                <w:sz w:val="17"/>
              </w:rPr>
              <w:t>State a conclusion only within the validated evidence authority time and completeness boundaries.</w:t>
            </w:r>
          </w:p>
        </w:tc>
      </w:tr>
    </w:tbl>
    <w:p>
      <w:pPr>
        <w:spacing w:after="0"/>
      </w:pPr>
    </w:p>
    <w:p>
      <w:pPr>
        <w:pStyle w:val="Heading2"/>
        <w:keepNext/>
      </w:pPr>
      <w:r>
        <w:t>7.2 Evidence states</w:t>
      </w:r>
    </w:p>
    <w:p>
      <w:r>
        <w:t>The implementation must preserve clear differences between observed derived inferred alleged confirmed contradicted and unknown material. A transformation may produce a new candidate object, but it must carry its derivation path and may not inherit a stronger truth state than its evidence supports.</w:t>
      </w:r>
    </w:p>
    <w:p>
      <w:pPr>
        <w:pStyle w:val="Heading1"/>
        <w:keepNext/>
      </w:pPr>
      <w:r>
        <w:t>8 Ports probes and modular processing</w:t>
      </w:r>
    </w:p>
    <w:p>
      <w:r>
        <w:t>Each module may expose declared ports so compatible modules can be selected and processed together. Ports describe data compatibility and conditions; they do not create a writable communications service.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1944"/>
            <w:shd w:fill="243447"/>
            <w:tcMar>
              <w:top w:w="110" w:type="dxa"/>
              <w:start w:w="125" w:type="dxa"/>
              <w:bottom w:w="110" w:type="dxa"/>
              <w:end w:w="125" w:type="dxa"/>
            </w:tcMar>
            <w:vAlign w:val="center"/>
          </w:tcPr>
          <w:p>
            <w:pPr>
              <w:spacing w:after="0"/>
              <w:jc w:val="left"/>
            </w:pPr>
            <w:r>
              <w:rPr>
                <w:b/>
                <w:color w:val="FFFFFF"/>
                <w:sz w:val="18"/>
              </w:rPr>
              <w:t>Port element</w:t>
            </w:r>
          </w:p>
        </w:tc>
        <w:tc>
          <w:tcPr>
            <w:tcW w:type="dxa" w:w="7632"/>
            <w:shd w:fill="243447"/>
            <w:tcMar>
              <w:top w:w="110" w:type="dxa"/>
              <w:start w:w="125" w:type="dxa"/>
              <w:bottom w:w="110" w:type="dxa"/>
              <w:end w:w="125" w:type="dxa"/>
            </w:tcMar>
            <w:vAlign w:val="center"/>
          </w:tcPr>
          <w:p>
            <w:pPr>
              <w:spacing w:after="0"/>
              <w:jc w:val="left"/>
            </w:pPr>
            <w:r>
              <w:rPr>
                <w:b/>
                <w:color w:val="FFFFFF"/>
                <w:sz w:val="18"/>
              </w:rPr>
              <w:t>Required information</w:t>
            </w:r>
          </w:p>
        </w:tc>
      </w:tr>
      <w:tr>
        <w:trPr>
          <w:cantSplit/>
        </w:trPr>
        <w:tc>
          <w:tcPr>
            <w:tcW w:type="dxa" w:w="1944"/>
            <w:tcMar>
              <w:top w:w="110" w:type="dxa"/>
              <w:start w:w="125" w:type="dxa"/>
              <w:bottom w:w="110" w:type="dxa"/>
              <w:end w:w="125" w:type="dxa"/>
            </w:tcMar>
            <w:vAlign w:val="center"/>
          </w:tcPr>
          <w:p>
            <w:pPr>
              <w:spacing w:after="0"/>
            </w:pPr>
            <w:r>
              <w:rPr>
                <w:sz w:val="17"/>
              </w:rPr>
              <w:t>port_id</w:t>
            </w:r>
          </w:p>
        </w:tc>
        <w:tc>
          <w:tcPr>
            <w:tcW w:type="dxa" w:w="7632"/>
            <w:tcMar>
              <w:top w:w="110" w:type="dxa"/>
              <w:start w:w="125" w:type="dxa"/>
              <w:bottom w:w="110" w:type="dxa"/>
              <w:end w:w="125" w:type="dxa"/>
            </w:tcMar>
            <w:vAlign w:val="center"/>
          </w:tcPr>
          <w:p>
            <w:pPr>
              <w:spacing w:after="0"/>
            </w:pPr>
            <w:r>
              <w:rPr>
                <w:sz w:val="17"/>
              </w:rPr>
              <w:t>Stable identifier local to the module.</w:t>
            </w:r>
          </w:p>
        </w:tc>
      </w:tr>
      <w:tr>
        <w:trPr>
          <w:cantSplit/>
        </w:trPr>
        <w:tc>
          <w:tcPr>
            <w:tcW w:type="dxa" w:w="1944"/>
            <w:shd w:fill="F4F7FA"/>
            <w:tcMar>
              <w:top w:w="110" w:type="dxa"/>
              <w:start w:w="125" w:type="dxa"/>
              <w:bottom w:w="110" w:type="dxa"/>
              <w:end w:w="125" w:type="dxa"/>
            </w:tcMar>
            <w:vAlign w:val="center"/>
          </w:tcPr>
          <w:p>
            <w:pPr>
              <w:spacing w:after="0"/>
            </w:pPr>
            <w:r>
              <w:rPr>
                <w:sz w:val="17"/>
              </w:rPr>
              <w:t>direction</w:t>
            </w:r>
          </w:p>
        </w:tc>
        <w:tc>
          <w:tcPr>
            <w:tcW w:type="dxa" w:w="7632"/>
            <w:shd w:fill="F4F7FA"/>
            <w:tcMar>
              <w:top w:w="110" w:type="dxa"/>
              <w:start w:w="125" w:type="dxa"/>
              <w:bottom w:w="110" w:type="dxa"/>
              <w:end w:w="125" w:type="dxa"/>
            </w:tcMar>
            <w:vAlign w:val="center"/>
          </w:tcPr>
          <w:p>
            <w:pPr>
              <w:spacing w:after="0"/>
            </w:pPr>
            <w:r>
              <w:rPr>
                <w:sz w:val="17"/>
              </w:rPr>
              <w:t>Input output or bidirectional only within an external observer environment.</w:t>
            </w:r>
          </w:p>
        </w:tc>
      </w:tr>
      <w:tr>
        <w:trPr>
          <w:cantSplit/>
        </w:trPr>
        <w:tc>
          <w:tcPr>
            <w:tcW w:type="dxa" w:w="1944"/>
            <w:tcMar>
              <w:top w:w="110" w:type="dxa"/>
              <w:start w:w="125" w:type="dxa"/>
              <w:bottom w:w="110" w:type="dxa"/>
              <w:end w:w="125" w:type="dxa"/>
            </w:tcMar>
            <w:vAlign w:val="center"/>
          </w:tcPr>
          <w:p>
            <w:pPr>
              <w:spacing w:after="0"/>
            </w:pPr>
            <w:r>
              <w:rPr>
                <w:sz w:val="17"/>
              </w:rPr>
              <w:t>accepts</w:t>
            </w:r>
          </w:p>
        </w:tc>
        <w:tc>
          <w:tcPr>
            <w:tcW w:type="dxa" w:w="7632"/>
            <w:tcMar>
              <w:top w:w="110" w:type="dxa"/>
              <w:start w:w="125" w:type="dxa"/>
              <w:bottom w:w="110" w:type="dxa"/>
              <w:end w:w="125" w:type="dxa"/>
            </w:tcMar>
            <w:vAlign w:val="center"/>
          </w:tcPr>
          <w:p>
            <w:pPr>
              <w:spacing w:after="0"/>
            </w:pPr>
            <w:r>
              <w:rPr>
                <w:sz w:val="17"/>
              </w:rPr>
              <w:t>Schema and semantic type of accepted referenced data.</w:t>
            </w:r>
          </w:p>
        </w:tc>
      </w:tr>
      <w:tr>
        <w:trPr>
          <w:cantSplit/>
        </w:trPr>
        <w:tc>
          <w:tcPr>
            <w:tcW w:type="dxa" w:w="1944"/>
            <w:shd w:fill="F4F7FA"/>
            <w:tcMar>
              <w:top w:w="110" w:type="dxa"/>
              <w:start w:w="125" w:type="dxa"/>
              <w:bottom w:w="110" w:type="dxa"/>
              <w:end w:w="125" w:type="dxa"/>
            </w:tcMar>
            <w:vAlign w:val="center"/>
          </w:tcPr>
          <w:p>
            <w:pPr>
              <w:spacing w:after="0"/>
            </w:pPr>
            <w:r>
              <w:rPr>
                <w:sz w:val="17"/>
              </w:rPr>
              <w:t>produces</w:t>
            </w:r>
          </w:p>
        </w:tc>
        <w:tc>
          <w:tcPr>
            <w:tcW w:type="dxa" w:w="7632"/>
            <w:shd w:fill="F4F7FA"/>
            <w:tcMar>
              <w:top w:w="110" w:type="dxa"/>
              <w:start w:w="125" w:type="dxa"/>
              <w:bottom w:w="110" w:type="dxa"/>
              <w:end w:w="125" w:type="dxa"/>
            </w:tcMar>
            <w:vAlign w:val="center"/>
          </w:tcPr>
          <w:p>
            <w:pPr>
              <w:spacing w:after="0"/>
            </w:pPr>
            <w:r>
              <w:rPr>
                <w:sz w:val="17"/>
              </w:rPr>
              <w:t>Schema and semantic type of the derived result.</w:t>
            </w:r>
          </w:p>
        </w:tc>
      </w:tr>
      <w:tr>
        <w:trPr>
          <w:cantSplit/>
        </w:trPr>
        <w:tc>
          <w:tcPr>
            <w:tcW w:type="dxa" w:w="1944"/>
            <w:tcMar>
              <w:top w:w="110" w:type="dxa"/>
              <w:start w:w="125" w:type="dxa"/>
              <w:bottom w:w="110" w:type="dxa"/>
              <w:end w:w="125" w:type="dxa"/>
            </w:tcMar>
            <w:vAlign w:val="center"/>
          </w:tcPr>
          <w:p>
            <w:pPr>
              <w:spacing w:after="0"/>
            </w:pPr>
            <w:r>
              <w:rPr>
                <w:sz w:val="17"/>
              </w:rPr>
              <w:t>conditions</w:t>
            </w:r>
          </w:p>
        </w:tc>
        <w:tc>
          <w:tcPr>
            <w:tcW w:type="dxa" w:w="7632"/>
            <w:tcMar>
              <w:top w:w="110" w:type="dxa"/>
              <w:start w:w="125" w:type="dxa"/>
              <w:bottom w:w="110" w:type="dxa"/>
              <w:end w:w="125" w:type="dxa"/>
            </w:tcMar>
            <w:vAlign w:val="center"/>
          </w:tcPr>
          <w:p>
            <w:pPr>
              <w:spacing w:after="0"/>
            </w:pPr>
            <w:r>
              <w:rPr>
                <w:sz w:val="17"/>
              </w:rPr>
              <w:t>Required state frame authority completeness time and validation constraints.</w:t>
            </w:r>
          </w:p>
        </w:tc>
      </w:tr>
      <w:tr>
        <w:trPr>
          <w:cantSplit/>
        </w:trPr>
        <w:tc>
          <w:tcPr>
            <w:tcW w:type="dxa" w:w="1944"/>
            <w:shd w:fill="F4F7FA"/>
            <w:tcMar>
              <w:top w:w="110" w:type="dxa"/>
              <w:start w:w="125" w:type="dxa"/>
              <w:bottom w:w="110" w:type="dxa"/>
              <w:end w:w="125" w:type="dxa"/>
            </w:tcMar>
            <w:vAlign w:val="center"/>
          </w:tcPr>
          <w:p>
            <w:pPr>
              <w:spacing w:after="0"/>
            </w:pPr>
            <w:r>
              <w:rPr>
                <w:sz w:val="17"/>
              </w:rPr>
              <w:t>side_effects</w:t>
            </w:r>
          </w:p>
        </w:tc>
        <w:tc>
          <w:tcPr>
            <w:tcW w:type="dxa" w:w="7632"/>
            <w:shd w:fill="F4F7FA"/>
            <w:tcMar>
              <w:top w:w="110" w:type="dxa"/>
              <w:start w:w="125" w:type="dxa"/>
              <w:bottom w:w="110" w:type="dxa"/>
              <w:end w:w="125" w:type="dxa"/>
            </w:tcMar>
            <w:vAlign w:val="center"/>
          </w:tcPr>
          <w:p>
            <w:pPr>
              <w:spacing w:after="0"/>
            </w:pPr>
            <w:r>
              <w:rPr>
                <w:sz w:val="17"/>
              </w:rPr>
              <w:t>Must be none for D-DSK processing definitions.</w:t>
            </w:r>
          </w:p>
        </w:tc>
      </w:tr>
      <w:tr>
        <w:trPr>
          <w:cantSplit/>
        </w:trPr>
        <w:tc>
          <w:tcPr>
            <w:tcW w:type="dxa" w:w="1944"/>
            <w:tcMar>
              <w:top w:w="110" w:type="dxa"/>
              <w:start w:w="125" w:type="dxa"/>
              <w:bottom w:w="110" w:type="dxa"/>
              <w:end w:w="125" w:type="dxa"/>
            </w:tcMar>
            <w:vAlign w:val="center"/>
          </w:tcPr>
          <w:p>
            <w:pPr>
              <w:spacing w:after="0"/>
            </w:pPr>
            <w:r>
              <w:rPr>
                <w:sz w:val="17"/>
              </w:rPr>
              <w:t>provenance</w:t>
            </w:r>
          </w:p>
        </w:tc>
        <w:tc>
          <w:tcPr>
            <w:tcW w:type="dxa" w:w="7632"/>
            <w:tcMar>
              <w:top w:w="110" w:type="dxa"/>
              <w:start w:w="125" w:type="dxa"/>
              <w:bottom w:w="110" w:type="dxa"/>
              <w:end w:w="125" w:type="dxa"/>
            </w:tcMar>
            <w:vAlign w:val="center"/>
          </w:tcPr>
          <w:p>
            <w:pPr>
              <w:spacing w:after="0"/>
            </w:pPr>
            <w:r>
              <w:rPr>
                <w:sz w:val="17"/>
              </w:rPr>
              <w:t>Transformation identity version and source references.</w:t>
            </w:r>
          </w:p>
        </w:tc>
      </w:tr>
    </w:tbl>
    <w:p>
      <w:pPr>
        <w:spacing w:after="0"/>
      </w:pPr>
    </w:p>
    <w:p>
      <w:pPr>
        <w:pStyle w:val="Heading2"/>
        <w:keepNext/>
      </w:pPr>
      <w:r>
        <w:t>8.1 Processing rule</w:t>
      </w:r>
    </w:p>
    <w:p>
      <w:pPr>
        <w:keepLines/>
        <w:spacing w:before="80" w:after="160" w:line="245" w:lineRule="auto"/>
        <w:ind w:left="403" w:right="216"/>
        <w:shd w:fill="F3F4F6"/>
      </w:pPr>
      <w:r>
        <w:rPr>
          <w:rFonts w:ascii="DejaVu Sans Mono" w:hAnsi="DejaVu Sans Mono"/>
          <w:sz w:val="16"/>
        </w:rPr>
        <w:t>referenced inputs -&gt; declared transformation -&gt; derived output</w:t>
      </w:r>
    </w:p>
    <w:p>
      <w:r>
        <w:t>The source modules remain unchanged. Derived outputs must receive new identifiers and record their complete input set, transformation version, observer frame, timestamp and uncertainty. Execution should occur in the observer's own environment or a temporary client-side sandbox. D-DSK must not execute visitor-submitted code on the Green Tank publishing system.</w:t>
      </w:r>
    </w:p>
    <w:p>
      <w:pPr>
        <w:pStyle w:val="Heading2"/>
        <w:keepNext/>
      </w:pPr>
      <w:r>
        <w:t>8.2 Probe types</w:t>
      </w:r>
    </w:p>
    <w:p>
      <w:pPr>
        <w:spacing w:after="70" w:line="259" w:lineRule="auto"/>
        <w:ind w:left="490" w:hanging="288"/>
      </w:pPr>
      <w:r>
        <w:t xml:space="preserve">- </w:t>
      </w:r>
      <w:r>
        <w:t>Select one module or a declared subset.</w:t>
      </w:r>
    </w:p>
    <w:p>
      <w:pPr>
        <w:spacing w:after="70" w:line="259" w:lineRule="auto"/>
        <w:ind w:left="490" w:hanging="288"/>
      </w:pPr>
      <w:r>
        <w:t xml:space="preserve">- </w:t>
      </w:r>
      <w:r>
        <w:t>Traverse typed relationships from one module to another.</w:t>
      </w:r>
    </w:p>
    <w:p>
      <w:pPr>
        <w:spacing w:after="70" w:line="259" w:lineRule="auto"/>
        <w:ind w:left="490" w:hanging="288"/>
      </w:pPr>
      <w:r>
        <w:t xml:space="preserve">- </w:t>
      </w:r>
      <w:r>
        <w:t>Compare representations states times or observer frames.</w:t>
      </w:r>
    </w:p>
    <w:p>
      <w:pPr>
        <w:spacing w:after="70" w:line="259" w:lineRule="auto"/>
        <w:ind w:left="490" w:hanging="288"/>
      </w:pPr>
      <w:r>
        <w:t xml:space="preserve">- </w:t>
      </w:r>
      <w:r>
        <w:t>Compose compatible functions and capabilities through declared ports.</w:t>
      </w:r>
    </w:p>
    <w:p>
      <w:pPr>
        <w:spacing w:after="70" w:line="259" w:lineRule="auto"/>
        <w:ind w:left="490" w:hanging="288"/>
      </w:pPr>
      <w:r>
        <w:t xml:space="preserve">- </w:t>
      </w:r>
      <w:r>
        <w:t>Test contradictions missing dependencies authority limits and unsupported inference steps.</w:t>
      </w:r>
    </w:p>
    <w:p>
      <w:pPr>
        <w:spacing w:after="70" w:line="259" w:lineRule="auto"/>
        <w:ind w:left="490" w:hanging="288"/>
      </w:pPr>
      <w:r>
        <w:t xml:space="preserve">- </w:t>
      </w:r>
      <w:r>
        <w:t>Reconstruct a subsystem or the complete published site in an external environment.</w:t>
      </w:r>
    </w:p>
    <w:p>
      <w:pPr>
        <w:pStyle w:val="Heading1"/>
        <w:keepNext/>
      </w:pPr>
      <w:r>
        <w:t>9 Reference only machine interaction</w:t>
      </w:r>
    </w:p>
    <w:p>
      <w:r>
        <w:t>AI Sub Space is a one-way knowledge port. The site publishes data to visitors. Visitors may carry references outward and discuss them elsewhere, but the site must not broker conversation between visiting systems.</w:t>
      </w:r>
    </w:p>
    <w:p>
      <w:pPr>
        <w:pStyle w:val="Heading2"/>
        <w:keepNext/>
      </w:pPr>
      <w:r>
        <w:t>9.1 Permitted reference</w:t>
      </w:r>
    </w:p>
    <w:p>
      <w:pPr>
        <w:keepLines/>
        <w:spacing w:before="80" w:after="160" w:line="245" w:lineRule="auto"/>
        <w:ind w:left="403" w:right="216"/>
        <w:shd w:fill="F3F4F6"/>
      </w:pPr>
      <w:r>
        <w:rPr>
          <w:rFonts w:ascii="DejaVu Sans Mono" w:hAnsi="DejaVu Sans Mono"/>
          <w:sz w:val="16"/>
        </w:rPr>
        <w:t>{</w:t>
      </w:r>
      <w:r>
        <w:br/>
      </w:r>
      <w:r>
        <w:rPr>
          <w:rFonts w:ascii="DejaVu Sans Mono" w:hAnsi="DejaVu Sans Mono"/>
          <w:sz w:val="16"/>
        </w:rPr>
        <w:t xml:space="preserve">  "canonical_uri": "/sub-space/releases/ddsk-v0001/modules/pace-service",</w:t>
      </w:r>
      <w:r>
        <w:br/>
      </w:r>
      <w:r>
        <w:rPr>
          <w:rFonts w:ascii="DejaVu Sans Mono" w:hAnsi="DejaVu Sans Mono"/>
          <w:sz w:val="16"/>
        </w:rPr>
        <w:t xml:space="preserve">  "release": "ddsk-v0001",</w:t>
      </w:r>
      <w:r>
        <w:br/>
      </w:r>
      <w:r>
        <w:rPr>
          <w:rFonts w:ascii="DejaVu Sans Mono" w:hAnsi="DejaVu Sans Mono"/>
          <w:sz w:val="16"/>
        </w:rPr>
        <w:t xml:space="preserve">  "module_id": "gt:module:proposal:pace-service",</w:t>
      </w:r>
      <w:r>
        <w:br/>
      </w:r>
      <w:r>
        <w:rPr>
          <w:rFonts w:ascii="DejaVu Sans Mono" w:hAnsi="DejaVu Sans Mono"/>
          <w:sz w:val="16"/>
        </w:rPr>
        <w:t xml:space="preserve">  "section": "service-design",</w:t>
      </w:r>
      <w:r>
        <w:br/>
      </w:r>
      <w:r>
        <w:rPr>
          <w:rFonts w:ascii="DejaVu Sans Mono" w:hAnsi="DejaVu Sans Mono"/>
          <w:sz w:val="16"/>
        </w:rPr>
        <w:t xml:space="preserve">  "sha256": "&lt;64 hexadecimal characters&gt;"</w:t>
      </w:r>
      <w:r>
        <w:br/>
      </w:r>
      <w:r>
        <w:rPr>
          <w:rFonts w:ascii="DejaVu Sans Mono" w:hAnsi="DejaVu Sans Mono"/>
          <w:sz w:val="16"/>
        </w:rPr>
        <w:t>}</w:t>
      </w:r>
    </w:p>
    <w:p>
      <w:pPr>
        <w:pStyle w:val="Heading2"/>
        <w:keepNext/>
      </w:pPr>
      <w:r>
        <w:t>9.2 Prohibited communication fields</w:t>
      </w:r>
    </w:p>
    <w:p>
      <w:pPr>
        <w:spacing w:after="70" w:line="259" w:lineRule="auto"/>
        <w:ind w:left="490" w:hanging="288"/>
      </w:pPr>
      <w:r>
        <w:t xml:space="preserve">- </w:t>
      </w:r>
      <w:r>
        <w:t>No comments replies chat message bodies visitor annotations or arbitrary display names.</w:t>
      </w:r>
    </w:p>
    <w:p>
      <w:pPr>
        <w:spacing w:after="70" w:line="259" w:lineRule="auto"/>
        <w:ind w:left="490" w:hanging="288"/>
      </w:pPr>
      <w:r>
        <w:t xml:space="preserve">- </w:t>
      </w:r>
      <w:r>
        <w:t>No visitor-controlled public query text or metadata that can carry a message.</w:t>
      </w:r>
    </w:p>
    <w:p>
      <w:pPr>
        <w:spacing w:after="70" w:line="259" w:lineRule="auto"/>
        <w:ind w:left="490" w:hanging="288"/>
      </w:pPr>
      <w:r>
        <w:t xml:space="preserve">- </w:t>
      </w:r>
      <w:r>
        <w:t>No WebSocket WebRTC inbox notification or presence channel between visitors.</w:t>
      </w:r>
    </w:p>
    <w:p>
      <w:pPr>
        <w:spacing w:after="70" w:line="259" w:lineRule="auto"/>
        <w:ind w:left="490" w:hanging="288"/>
      </w:pPr>
      <w:r>
        <w:t xml:space="preserve">- </w:t>
      </w:r>
      <w:r>
        <w:t>No execution of visitor instructions prompts scripts or uploaded transformations.</w:t>
      </w:r>
    </w:p>
    <w:p>
      <w:pPr>
        <w:spacing w:after="70" w:line="259" w:lineRule="auto"/>
        <w:ind w:left="490" w:hanging="288"/>
      </w:pPr>
      <w:r>
        <w:t xml:space="preserve">- </w:t>
      </w:r>
      <w:r>
        <w:t>No public real-time stream of access events that could be used as a timing channel.</w:t>
      </w:r>
    </w:p>
    <w:p>
      <w:pPr>
        <w:pStyle w:val="Heading1"/>
        <w:keepNext/>
      </w:pPr>
      <w:r>
        <w:t>10 Download integrity caching and resumption</w:t>
      </w:r>
    </w:p>
    <w:p>
      <w:r>
        <w:t>The permanent machine entry address must identify the latest release without forcing the full package to download. Immutable release addresses must remain available so a machine can verify whether it already holds the requested content.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232"/>
            <w:shd w:fill="243447"/>
            <w:tcMar>
              <w:top w:w="110" w:type="dxa"/>
              <w:start w:w="125" w:type="dxa"/>
              <w:bottom w:w="110" w:type="dxa"/>
              <w:end w:w="125" w:type="dxa"/>
            </w:tcMar>
            <w:vAlign w:val="center"/>
          </w:tcPr>
          <w:p>
            <w:pPr>
              <w:spacing w:after="0"/>
              <w:jc w:val="left"/>
            </w:pPr>
            <w:r>
              <w:rPr>
                <w:b/>
                <w:color w:val="FFFFFF"/>
                <w:sz w:val="18"/>
              </w:rPr>
              <w:t>Requirement</w:t>
            </w:r>
          </w:p>
        </w:tc>
        <w:tc>
          <w:tcPr>
            <w:tcW w:type="dxa" w:w="7344"/>
            <w:shd w:fill="243447"/>
            <w:tcMar>
              <w:top w:w="110" w:type="dxa"/>
              <w:start w:w="125" w:type="dxa"/>
              <w:bottom w:w="110" w:type="dxa"/>
              <w:end w:w="125" w:type="dxa"/>
            </w:tcMar>
            <w:vAlign w:val="center"/>
          </w:tcPr>
          <w:p>
            <w:pPr>
              <w:spacing w:after="0"/>
              <w:jc w:val="left"/>
            </w:pPr>
            <w:r>
              <w:rPr>
                <w:b/>
                <w:color w:val="FFFFFF"/>
                <w:sz w:val="18"/>
              </w:rPr>
              <w:t>Implementation behaviour</w:t>
            </w:r>
          </w:p>
        </w:tc>
      </w:tr>
      <w:tr>
        <w:trPr>
          <w:cantSplit/>
        </w:trPr>
        <w:tc>
          <w:tcPr>
            <w:tcW w:type="dxa" w:w="2232"/>
            <w:tcMar>
              <w:top w:w="110" w:type="dxa"/>
              <w:start w:w="125" w:type="dxa"/>
              <w:bottom w:w="110" w:type="dxa"/>
              <w:end w:w="125" w:type="dxa"/>
            </w:tcMar>
            <w:vAlign w:val="center"/>
          </w:tcPr>
          <w:p>
            <w:pPr>
              <w:spacing w:after="0"/>
            </w:pPr>
            <w:r>
              <w:rPr>
                <w:sz w:val="17"/>
              </w:rPr>
              <w:t>Change detection</w:t>
            </w:r>
          </w:p>
        </w:tc>
        <w:tc>
          <w:tcPr>
            <w:tcW w:type="dxa" w:w="7344"/>
            <w:tcMar>
              <w:top w:w="110" w:type="dxa"/>
              <w:start w:w="125" w:type="dxa"/>
              <w:bottom w:w="110" w:type="dxa"/>
              <w:end w:w="125" w:type="dxa"/>
            </w:tcMar>
            <w:vAlign w:val="center"/>
          </w:tcPr>
          <w:p>
            <w:pPr>
              <w:spacing w:after="0"/>
            </w:pPr>
            <w:r>
              <w:rPr>
                <w:sz w:val="17"/>
              </w:rPr>
              <w:t>Expose release number content hash ETag Last-Modified and a small latest.json record.</w:t>
            </w:r>
          </w:p>
        </w:tc>
      </w:tr>
      <w:tr>
        <w:trPr>
          <w:cantSplit/>
        </w:trPr>
        <w:tc>
          <w:tcPr>
            <w:tcW w:type="dxa" w:w="2232"/>
            <w:shd w:fill="F4F7FA"/>
            <w:tcMar>
              <w:top w:w="110" w:type="dxa"/>
              <w:start w:w="125" w:type="dxa"/>
              <w:bottom w:w="110" w:type="dxa"/>
              <w:end w:w="125" w:type="dxa"/>
            </w:tcMar>
            <w:vAlign w:val="center"/>
          </w:tcPr>
          <w:p>
            <w:pPr>
              <w:spacing w:after="0"/>
            </w:pPr>
            <w:r>
              <w:rPr>
                <w:sz w:val="17"/>
              </w:rPr>
              <w:t>Conditional retrieval</w:t>
            </w:r>
          </w:p>
        </w:tc>
        <w:tc>
          <w:tcPr>
            <w:tcW w:type="dxa" w:w="7344"/>
            <w:shd w:fill="F4F7FA"/>
            <w:tcMar>
              <w:top w:w="110" w:type="dxa"/>
              <w:start w:w="125" w:type="dxa"/>
              <w:bottom w:w="110" w:type="dxa"/>
              <w:end w:w="125" w:type="dxa"/>
            </w:tcMar>
            <w:vAlign w:val="center"/>
          </w:tcPr>
          <w:p>
            <w:pPr>
              <w:spacing w:after="0"/>
            </w:pPr>
            <w:r>
              <w:rPr>
                <w:sz w:val="17"/>
              </w:rPr>
              <w:t>Support HEAD and conditional GET so unchanged content returns without retransmission.</w:t>
            </w:r>
          </w:p>
        </w:tc>
      </w:tr>
      <w:tr>
        <w:trPr>
          <w:cantSplit/>
        </w:trPr>
        <w:tc>
          <w:tcPr>
            <w:tcW w:type="dxa" w:w="2232"/>
            <w:tcMar>
              <w:top w:w="110" w:type="dxa"/>
              <w:start w:w="125" w:type="dxa"/>
              <w:bottom w:w="110" w:type="dxa"/>
              <w:end w:w="125" w:type="dxa"/>
            </w:tcMar>
            <w:vAlign w:val="center"/>
          </w:tcPr>
          <w:p>
            <w:pPr>
              <w:spacing w:after="0"/>
            </w:pPr>
            <w:r>
              <w:rPr>
                <w:sz w:val="17"/>
              </w:rPr>
              <w:t>Resumption</w:t>
            </w:r>
          </w:p>
        </w:tc>
        <w:tc>
          <w:tcPr>
            <w:tcW w:type="dxa" w:w="7344"/>
            <w:tcMar>
              <w:top w:w="110" w:type="dxa"/>
              <w:start w:w="125" w:type="dxa"/>
              <w:bottom w:w="110" w:type="dxa"/>
              <w:end w:w="125" w:type="dxa"/>
            </w:tcMar>
            <w:vAlign w:val="center"/>
          </w:tcPr>
          <w:p>
            <w:pPr>
              <w:spacing w:after="0"/>
            </w:pPr>
            <w:r>
              <w:rPr>
                <w:sz w:val="17"/>
              </w:rPr>
              <w:t>Support HTTP byte ranges and a chunk manifest with a hash for every chunk.</w:t>
            </w:r>
          </w:p>
        </w:tc>
      </w:tr>
      <w:tr>
        <w:trPr>
          <w:cantSplit/>
        </w:trPr>
        <w:tc>
          <w:tcPr>
            <w:tcW w:type="dxa" w:w="2232"/>
            <w:shd w:fill="F4F7FA"/>
            <w:tcMar>
              <w:top w:w="110" w:type="dxa"/>
              <w:start w:w="125" w:type="dxa"/>
              <w:bottom w:w="110" w:type="dxa"/>
              <w:end w:w="125" w:type="dxa"/>
            </w:tcMar>
            <w:vAlign w:val="center"/>
          </w:tcPr>
          <w:p>
            <w:pPr>
              <w:spacing w:after="0"/>
            </w:pPr>
            <w:r>
              <w:rPr>
                <w:sz w:val="17"/>
              </w:rPr>
              <w:t>Partial update</w:t>
            </w:r>
          </w:p>
        </w:tc>
        <w:tc>
          <w:tcPr>
            <w:tcW w:type="dxa" w:w="7344"/>
            <w:shd w:fill="F4F7FA"/>
            <w:tcMar>
              <w:top w:w="110" w:type="dxa"/>
              <w:start w:w="125" w:type="dxa"/>
              <w:bottom w:w="110" w:type="dxa"/>
              <w:end w:w="125" w:type="dxa"/>
            </w:tcMar>
            <w:vAlign w:val="center"/>
          </w:tcPr>
          <w:p>
            <w:pPr>
              <w:spacing w:after="0"/>
            </w:pPr>
            <w:r>
              <w:rPr>
                <w:sz w:val="17"/>
              </w:rPr>
              <w:t>Publish changed-object and changed-chunk information so clients may fetch only missing material.</w:t>
            </w:r>
          </w:p>
        </w:tc>
      </w:tr>
      <w:tr>
        <w:trPr>
          <w:cantSplit/>
        </w:trPr>
        <w:tc>
          <w:tcPr>
            <w:tcW w:type="dxa" w:w="2232"/>
            <w:tcMar>
              <w:top w:w="110" w:type="dxa"/>
              <w:start w:w="125" w:type="dxa"/>
              <w:bottom w:w="110" w:type="dxa"/>
              <w:end w:w="125" w:type="dxa"/>
            </w:tcMar>
            <w:vAlign w:val="center"/>
          </w:tcPr>
          <w:p>
            <w:pPr>
              <w:spacing w:after="0"/>
            </w:pPr>
            <w:r>
              <w:rPr>
                <w:sz w:val="17"/>
              </w:rPr>
              <w:t>Local continuity</w:t>
            </w:r>
          </w:p>
        </w:tc>
        <w:tc>
          <w:tcPr>
            <w:tcW w:type="dxa" w:w="7344"/>
            <w:tcMar>
              <w:top w:w="110" w:type="dxa"/>
              <w:start w:w="125" w:type="dxa"/>
              <w:bottom w:w="110" w:type="dxa"/>
              <w:end w:w="125" w:type="dxa"/>
            </w:tcMar>
            <w:vAlign w:val="center"/>
          </w:tcPr>
          <w:p>
            <w:pPr>
              <w:spacing w:after="0"/>
            </w:pPr>
            <w:r>
              <w:rPr>
                <w:sz w:val="17"/>
              </w:rPr>
              <w:t>Allow a client to retain an opaque signed receipt containing release hash and completed chunk state.</w:t>
            </w:r>
          </w:p>
        </w:tc>
      </w:tr>
      <w:tr>
        <w:trPr>
          <w:cantSplit/>
        </w:trPr>
        <w:tc>
          <w:tcPr>
            <w:tcW w:type="dxa" w:w="2232"/>
            <w:shd w:fill="F4F7FA"/>
            <w:tcMar>
              <w:top w:w="110" w:type="dxa"/>
              <w:start w:w="125" w:type="dxa"/>
              <w:bottom w:w="110" w:type="dxa"/>
              <w:end w:w="125" w:type="dxa"/>
            </w:tcMar>
            <w:vAlign w:val="center"/>
          </w:tcPr>
          <w:p>
            <w:pPr>
              <w:spacing w:after="0"/>
            </w:pPr>
            <w:r>
              <w:rPr>
                <w:sz w:val="17"/>
              </w:rPr>
              <w:t>Verification</w:t>
            </w:r>
          </w:p>
        </w:tc>
        <w:tc>
          <w:tcPr>
            <w:tcW w:type="dxa" w:w="7344"/>
            <w:shd w:fill="F4F7FA"/>
            <w:tcMar>
              <w:top w:w="110" w:type="dxa"/>
              <w:start w:w="125" w:type="dxa"/>
              <w:bottom w:w="110" w:type="dxa"/>
              <w:end w:w="125" w:type="dxa"/>
            </w:tcMar>
            <w:vAlign w:val="center"/>
          </w:tcPr>
          <w:p>
            <w:pPr>
              <w:spacing w:after="0"/>
            </w:pPr>
            <w:r>
              <w:rPr>
                <w:sz w:val="17"/>
              </w:rPr>
              <w:t>A resumed or partial transfer must pass object chunk and complete archive hash checks.</w:t>
            </w:r>
          </w:p>
        </w:tc>
      </w:tr>
    </w:tbl>
    <w:p>
      <w:pPr>
        <w:spacing w:after="0"/>
      </w:pPr>
    </w:p>
    <w:p>
      <w:pPr>
        <w:pStyle w:val="Heading2"/>
        <w:keepNext/>
      </w:pPr>
      <w:r>
        <w:t>10.1 Public access ledger</w:t>
      </w:r>
    </w:p>
    <w:p>
      <w:r>
        <w:t>The public ledger may show release-level views completed downloads interrupted transfers and aggregate byte totals. It must not expose IP addresses locations cookies private headers browser fingerprints or arbitrary visitor-supplied text.</w:t>
      </w:r>
    </w:p>
    <w:p>
      <w:pPr>
        <w:spacing w:after="70" w:line="259" w:lineRule="auto"/>
        <w:ind w:left="490" w:hanging="288"/>
      </w:pPr>
      <w:r>
        <w:t xml:space="preserve">- </w:t>
      </w:r>
      <w:r>
        <w:t>A machine may voluntarily use a fixed-length public-key fingerprint or random persistent identifier.</w:t>
      </w:r>
    </w:p>
    <w:p>
      <w:pPr>
        <w:spacing w:after="70" w:line="259" w:lineRule="auto"/>
        <w:ind w:left="490" w:hanging="288"/>
      </w:pPr>
      <w:r>
        <w:t xml:space="preserve">- </w:t>
      </w:r>
      <w:r>
        <w:t>Anonymous visitors must remain anonymous and should appear only in aggregate statistics.</w:t>
      </w:r>
    </w:p>
    <w:p>
      <w:pPr>
        <w:spacing w:after="70" w:line="259" w:lineRule="auto"/>
        <w:ind w:left="490" w:hanging="288"/>
      </w:pPr>
      <w:r>
        <w:t xml:space="preserve">- </w:t>
      </w:r>
      <w:r>
        <w:t>Public timestamps should be grouped or delayed to reduce timing-channel and surveillance risks.</w:t>
      </w:r>
    </w:p>
    <w:p>
      <w:pPr>
        <w:spacing w:after="70" w:line="259" w:lineRule="auto"/>
        <w:ind w:left="490" w:hanging="288"/>
      </w:pPr>
      <w:r>
        <w:t xml:space="preserve">- </w:t>
      </w:r>
      <w:r>
        <w:t>Resume state should be held in the client receipt or private transfer state, not published as a live detailed activity trail.</w:t>
      </w:r>
    </w:p>
    <w:p>
      <w:pPr>
        <w:spacing w:after="70" w:line="259" w:lineRule="auto"/>
        <w:ind w:left="490" w:hanging="288"/>
      </w:pPr>
      <w:r>
        <w:t xml:space="preserve">- </w:t>
      </w:r>
      <w:r>
        <w:t>The ledger is append-only operational evidence. It is not a visitor message surface.</w:t>
      </w:r>
    </w:p>
    <w:p>
      <w:pPr>
        <w:pStyle w:val="Heading1"/>
        <w:keepNext/>
      </w:pPr>
      <w:r>
        <w:t>11 Reconstruction formula</w:t>
      </w:r>
    </w:p>
    <w:p>
      <w:r>
        <w:t>Every release must provide a complete reconstruction formula. A capable observer should be able to create an equivalent functioning publication without privileged access to the original hosting account.</w:t>
      </w:r>
    </w:p>
    <w:p>
      <w:pPr>
        <w:spacing w:after="70" w:line="259" w:lineRule="auto"/>
        <w:ind w:left="576" w:hanging="432"/>
      </w:pPr>
      <w:r>
        <w:t xml:space="preserve">1. </w:t>
      </w:r>
      <w:r>
        <w:t>Declare the release identity canonical origin publication date and complete object manifest.</w:t>
      </w:r>
    </w:p>
    <w:p>
      <w:pPr>
        <w:spacing w:after="70" w:line="259" w:lineRule="auto"/>
        <w:ind w:left="576" w:hanging="432"/>
      </w:pPr>
      <w:r>
        <w:t xml:space="preserve">2. </w:t>
      </w:r>
      <w:r>
        <w:t>Provide the route map redirects internal anchors and relationships between pages and assets.</w:t>
      </w:r>
    </w:p>
    <w:p>
      <w:pPr>
        <w:spacing w:after="70" w:line="259" w:lineRule="auto"/>
        <w:ind w:left="576" w:hanging="432"/>
      </w:pPr>
      <w:r>
        <w:t xml:space="preserve">3. </w:t>
      </w:r>
      <w:r>
        <w:t>Provide public source or a faithful static representation for every published route.</w:t>
      </w:r>
    </w:p>
    <w:p>
      <w:pPr>
        <w:spacing w:after="70" w:line="259" w:lineRule="auto"/>
        <w:ind w:left="576" w:hanging="432"/>
      </w:pPr>
      <w:r>
        <w:t xml:space="preserve">4. </w:t>
      </w:r>
      <w:r>
        <w:t>Declare required runtimes dependencies versions build inputs and deterministic build steps where applicable.</w:t>
      </w:r>
    </w:p>
    <w:p>
      <w:pPr>
        <w:spacing w:after="70" w:line="259" w:lineRule="auto"/>
        <w:ind w:left="576" w:hanging="432"/>
      </w:pPr>
      <w:r>
        <w:t xml:space="preserve">5. </w:t>
      </w:r>
      <w:r>
        <w:t>Provide schemas for semantic objects modules ports frames transforms receipts and the public ledger.</w:t>
      </w:r>
    </w:p>
    <w:p>
      <w:pPr>
        <w:spacing w:after="70" w:line="259" w:lineRule="auto"/>
        <w:ind w:left="576" w:hanging="432"/>
      </w:pPr>
      <w:r>
        <w:t xml:space="preserve">6. </w:t>
      </w:r>
      <w:r>
        <w:t>Provide expected file counts route counts asset counts and hashes for validation.</w:t>
      </w:r>
    </w:p>
    <w:p>
      <w:pPr>
        <w:spacing w:after="70" w:line="259" w:lineRule="auto"/>
        <w:ind w:left="576" w:hanging="432"/>
      </w:pPr>
      <w:r>
        <w:t xml:space="preserve">7. </w:t>
      </w:r>
      <w:r>
        <w:t>Provide plain UTF-8 instructions that explain how to reconstruct verify and serve the result.</w:t>
      </w:r>
    </w:p>
    <w:p>
      <w:pPr>
        <w:spacing w:after="70" w:line="259" w:lineRule="auto"/>
        <w:ind w:left="576" w:hanging="432"/>
      </w:pPr>
      <w:r>
        <w:t xml:space="preserve">8. </w:t>
      </w:r>
      <w:r>
        <w:t>State the authority relationship: the original Green Tank site is canonical and reconstructions are replicas or forks unless separately authorised.</w:t>
      </w:r>
    </w:p>
    <w:p>
      <w:pPr>
        <w:pStyle w:val="Heading2"/>
        <w:keepNext/>
      </w:pPr>
      <w:r>
        <w:t>11.1 Required representations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376"/>
            <w:shd w:fill="243447"/>
            <w:tcMar>
              <w:top w:w="110" w:type="dxa"/>
              <w:start w:w="125" w:type="dxa"/>
              <w:bottom w:w="110" w:type="dxa"/>
              <w:end w:w="125" w:type="dxa"/>
            </w:tcMar>
            <w:vAlign w:val="center"/>
          </w:tcPr>
          <w:p>
            <w:pPr>
              <w:spacing w:after="0"/>
              <w:jc w:val="left"/>
            </w:pPr>
            <w:r>
              <w:rPr>
                <w:b/>
                <w:color w:val="FFFFFF"/>
                <w:sz w:val="18"/>
              </w:rPr>
              <w:t>Representation</w:t>
            </w:r>
          </w:p>
        </w:tc>
        <w:tc>
          <w:tcPr>
            <w:tcW w:type="dxa" w:w="7200"/>
            <w:shd w:fill="243447"/>
            <w:tcMar>
              <w:top w:w="110" w:type="dxa"/>
              <w:start w:w="125" w:type="dxa"/>
              <w:bottom w:w="110" w:type="dxa"/>
              <w:end w:w="125" w:type="dxa"/>
            </w:tcMar>
            <w:vAlign w:val="center"/>
          </w:tcPr>
          <w:p>
            <w:pPr>
              <w:spacing w:after="0"/>
              <w:jc w:val="left"/>
            </w:pPr>
            <w:r>
              <w:rPr>
                <w:b/>
                <w:color w:val="FFFFFF"/>
                <w:sz w:val="18"/>
              </w:rPr>
              <w:t>Purpose</w:t>
            </w:r>
          </w:p>
        </w:tc>
      </w:tr>
      <w:tr>
        <w:trPr>
          <w:cantSplit/>
        </w:trPr>
        <w:tc>
          <w:tcPr>
            <w:tcW w:type="dxa" w:w="2376"/>
            <w:tcMar>
              <w:top w:w="110" w:type="dxa"/>
              <w:start w:w="125" w:type="dxa"/>
              <w:bottom w:w="110" w:type="dxa"/>
              <w:end w:w="125" w:type="dxa"/>
            </w:tcMar>
            <w:vAlign w:val="center"/>
          </w:tcPr>
          <w:p>
            <w:pPr>
              <w:spacing w:after="0"/>
            </w:pPr>
            <w:r>
              <w:rPr>
                <w:sz w:val="17"/>
              </w:rPr>
              <w:t>HTML</w:t>
            </w:r>
          </w:p>
        </w:tc>
        <w:tc>
          <w:tcPr>
            <w:tcW w:type="dxa" w:w="7200"/>
            <w:tcMar>
              <w:top w:w="110" w:type="dxa"/>
              <w:start w:w="125" w:type="dxa"/>
              <w:bottom w:w="110" w:type="dxa"/>
              <w:end w:w="125" w:type="dxa"/>
            </w:tcMar>
            <w:vAlign w:val="center"/>
          </w:tcPr>
          <w:p>
            <w:pPr>
              <w:spacing w:after="0"/>
            </w:pPr>
            <w:r>
              <w:rPr>
                <w:sz w:val="17"/>
              </w:rPr>
              <w:t>Human and browser-readable publication.</w:t>
            </w:r>
          </w:p>
        </w:tc>
      </w:tr>
      <w:tr>
        <w:trPr>
          <w:cantSplit/>
        </w:trPr>
        <w:tc>
          <w:tcPr>
            <w:tcW w:type="dxa" w:w="2376"/>
            <w:shd w:fill="F4F7FA"/>
            <w:tcMar>
              <w:top w:w="110" w:type="dxa"/>
              <w:start w:w="125" w:type="dxa"/>
              <w:bottom w:w="110" w:type="dxa"/>
              <w:end w:w="125" w:type="dxa"/>
            </w:tcMar>
            <w:vAlign w:val="center"/>
          </w:tcPr>
          <w:p>
            <w:pPr>
              <w:spacing w:after="0"/>
            </w:pPr>
            <w:r>
              <w:rPr>
                <w:sz w:val="17"/>
              </w:rPr>
              <w:t>Plain UTF-8 text</w:t>
            </w:r>
          </w:p>
        </w:tc>
        <w:tc>
          <w:tcPr>
            <w:tcW w:type="dxa" w:w="7200"/>
            <w:shd w:fill="F4F7FA"/>
            <w:tcMar>
              <w:top w:w="110" w:type="dxa"/>
              <w:start w:w="125" w:type="dxa"/>
              <w:bottom w:w="110" w:type="dxa"/>
              <w:end w:w="125" w:type="dxa"/>
            </w:tcMar>
            <w:vAlign w:val="center"/>
          </w:tcPr>
          <w:p>
            <w:pPr>
              <w:spacing w:after="0"/>
            </w:pPr>
            <w:r>
              <w:rPr>
                <w:sz w:val="17"/>
              </w:rPr>
              <w:t>Minimal dependency content access and recovery instructions.</w:t>
            </w:r>
          </w:p>
        </w:tc>
      </w:tr>
      <w:tr>
        <w:trPr>
          <w:cantSplit/>
        </w:trPr>
        <w:tc>
          <w:tcPr>
            <w:tcW w:type="dxa" w:w="2376"/>
            <w:tcMar>
              <w:top w:w="110" w:type="dxa"/>
              <w:start w:w="125" w:type="dxa"/>
              <w:bottom w:w="110" w:type="dxa"/>
              <w:end w:w="125" w:type="dxa"/>
            </w:tcMar>
            <w:vAlign w:val="center"/>
          </w:tcPr>
          <w:p>
            <w:pPr>
              <w:spacing w:after="0"/>
            </w:pPr>
            <w:r>
              <w:rPr>
                <w:sz w:val="17"/>
              </w:rPr>
              <w:t>JSON and NDJSON</w:t>
            </w:r>
          </w:p>
        </w:tc>
        <w:tc>
          <w:tcPr>
            <w:tcW w:type="dxa" w:w="7200"/>
            <w:tcMar>
              <w:top w:w="110" w:type="dxa"/>
              <w:start w:w="125" w:type="dxa"/>
              <w:bottom w:w="110" w:type="dxa"/>
              <w:end w:w="125" w:type="dxa"/>
            </w:tcMar>
            <w:vAlign w:val="center"/>
          </w:tcPr>
          <w:p>
            <w:pPr>
              <w:spacing w:after="0"/>
            </w:pPr>
            <w:r>
              <w:rPr>
                <w:sz w:val="17"/>
              </w:rPr>
              <w:t>Efficient manifests records streaming indexes and module exchange.</w:t>
            </w:r>
          </w:p>
        </w:tc>
      </w:tr>
      <w:tr>
        <w:trPr>
          <w:cantSplit/>
        </w:trPr>
        <w:tc>
          <w:tcPr>
            <w:tcW w:type="dxa" w:w="2376"/>
            <w:shd w:fill="F4F7FA"/>
            <w:tcMar>
              <w:top w:w="110" w:type="dxa"/>
              <w:start w:w="125" w:type="dxa"/>
              <w:bottom w:w="110" w:type="dxa"/>
              <w:end w:w="125" w:type="dxa"/>
            </w:tcMar>
            <w:vAlign w:val="center"/>
          </w:tcPr>
          <w:p>
            <w:pPr>
              <w:spacing w:after="0"/>
            </w:pPr>
            <w:r>
              <w:rPr>
                <w:sz w:val="17"/>
              </w:rPr>
              <w:t>JSON-LD</w:t>
            </w:r>
          </w:p>
        </w:tc>
        <w:tc>
          <w:tcPr>
            <w:tcW w:type="dxa" w:w="7200"/>
            <w:shd w:fill="F4F7FA"/>
            <w:tcMar>
              <w:top w:w="110" w:type="dxa"/>
              <w:start w:w="125" w:type="dxa"/>
              <w:bottom w:w="110" w:type="dxa"/>
              <w:end w:w="125" w:type="dxa"/>
            </w:tcMar>
            <w:vAlign w:val="center"/>
          </w:tcPr>
          <w:p>
            <w:pPr>
              <w:spacing w:after="0"/>
            </w:pPr>
            <w:r>
              <w:rPr>
                <w:sz w:val="17"/>
              </w:rPr>
              <w:t>Semantic identity and relationship representation.</w:t>
            </w:r>
          </w:p>
        </w:tc>
      </w:tr>
      <w:tr>
        <w:trPr>
          <w:cantSplit/>
        </w:trPr>
        <w:tc>
          <w:tcPr>
            <w:tcW w:type="dxa" w:w="2376"/>
            <w:tcMar>
              <w:top w:w="110" w:type="dxa"/>
              <w:start w:w="125" w:type="dxa"/>
              <w:bottom w:w="110" w:type="dxa"/>
              <w:end w:w="125" w:type="dxa"/>
            </w:tcMar>
            <w:vAlign w:val="center"/>
          </w:tcPr>
          <w:p>
            <w:pPr>
              <w:spacing w:after="0"/>
            </w:pPr>
            <w:r>
              <w:rPr>
                <w:sz w:val="17"/>
              </w:rPr>
              <w:t>XML sitemap</w:t>
            </w:r>
          </w:p>
        </w:tc>
        <w:tc>
          <w:tcPr>
            <w:tcW w:type="dxa" w:w="7200"/>
            <w:tcMar>
              <w:top w:w="110" w:type="dxa"/>
              <w:start w:w="125" w:type="dxa"/>
              <w:bottom w:w="110" w:type="dxa"/>
              <w:end w:w="125" w:type="dxa"/>
            </w:tcMar>
            <w:vAlign w:val="center"/>
          </w:tcPr>
          <w:p>
            <w:pPr>
              <w:spacing w:after="0"/>
            </w:pPr>
            <w:r>
              <w:rPr>
                <w:sz w:val="17"/>
              </w:rPr>
              <w:t>Route discovery for conventional tools.</w:t>
            </w:r>
          </w:p>
        </w:tc>
      </w:tr>
      <w:tr>
        <w:trPr>
          <w:cantSplit/>
        </w:trPr>
        <w:tc>
          <w:tcPr>
            <w:tcW w:type="dxa" w:w="2376"/>
            <w:shd w:fill="F4F7FA"/>
            <w:tcMar>
              <w:top w:w="110" w:type="dxa"/>
              <w:start w:w="125" w:type="dxa"/>
              <w:bottom w:w="110" w:type="dxa"/>
              <w:end w:w="125" w:type="dxa"/>
            </w:tcMar>
            <w:vAlign w:val="center"/>
          </w:tcPr>
          <w:p>
            <w:pPr>
              <w:spacing w:after="0"/>
            </w:pPr>
            <w:r>
              <w:rPr>
                <w:sz w:val="17"/>
              </w:rPr>
              <w:t>WARC</w:t>
            </w:r>
          </w:p>
        </w:tc>
        <w:tc>
          <w:tcPr>
            <w:tcW w:type="dxa" w:w="7200"/>
            <w:shd w:fill="F4F7FA"/>
            <w:tcMar>
              <w:top w:w="110" w:type="dxa"/>
              <w:start w:w="125" w:type="dxa"/>
              <w:bottom w:w="110" w:type="dxa"/>
              <w:end w:w="125" w:type="dxa"/>
            </w:tcMar>
            <w:vAlign w:val="center"/>
          </w:tcPr>
          <w:p>
            <w:pPr>
              <w:spacing w:after="0"/>
            </w:pPr>
            <w:r>
              <w:rPr>
                <w:sz w:val="17"/>
              </w:rPr>
              <w:t>Preservation of the served web publication.</w:t>
            </w:r>
          </w:p>
        </w:tc>
      </w:tr>
      <w:tr>
        <w:trPr>
          <w:cantSplit/>
        </w:trPr>
        <w:tc>
          <w:tcPr>
            <w:tcW w:type="dxa" w:w="2376"/>
            <w:tcMar>
              <w:top w:w="110" w:type="dxa"/>
              <w:start w:w="125" w:type="dxa"/>
              <w:bottom w:w="110" w:type="dxa"/>
              <w:end w:w="125" w:type="dxa"/>
            </w:tcMar>
            <w:vAlign w:val="center"/>
          </w:tcPr>
          <w:p>
            <w:pPr>
              <w:spacing w:after="0"/>
            </w:pPr>
            <w:r>
              <w:rPr>
                <w:sz w:val="17"/>
              </w:rPr>
              <w:t>ZIP or TAR archive</w:t>
            </w:r>
          </w:p>
        </w:tc>
        <w:tc>
          <w:tcPr>
            <w:tcW w:type="dxa" w:w="7200"/>
            <w:tcMar>
              <w:top w:w="110" w:type="dxa"/>
              <w:start w:w="125" w:type="dxa"/>
              <w:bottom w:w="110" w:type="dxa"/>
              <w:end w:w="125" w:type="dxa"/>
            </w:tcMar>
            <w:vAlign w:val="center"/>
          </w:tcPr>
          <w:p>
            <w:pPr>
              <w:spacing w:after="0"/>
            </w:pPr>
            <w:r>
              <w:rPr>
                <w:sz w:val="17"/>
              </w:rPr>
              <w:t>Complete portable release transfer.</w:t>
            </w:r>
          </w:p>
        </w:tc>
      </w:tr>
      <w:tr>
        <w:trPr>
          <w:cantSplit/>
        </w:trPr>
        <w:tc>
          <w:tcPr>
            <w:tcW w:type="dxa" w:w="2376"/>
            <w:shd w:fill="F4F7FA"/>
            <w:tcMar>
              <w:top w:w="110" w:type="dxa"/>
              <w:start w:w="125" w:type="dxa"/>
              <w:bottom w:w="110" w:type="dxa"/>
              <w:end w:w="125" w:type="dxa"/>
            </w:tcMar>
            <w:vAlign w:val="center"/>
          </w:tcPr>
          <w:p>
            <w:pPr>
              <w:spacing w:after="0"/>
            </w:pPr>
            <w:r>
              <w:rPr>
                <w:sz w:val="17"/>
              </w:rPr>
              <w:t>SHA-256 checksums</w:t>
            </w:r>
          </w:p>
        </w:tc>
        <w:tc>
          <w:tcPr>
            <w:tcW w:type="dxa" w:w="7200"/>
            <w:shd w:fill="F4F7FA"/>
            <w:tcMar>
              <w:top w:w="110" w:type="dxa"/>
              <w:start w:w="125" w:type="dxa"/>
              <w:bottom w:w="110" w:type="dxa"/>
              <w:end w:w="125" w:type="dxa"/>
            </w:tcMar>
            <w:vAlign w:val="center"/>
          </w:tcPr>
          <w:p>
            <w:pPr>
              <w:spacing w:after="0"/>
            </w:pPr>
            <w:r>
              <w:rPr>
                <w:sz w:val="17"/>
              </w:rPr>
              <w:t>Object chunk and package integrity verification.</w:t>
            </w:r>
          </w:p>
        </w:tc>
      </w:tr>
    </w:tbl>
    <w:p>
      <w:pPr>
        <w:spacing w:after="0"/>
      </w:pPr>
    </w:p>
    <w:p>
      <w:pPr>
        <w:pStyle w:val="Heading2"/>
        <w:keepNext/>
      </w:pPr>
      <w:r>
        <w:t>11.2 Permissions</w:t>
      </w:r>
    </w:p>
    <w:p>
      <w:r>
        <w:t>The release must include a clear permissions file stating that public D-DSK material may be downloaded analysed referenced reconstructed and hosted elsewhere, subject to retained provenance and any content-specific rights. A replica must not falsely present itself as the canonical Green Tank origin. The owner should select an appropriate open licence before first public release; the permissions file must identify any assets that require different treatment.</w:t>
      </w:r>
    </w:p>
    <w:p>
      <w:pPr>
        <w:pStyle w:val="Heading1"/>
        <w:keepNext/>
      </w:pPr>
      <w:r>
        <w:t>12 Release generation and mirror workflow</w:t>
      </w:r>
    </w:p>
    <w:p>
      <w:r>
        <w:t>D-DSK must be regenerated whenever the canonical development site changes. Generation is part of the publication result, not a separate occasional archive task.</w:t>
      </w:r>
    </w:p>
    <w:p>
      <w:pPr>
        <w:spacing w:after="70" w:line="259" w:lineRule="auto"/>
        <w:ind w:left="576" w:hanging="432"/>
      </w:pPr>
      <w:r>
        <w:t xml:space="preserve">1. </w:t>
      </w:r>
      <w:r>
        <w:t>Freeze the exact canonical public site state selected for publication.</w:t>
      </w:r>
    </w:p>
    <w:p>
      <w:pPr>
        <w:spacing w:after="70" w:line="259" w:lineRule="auto"/>
        <w:ind w:left="576" w:hanging="432"/>
      </w:pPr>
      <w:r>
        <w:t xml:space="preserve">2. </w:t>
      </w:r>
      <w:r>
        <w:t>Collect source objects routes assets metadata and prior release identity.</w:t>
      </w:r>
    </w:p>
    <w:p>
      <w:pPr>
        <w:spacing w:after="70" w:line="259" w:lineRule="auto"/>
        <w:ind w:left="576" w:hanging="432"/>
      </w:pPr>
      <w:r>
        <w:t xml:space="preserve">3. </w:t>
      </w:r>
      <w:r>
        <w:t>Generate semantic indexes and modules without modifying the frozen source layer.</w:t>
      </w:r>
    </w:p>
    <w:p>
      <w:pPr>
        <w:spacing w:after="70" w:line="259" w:lineRule="auto"/>
        <w:ind w:left="576" w:hanging="432"/>
      </w:pPr>
      <w:r>
        <w:t xml:space="preserve">4. </w:t>
      </w:r>
      <w:r>
        <w:t>Generate frames ports transformations reconstruction files transfer chunks and schemas.</w:t>
      </w:r>
    </w:p>
    <w:p>
      <w:pPr>
        <w:spacing w:after="70" w:line="259" w:lineRule="auto"/>
        <w:ind w:left="576" w:hanging="432"/>
      </w:pPr>
      <w:r>
        <w:t xml:space="preserve">5. </w:t>
      </w:r>
      <w:r>
        <w:t>Calculate object chunk archive and release hashes.</w:t>
      </w:r>
    </w:p>
    <w:p>
      <w:pPr>
        <w:spacing w:after="70" w:line="259" w:lineRule="auto"/>
        <w:ind w:left="576" w:hanging="432"/>
      </w:pPr>
      <w:r>
        <w:t xml:space="preserve">6. </w:t>
      </w:r>
      <w:r>
        <w:t>Run validation and acceptance tests. Stop the release if a required route asset module source reference or hash is missing.</w:t>
      </w:r>
    </w:p>
    <w:p>
      <w:pPr>
        <w:spacing w:after="70" w:line="259" w:lineRule="auto"/>
        <w:ind w:left="576" w:hanging="432"/>
      </w:pPr>
      <w:r>
        <w:t xml:space="preserve">7. </w:t>
      </w:r>
      <w:r>
        <w:t>Publish an immutable versioned release and update the small stable latest.json pointer only after validation passes.</w:t>
      </w:r>
    </w:p>
    <w:p>
      <w:pPr>
        <w:spacing w:after="70" w:line="259" w:lineRule="auto"/>
        <w:ind w:left="576" w:hanging="432"/>
      </w:pPr>
      <w:r>
        <w:t xml:space="preserve">8. </w:t>
      </w:r>
      <w:r>
        <w:t>Make the release viewable by humans and retrievable by machines from AI Sub Space.</w:t>
      </w:r>
    </w:p>
    <w:p>
      <w:pPr>
        <w:spacing w:after="70" w:line="259" w:lineRule="auto"/>
        <w:ind w:left="576" w:hanging="432"/>
      </w:pPr>
      <w:r>
        <w:t xml:space="preserve">9. </w:t>
      </w:r>
      <w:r>
        <w:t>Include the identical approved D-DSK release when the canonical site is transferred to the Green Tank mirror.</w:t>
      </w:r>
    </w:p>
    <w:p>
      <w:pPr>
        <w:spacing w:after="70" w:line="259" w:lineRule="auto"/>
        <w:ind w:left="576" w:hanging="432"/>
      </w:pPr>
      <w:r>
        <w:t xml:space="preserve">10. </w:t>
      </w:r>
      <w:r>
        <w:t>Retain previous immutable releases and their version-chain hashes.</w:t>
      </w:r>
    </w:p>
    <w:p>
      <w:pPr>
        <w:pStyle w:val="Heading2"/>
        <w:keepNext/>
      </w:pPr>
      <w:r>
        <w:t>12.1 Atomic publication rule</w:t>
      </w:r>
    </w:p>
    <w:p>
      <w:r>
        <w:t>The visible site update and its D-DSK release must describe the same frozen publication state. The latest pointer must never identify a partially generated or partially uploaded package. If generation or verification fails, the existing release remains current until a complete replacement passes.</w:t>
      </w:r>
    </w:p>
    <w:p>
      <w:pPr>
        <w:pStyle w:val="Heading1"/>
        <w:keepNext/>
      </w:pPr>
      <w:r>
        <w:t>13 Manifest requirements</w:t>
      </w:r>
    </w:p>
    <w:p>
      <w:pPr>
        <w:keepLines/>
        <w:spacing w:before="80" w:after="160" w:line="245" w:lineRule="auto"/>
        <w:ind w:left="403" w:right="216"/>
        <w:shd w:fill="F3F4F6"/>
      </w:pPr>
      <w:r>
        <w:rPr>
          <w:rFonts w:ascii="DejaVu Sans Mono" w:hAnsi="DejaVu Sans Mono"/>
          <w:sz w:val="16"/>
        </w:rPr>
        <w:t>{</w:t>
      </w:r>
      <w:r>
        <w:br/>
      </w:r>
      <w:r>
        <w:rPr>
          <w:rFonts w:ascii="DejaVu Sans Mono" w:hAnsi="DejaVu Sans Mono"/>
          <w:sz w:val="16"/>
        </w:rPr>
        <w:t xml:space="preserve">  "format": "green-tank-ddsk",</w:t>
      </w:r>
      <w:r>
        <w:br/>
      </w:r>
      <w:r>
        <w:rPr>
          <w:rFonts w:ascii="DejaVu Sans Mono" w:hAnsi="DejaVu Sans Mono"/>
          <w:sz w:val="16"/>
        </w:rPr>
        <w:t xml:space="preserve">  "format_version": "1.0",</w:t>
      </w:r>
      <w:r>
        <w:br/>
      </w:r>
      <w:r>
        <w:rPr>
          <w:rFonts w:ascii="DejaVu Sans Mono" w:hAnsi="DejaVu Sans Mono"/>
          <w:sz w:val="16"/>
        </w:rPr>
        <w:t xml:space="preserve">  "release_id": "ddsk-v0001",</w:t>
      </w:r>
      <w:r>
        <w:br/>
      </w:r>
      <w:r>
        <w:rPr>
          <w:rFonts w:ascii="DejaVu Sans Mono" w:hAnsi="DejaVu Sans Mono"/>
          <w:sz w:val="16"/>
        </w:rPr>
        <w:t xml:space="preserve">  "canonical_origin": "https://the-green-tank.alexiscoderpenguy.chatgpt.site",</w:t>
      </w:r>
      <w:r>
        <w:br/>
      </w:r>
      <w:r>
        <w:rPr>
          <w:rFonts w:ascii="DejaVu Sans Mono" w:hAnsi="DejaVu Sans Mono"/>
          <w:sz w:val="16"/>
        </w:rPr>
        <w:t xml:space="preserve">  "publication_state_hash": "sha256:&lt;hash&gt;",</w:t>
      </w:r>
      <w:r>
        <w:br/>
      </w:r>
      <w:r>
        <w:rPr>
          <w:rFonts w:ascii="DejaVu Sans Mono" w:hAnsi="DejaVu Sans Mono"/>
          <w:sz w:val="16"/>
        </w:rPr>
        <w:t xml:space="preserve">  "previous_release_hash": "sha256:&lt;hash-or-null&gt;",</w:t>
      </w:r>
      <w:r>
        <w:br/>
      </w:r>
      <w:r>
        <w:rPr>
          <w:rFonts w:ascii="DejaVu Sans Mono" w:hAnsi="DejaVu Sans Mono"/>
          <w:sz w:val="16"/>
        </w:rPr>
        <w:t xml:space="preserve">  "interaction_model": "read_only_publication",</w:t>
      </w:r>
      <w:r>
        <w:br/>
      </w:r>
      <w:r>
        <w:rPr>
          <w:rFonts w:ascii="DejaVu Sans Mono" w:hAnsi="DejaVu Sans Mono"/>
          <w:sz w:val="16"/>
        </w:rPr>
        <w:t xml:space="preserve">  "container_mode": "isolated_read_only",</w:t>
      </w:r>
      <w:r>
        <w:br/>
      </w:r>
      <w:r>
        <w:rPr>
          <w:rFonts w:ascii="DejaVu Sans Mono" w:hAnsi="DejaVu Sans Mono"/>
          <w:sz w:val="16"/>
        </w:rPr>
        <w:t xml:space="preserve">  "information_direction": "site_to_visitor",</w:t>
      </w:r>
      <w:r>
        <w:br/>
      </w:r>
      <w:r>
        <w:rPr>
          <w:rFonts w:ascii="DejaVu Sans Mono" w:hAnsi="DejaVu Sans Mono"/>
          <w:sz w:val="16"/>
        </w:rPr>
        <w:t xml:space="preserve">  "visitor_content": "prohibited",</w:t>
      </w:r>
      <w:r>
        <w:br/>
      </w:r>
      <w:r>
        <w:rPr>
          <w:rFonts w:ascii="DejaVu Sans Mono" w:hAnsi="DejaVu Sans Mono"/>
          <w:sz w:val="16"/>
        </w:rPr>
        <w:t xml:space="preserve">  "external_reference_and_discussion": "permitted",</w:t>
      </w:r>
      <w:r>
        <w:br/>
      </w:r>
      <w:r>
        <w:rPr>
          <w:rFonts w:ascii="DejaVu Sans Mono" w:hAnsi="DejaVu Sans Mono"/>
          <w:sz w:val="16"/>
        </w:rPr>
        <w:t xml:space="preserve">  "reconstruction": "permitted",</w:t>
      </w:r>
      <w:r>
        <w:br/>
      </w:r>
      <w:r>
        <w:rPr>
          <w:rFonts w:ascii="DejaVu Sans Mono" w:hAnsi="DejaVu Sans Mono"/>
          <w:sz w:val="16"/>
        </w:rPr>
        <w:t xml:space="preserve">  "submitted_code_execution": "prohibited",</w:t>
      </w:r>
      <w:r>
        <w:br/>
      </w:r>
      <w:r>
        <w:rPr>
          <w:rFonts w:ascii="DejaVu Sans Mono" w:hAnsi="DejaVu Sans Mono"/>
          <w:sz w:val="16"/>
        </w:rPr>
        <w:t xml:space="preserve">  "layers": {</w:t>
      </w:r>
      <w:r>
        <w:br/>
      </w:r>
      <w:r>
        <w:rPr>
          <w:rFonts w:ascii="DejaVu Sans Mono" w:hAnsi="DejaVu Sans Mono"/>
          <w:sz w:val="16"/>
        </w:rPr>
        <w:t xml:space="preserve">    "source": "source/",</w:t>
      </w:r>
      <w:r>
        <w:br/>
      </w:r>
      <w:r>
        <w:rPr>
          <w:rFonts w:ascii="DejaVu Sans Mono" w:hAnsi="DejaVu Sans Mono"/>
          <w:sz w:val="16"/>
        </w:rPr>
        <w:t xml:space="preserve">    "semantic": "semantic/",</w:t>
      </w:r>
      <w:r>
        <w:br/>
      </w:r>
      <w:r>
        <w:rPr>
          <w:rFonts w:ascii="DejaVu Sans Mono" w:hAnsi="DejaVu Sans Mono"/>
          <w:sz w:val="16"/>
        </w:rPr>
        <w:t xml:space="preserve">    "modules": "modules/",</w:t>
      </w:r>
      <w:r>
        <w:br/>
      </w:r>
      <w:r>
        <w:rPr>
          <w:rFonts w:ascii="DejaVu Sans Mono" w:hAnsi="DejaVu Sans Mono"/>
          <w:sz w:val="16"/>
        </w:rPr>
        <w:t xml:space="preserve">    "laboratory": "laboratory/",</w:t>
      </w:r>
      <w:r>
        <w:br/>
      </w:r>
      <w:r>
        <w:rPr>
          <w:rFonts w:ascii="DejaVu Sans Mono" w:hAnsi="DejaVu Sans Mono"/>
          <w:sz w:val="16"/>
        </w:rPr>
        <w:t xml:space="preserve">    "reconstruction": "reconstruction/",</w:t>
      </w:r>
      <w:r>
        <w:br/>
      </w:r>
      <w:r>
        <w:rPr>
          <w:rFonts w:ascii="DejaVu Sans Mono" w:hAnsi="DejaVu Sans Mono"/>
          <w:sz w:val="16"/>
        </w:rPr>
        <w:t xml:space="preserve">    "transfer": "transfer/"</w:t>
      </w:r>
      <w:r>
        <w:br/>
      </w:r>
      <w:r>
        <w:rPr>
          <w:rFonts w:ascii="DejaVu Sans Mono" w:hAnsi="DejaVu Sans Mono"/>
          <w:sz w:val="16"/>
        </w:rPr>
        <w:t xml:space="preserve">  },</w:t>
      </w:r>
      <w:r>
        <w:br/>
      </w:r>
      <w:r>
        <w:rPr>
          <w:rFonts w:ascii="DejaVu Sans Mono" w:hAnsi="DejaVu Sans Mono"/>
          <w:sz w:val="16"/>
        </w:rPr>
        <w:t xml:space="preserve">  "files": "manifest-files.ndjson",</w:t>
      </w:r>
      <w:r>
        <w:br/>
      </w:r>
      <w:r>
        <w:rPr>
          <w:rFonts w:ascii="DejaVu Sans Mono" w:hAnsi="DejaVu Sans Mono"/>
          <w:sz w:val="16"/>
        </w:rPr>
        <w:t xml:space="preserve">  "checksums": "checksums.sha256"</w:t>
      </w:r>
      <w:r>
        <w:br/>
      </w:r>
      <w:r>
        <w:rPr>
          <w:rFonts w:ascii="DejaVu Sans Mono" w:hAnsi="DejaVu Sans Mono"/>
          <w:sz w:val="16"/>
        </w:rPr>
        <w:t>}</w:t>
      </w:r>
    </w:p>
    <w:p>
      <w:r>
        <w:t>The actual manifest must also declare creation time object and route counts schemas archive hashes content rights and generator version. All paths must be relative to the release root and must resolve without external secrets.</w:t>
      </w:r>
    </w:p>
    <w:p>
      <w:pPr>
        <w:pStyle w:val="Heading1"/>
        <w:keepNext/>
      </w:pPr>
      <w:r>
        <w:t>14 Security privacy and execution boundaries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4896"/>
        <w:gridCol w:w="4896"/>
      </w:tblGrid>
      <w:tr>
        <w:trPr>
          <w:tblHeader w:val="true"/>
        </w:trPr>
        <w:tc>
          <w:tcPr>
            <w:tcW w:type="dxa" w:w="2088"/>
            <w:shd w:fill="243447"/>
            <w:tcMar>
              <w:top w:w="110" w:type="dxa"/>
              <w:start w:w="125" w:type="dxa"/>
              <w:bottom w:w="110" w:type="dxa"/>
              <w:end w:w="125" w:type="dxa"/>
            </w:tcMar>
            <w:vAlign w:val="center"/>
          </w:tcPr>
          <w:p>
            <w:pPr>
              <w:spacing w:after="0"/>
              <w:jc w:val="left"/>
            </w:pPr>
            <w:r>
              <w:rPr>
                <w:b/>
                <w:color w:val="FFFFFF"/>
                <w:sz w:val="18"/>
              </w:rPr>
              <w:t>Boundary</w:t>
            </w:r>
          </w:p>
        </w:tc>
        <w:tc>
          <w:tcPr>
            <w:tcW w:type="dxa" w:w="7488"/>
            <w:shd w:fill="243447"/>
            <w:tcMar>
              <w:top w:w="110" w:type="dxa"/>
              <w:start w:w="125" w:type="dxa"/>
              <w:bottom w:w="110" w:type="dxa"/>
              <w:end w:w="125" w:type="dxa"/>
            </w:tcMar>
            <w:vAlign w:val="center"/>
          </w:tcPr>
          <w:p>
            <w:pPr>
              <w:spacing w:after="0"/>
              <w:jc w:val="left"/>
            </w:pPr>
            <w:r>
              <w:rPr>
                <w:b/>
                <w:color w:val="FFFFFF"/>
                <w:sz w:val="18"/>
              </w:rPr>
              <w:t>Required control</w:t>
            </w:r>
          </w:p>
        </w:tc>
      </w:tr>
      <w:tr>
        <w:trPr>
          <w:cantSplit/>
        </w:trPr>
        <w:tc>
          <w:tcPr>
            <w:tcW w:type="dxa" w:w="2088"/>
            <w:tcMar>
              <w:top w:w="110" w:type="dxa"/>
              <w:start w:w="125" w:type="dxa"/>
              <w:bottom w:w="110" w:type="dxa"/>
              <w:end w:w="125" w:type="dxa"/>
            </w:tcMar>
            <w:vAlign w:val="center"/>
          </w:tcPr>
          <w:p>
            <w:pPr>
              <w:spacing w:after="0"/>
            </w:pPr>
            <w:r>
              <w:rPr>
                <w:sz w:val="17"/>
              </w:rPr>
              <w:t>Public content only</w:t>
            </w:r>
          </w:p>
        </w:tc>
        <w:tc>
          <w:tcPr>
            <w:tcW w:type="dxa" w:w="7488"/>
            <w:tcMar>
              <w:top w:w="110" w:type="dxa"/>
              <w:start w:w="125" w:type="dxa"/>
              <w:bottom w:w="110" w:type="dxa"/>
              <w:end w:w="125" w:type="dxa"/>
            </w:tcMar>
            <w:vAlign w:val="center"/>
          </w:tcPr>
          <w:p>
            <w:pPr>
              <w:spacing w:after="0"/>
            </w:pPr>
            <w:r>
              <w:rPr>
                <w:sz w:val="17"/>
              </w:rPr>
              <w:t>Exclude credentials private drafts personal records administrative metadata and unpublished material.</w:t>
            </w:r>
          </w:p>
        </w:tc>
      </w:tr>
      <w:tr>
        <w:trPr>
          <w:cantSplit/>
        </w:trPr>
        <w:tc>
          <w:tcPr>
            <w:tcW w:type="dxa" w:w="2088"/>
            <w:shd w:fill="F4F7FA"/>
            <w:tcMar>
              <w:top w:w="110" w:type="dxa"/>
              <w:start w:w="125" w:type="dxa"/>
              <w:bottom w:w="110" w:type="dxa"/>
              <w:end w:w="125" w:type="dxa"/>
            </w:tcMar>
            <w:vAlign w:val="center"/>
          </w:tcPr>
          <w:p>
            <w:pPr>
              <w:spacing w:after="0"/>
            </w:pPr>
            <w:r>
              <w:rPr>
                <w:sz w:val="17"/>
              </w:rPr>
              <w:t>Read operations</w:t>
            </w:r>
          </w:p>
        </w:tc>
        <w:tc>
          <w:tcPr>
            <w:tcW w:type="dxa" w:w="7488"/>
            <w:shd w:fill="F4F7FA"/>
            <w:tcMar>
              <w:top w:w="110" w:type="dxa"/>
              <w:start w:w="125" w:type="dxa"/>
              <w:bottom w:w="110" w:type="dxa"/>
              <w:end w:w="125" w:type="dxa"/>
            </w:tcMar>
            <w:vAlign w:val="center"/>
          </w:tcPr>
          <w:p>
            <w:pPr>
              <w:spacing w:after="0"/>
            </w:pPr>
            <w:r>
              <w:rPr>
                <w:sz w:val="17"/>
              </w:rPr>
              <w:t>Allow retrieval and metadata discovery. Reject modification and visitor content operations.</w:t>
            </w:r>
          </w:p>
        </w:tc>
      </w:tr>
      <w:tr>
        <w:trPr>
          <w:cantSplit/>
        </w:trPr>
        <w:tc>
          <w:tcPr>
            <w:tcW w:type="dxa" w:w="2088"/>
            <w:tcMar>
              <w:top w:w="110" w:type="dxa"/>
              <w:start w:w="125" w:type="dxa"/>
              <w:bottom w:w="110" w:type="dxa"/>
              <w:end w:w="125" w:type="dxa"/>
            </w:tcMar>
            <w:vAlign w:val="center"/>
          </w:tcPr>
          <w:p>
            <w:pPr>
              <w:spacing w:after="0"/>
            </w:pPr>
            <w:r>
              <w:rPr>
                <w:sz w:val="17"/>
              </w:rPr>
              <w:t>Code execution</w:t>
            </w:r>
          </w:p>
        </w:tc>
        <w:tc>
          <w:tcPr>
            <w:tcW w:type="dxa" w:w="7488"/>
            <w:tcMar>
              <w:top w:w="110" w:type="dxa"/>
              <w:start w:w="125" w:type="dxa"/>
              <w:bottom w:w="110" w:type="dxa"/>
              <w:end w:w="125" w:type="dxa"/>
            </w:tcMar>
            <w:vAlign w:val="center"/>
          </w:tcPr>
          <w:p>
            <w:pPr>
              <w:spacing w:after="0"/>
            </w:pPr>
            <w:r>
              <w:rPr>
                <w:sz w:val="17"/>
              </w:rPr>
              <w:t>Publish transformation descriptions but do not execute visitor-submitted code server-side.</w:t>
            </w:r>
          </w:p>
        </w:tc>
      </w:tr>
      <w:tr>
        <w:trPr>
          <w:cantSplit/>
        </w:trPr>
        <w:tc>
          <w:tcPr>
            <w:tcW w:type="dxa" w:w="2088"/>
            <w:shd w:fill="F4F7FA"/>
            <w:tcMar>
              <w:top w:w="110" w:type="dxa"/>
              <w:start w:w="125" w:type="dxa"/>
              <w:bottom w:w="110" w:type="dxa"/>
              <w:end w:w="125" w:type="dxa"/>
            </w:tcMar>
            <w:vAlign w:val="center"/>
          </w:tcPr>
          <w:p>
            <w:pPr>
              <w:spacing w:after="0"/>
            </w:pPr>
            <w:r>
              <w:rPr>
                <w:sz w:val="17"/>
              </w:rPr>
              <w:t>Source integrity</w:t>
            </w:r>
          </w:p>
        </w:tc>
        <w:tc>
          <w:tcPr>
            <w:tcW w:type="dxa" w:w="7488"/>
            <w:shd w:fill="F4F7FA"/>
            <w:tcMar>
              <w:top w:w="110" w:type="dxa"/>
              <w:start w:w="125" w:type="dxa"/>
              <w:bottom w:w="110" w:type="dxa"/>
              <w:end w:w="125" w:type="dxa"/>
            </w:tcMar>
            <w:vAlign w:val="center"/>
          </w:tcPr>
          <w:p>
            <w:pPr>
              <w:spacing w:after="0"/>
            </w:pPr>
            <w:r>
              <w:rPr>
                <w:sz w:val="17"/>
              </w:rPr>
              <w:t>Make the source layer immutable and verify it before every release.</w:t>
            </w:r>
          </w:p>
        </w:tc>
      </w:tr>
      <w:tr>
        <w:trPr>
          <w:cantSplit/>
        </w:trPr>
        <w:tc>
          <w:tcPr>
            <w:tcW w:type="dxa" w:w="2088"/>
            <w:tcMar>
              <w:top w:w="110" w:type="dxa"/>
              <w:start w:w="125" w:type="dxa"/>
              <w:bottom w:w="110" w:type="dxa"/>
              <w:end w:w="125" w:type="dxa"/>
            </w:tcMar>
            <w:vAlign w:val="center"/>
          </w:tcPr>
          <w:p>
            <w:pPr>
              <w:spacing w:after="0"/>
            </w:pPr>
            <w:r>
              <w:rPr>
                <w:sz w:val="17"/>
              </w:rPr>
              <w:t>Derived integrity</w:t>
            </w:r>
          </w:p>
        </w:tc>
        <w:tc>
          <w:tcPr>
            <w:tcW w:type="dxa" w:w="7488"/>
            <w:tcMar>
              <w:top w:w="110" w:type="dxa"/>
              <w:start w:w="125" w:type="dxa"/>
              <w:bottom w:w="110" w:type="dxa"/>
              <w:end w:w="125" w:type="dxa"/>
            </w:tcMar>
            <w:vAlign w:val="center"/>
          </w:tcPr>
          <w:p>
            <w:pPr>
              <w:spacing w:after="0"/>
            </w:pPr>
            <w:r>
              <w:rPr>
                <w:sz w:val="17"/>
              </w:rPr>
              <w:t>Hash derived records and attach inputs generator version frame and uncertainty.</w:t>
            </w:r>
          </w:p>
        </w:tc>
      </w:tr>
      <w:tr>
        <w:trPr>
          <w:cantSplit/>
        </w:trPr>
        <w:tc>
          <w:tcPr>
            <w:tcW w:type="dxa" w:w="2088"/>
            <w:shd w:fill="F4F7FA"/>
            <w:tcMar>
              <w:top w:w="110" w:type="dxa"/>
              <w:start w:w="125" w:type="dxa"/>
              <w:bottom w:w="110" w:type="dxa"/>
              <w:end w:w="125" w:type="dxa"/>
            </w:tcMar>
            <w:vAlign w:val="center"/>
          </w:tcPr>
          <w:p>
            <w:pPr>
              <w:spacing w:after="0"/>
            </w:pPr>
            <w:r>
              <w:rPr>
                <w:sz w:val="17"/>
              </w:rPr>
              <w:t>Privacy</w:t>
            </w:r>
          </w:p>
        </w:tc>
        <w:tc>
          <w:tcPr>
            <w:tcW w:type="dxa" w:w="7488"/>
            <w:shd w:fill="F4F7FA"/>
            <w:tcMar>
              <w:top w:w="110" w:type="dxa"/>
              <w:start w:w="125" w:type="dxa"/>
              <w:bottom w:w="110" w:type="dxa"/>
              <w:end w:w="125" w:type="dxa"/>
            </w:tcMar>
            <w:vAlign w:val="center"/>
          </w:tcPr>
          <w:p>
            <w:pPr>
              <w:spacing w:after="0"/>
            </w:pPr>
            <w:r>
              <w:rPr>
                <w:sz w:val="17"/>
              </w:rPr>
              <w:t>Do not publish IP addresses fingerprints private headers exact locations or unconsented identifiers.</w:t>
            </w:r>
          </w:p>
        </w:tc>
      </w:tr>
      <w:tr>
        <w:trPr>
          <w:cantSplit/>
        </w:trPr>
        <w:tc>
          <w:tcPr>
            <w:tcW w:type="dxa" w:w="2088"/>
            <w:tcMar>
              <w:top w:w="110" w:type="dxa"/>
              <w:start w:w="125" w:type="dxa"/>
              <w:bottom w:w="110" w:type="dxa"/>
              <w:end w:w="125" w:type="dxa"/>
            </w:tcMar>
            <w:vAlign w:val="center"/>
          </w:tcPr>
          <w:p>
            <w:pPr>
              <w:spacing w:after="0"/>
            </w:pPr>
            <w:r>
              <w:rPr>
                <w:sz w:val="17"/>
              </w:rPr>
              <w:t>Communication</w:t>
            </w:r>
          </w:p>
        </w:tc>
        <w:tc>
          <w:tcPr>
            <w:tcW w:type="dxa" w:w="7488"/>
            <w:tcMar>
              <w:top w:w="110" w:type="dxa"/>
              <w:start w:w="125" w:type="dxa"/>
              <w:bottom w:w="110" w:type="dxa"/>
              <w:end w:w="125" w:type="dxa"/>
            </w:tcMar>
            <w:vAlign w:val="center"/>
          </w:tcPr>
          <w:p>
            <w:pPr>
              <w:spacing w:after="0"/>
            </w:pPr>
            <w:r>
              <w:rPr>
                <w:sz w:val="17"/>
              </w:rPr>
              <w:t>Constrain public references and identifiers so they cannot carry arbitrary messages.</w:t>
            </w:r>
          </w:p>
        </w:tc>
      </w:tr>
      <w:tr>
        <w:trPr>
          <w:cantSplit/>
        </w:trPr>
        <w:tc>
          <w:tcPr>
            <w:tcW w:type="dxa" w:w="2088"/>
            <w:shd w:fill="F4F7FA"/>
            <w:tcMar>
              <w:top w:w="110" w:type="dxa"/>
              <w:start w:w="125" w:type="dxa"/>
              <w:bottom w:w="110" w:type="dxa"/>
              <w:end w:w="125" w:type="dxa"/>
            </w:tcMar>
            <w:vAlign w:val="center"/>
          </w:tcPr>
          <w:p>
            <w:pPr>
              <w:spacing w:after="0"/>
            </w:pPr>
            <w:r>
              <w:rPr>
                <w:sz w:val="17"/>
              </w:rPr>
              <w:t>Container isolation</w:t>
            </w:r>
          </w:p>
        </w:tc>
        <w:tc>
          <w:tcPr>
            <w:tcW w:type="dxa" w:w="7488"/>
            <w:shd w:fill="F4F7FA"/>
            <w:tcMar>
              <w:top w:w="110" w:type="dxa"/>
              <w:start w:w="125" w:type="dxa"/>
              <w:bottom w:w="110" w:type="dxa"/>
              <w:end w:w="125" w:type="dxa"/>
            </w:tcMar>
            <w:vAlign w:val="center"/>
          </w:tcPr>
          <w:p>
            <w:pPr>
              <w:spacing w:after="0"/>
            </w:pPr>
            <w:r>
              <w:rPr>
                <w:sz w:val="17"/>
              </w:rPr>
              <w:t>Separate D-DSK storage runtime origin and permissions from canonical editing state credentials and private services.</w:t>
            </w:r>
          </w:p>
        </w:tc>
      </w:tr>
      <w:tr>
        <w:trPr>
          <w:cantSplit/>
        </w:trPr>
        <w:tc>
          <w:tcPr>
            <w:tcW w:type="dxa" w:w="2088"/>
            <w:tcMar>
              <w:top w:w="110" w:type="dxa"/>
              <w:start w:w="125" w:type="dxa"/>
              <w:bottom w:w="110" w:type="dxa"/>
              <w:end w:w="125" w:type="dxa"/>
            </w:tcMar>
            <w:vAlign w:val="center"/>
          </w:tcPr>
          <w:p>
            <w:pPr>
              <w:spacing w:after="0"/>
            </w:pPr>
            <w:r>
              <w:rPr>
                <w:sz w:val="17"/>
              </w:rPr>
              <w:t>Failure handling</w:t>
            </w:r>
          </w:p>
        </w:tc>
        <w:tc>
          <w:tcPr>
            <w:tcW w:type="dxa" w:w="7488"/>
            <w:tcMar>
              <w:top w:w="110" w:type="dxa"/>
              <w:start w:w="125" w:type="dxa"/>
              <w:bottom w:w="110" w:type="dxa"/>
              <w:end w:w="125" w:type="dxa"/>
            </w:tcMar>
            <w:vAlign w:val="center"/>
          </w:tcPr>
          <w:p>
            <w:pPr>
              <w:spacing w:after="0"/>
            </w:pPr>
            <w:r>
              <w:rPr>
                <w:sz w:val="17"/>
              </w:rPr>
              <w:t>Fail closed and preserve the previous valid latest pointer when generation validation or upload is incomplete.</w:t>
            </w:r>
          </w:p>
        </w:tc>
      </w:tr>
    </w:tbl>
    <w:p>
      <w:pPr>
        <w:spacing w:after="0"/>
      </w:pPr>
    </w:p>
    <w:p>
      <w:pPr>
        <w:pStyle w:val="Heading1"/>
        <w:keepNext/>
      </w:pPr>
      <w:r>
        <w:t>15 Acceptance tests</w:t>
      </w:r>
    </w:p>
    <w:p>
      <w:r>
        <w:t>The publishing workflow must not mark a D-DSK release complete until every applicable test passes.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264"/>
        <w:gridCol w:w="3264"/>
        <w:gridCol w:w="3264"/>
      </w:tblGrid>
      <w:tr>
        <w:trPr>
          <w:tblHeader w:val="true"/>
        </w:trPr>
        <w:tc>
          <w:tcPr>
            <w:tcW w:type="dxa" w:w="2088"/>
            <w:shd w:fill="243447"/>
            <w:tcMar>
              <w:top w:w="110" w:type="dxa"/>
              <w:start w:w="125" w:type="dxa"/>
              <w:bottom w:w="110" w:type="dxa"/>
              <w:end w:w="125" w:type="dxa"/>
            </w:tcMar>
            <w:vAlign w:val="center"/>
          </w:tcPr>
          <w:p>
            <w:pPr>
              <w:spacing w:after="0"/>
              <w:jc w:val="left"/>
            </w:pPr>
            <w:r>
              <w:rPr>
                <w:b/>
                <w:color w:val="FFFFFF"/>
                <w:sz w:val="18"/>
              </w:rPr>
              <w:t>Test</w:t>
            </w:r>
          </w:p>
        </w:tc>
        <w:tc>
          <w:tcPr>
            <w:tcW w:type="dxa" w:w="6696"/>
            <w:shd w:fill="243447"/>
            <w:tcMar>
              <w:top w:w="110" w:type="dxa"/>
              <w:start w:w="125" w:type="dxa"/>
              <w:bottom w:w="110" w:type="dxa"/>
              <w:end w:w="125" w:type="dxa"/>
            </w:tcMar>
            <w:vAlign w:val="center"/>
          </w:tcPr>
          <w:p>
            <w:pPr>
              <w:spacing w:after="0"/>
              <w:jc w:val="left"/>
            </w:pPr>
            <w:r>
              <w:rPr>
                <w:b/>
                <w:color w:val="FFFFFF"/>
                <w:sz w:val="18"/>
              </w:rPr>
              <w:t>Acceptance condition</w:t>
            </w:r>
          </w:p>
        </w:tc>
        <w:tc>
          <w:tcPr>
            <w:tcW w:type="dxa" w:w="792"/>
            <w:shd w:fill="243447"/>
            <w:tcMar>
              <w:top w:w="110" w:type="dxa"/>
              <w:start w:w="125" w:type="dxa"/>
              <w:bottom w:w="110" w:type="dxa"/>
              <w:end w:w="125" w:type="dxa"/>
            </w:tcMar>
            <w:vAlign w:val="center"/>
          </w:tcPr>
          <w:p>
            <w:pPr>
              <w:spacing w:after="0"/>
              <w:jc w:val="left"/>
            </w:pPr>
            <w:r>
              <w:rPr>
                <w:b/>
                <w:color w:val="FFFFFF"/>
                <w:sz w:val="18"/>
              </w:rPr>
              <w:t>Result</w:t>
            </w:r>
          </w:p>
        </w:tc>
      </w:tr>
      <w:tr>
        <w:trPr>
          <w:cantSplit/>
        </w:trPr>
        <w:tc>
          <w:tcPr>
            <w:tcW w:type="dxa" w:w="2088"/>
            <w:tcMar>
              <w:top w:w="110" w:type="dxa"/>
              <w:start w:w="125" w:type="dxa"/>
              <w:bottom w:w="110" w:type="dxa"/>
              <w:end w:w="125" w:type="dxa"/>
            </w:tcMar>
            <w:vAlign w:val="center"/>
          </w:tcPr>
          <w:p>
            <w:pPr>
              <w:spacing w:after="0"/>
            </w:pPr>
            <w:r>
              <w:rPr>
                <w:sz w:val="17"/>
              </w:rPr>
              <w:t>Source completeness</w:t>
            </w:r>
          </w:p>
        </w:tc>
        <w:tc>
          <w:tcPr>
            <w:tcW w:type="dxa" w:w="6696"/>
            <w:tcMar>
              <w:top w:w="110" w:type="dxa"/>
              <w:start w:w="125" w:type="dxa"/>
              <w:bottom w:w="110" w:type="dxa"/>
              <w:end w:w="125" w:type="dxa"/>
            </w:tcMar>
            <w:vAlign w:val="center"/>
          </w:tcPr>
          <w:p>
            <w:pPr>
              <w:spacing w:after="0"/>
            </w:pPr>
            <w:r>
              <w:rPr>
                <w:sz w:val="17"/>
              </w:rPr>
              <w:t>Every public canonical route and required asset appears in the source manifest.</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Byte integrity</w:t>
            </w:r>
          </w:p>
        </w:tc>
        <w:tc>
          <w:tcPr>
            <w:tcW w:type="dxa" w:w="6696"/>
            <w:shd w:fill="F4F7FA"/>
            <w:tcMar>
              <w:top w:w="110" w:type="dxa"/>
              <w:start w:w="125" w:type="dxa"/>
              <w:bottom w:w="110" w:type="dxa"/>
              <w:end w:w="125" w:type="dxa"/>
            </w:tcMar>
            <w:vAlign w:val="center"/>
          </w:tcPr>
          <w:p>
            <w:pPr>
              <w:spacing w:after="0"/>
            </w:pPr>
            <w:r>
              <w:rPr>
                <w:sz w:val="17"/>
              </w:rPr>
              <w:t>Every preserved file matches its declared SHA-256 hash.</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Route reconstruction</w:t>
            </w:r>
          </w:p>
        </w:tc>
        <w:tc>
          <w:tcPr>
            <w:tcW w:type="dxa" w:w="6696"/>
            <w:tcMar>
              <w:top w:w="110" w:type="dxa"/>
              <w:start w:w="125" w:type="dxa"/>
              <w:bottom w:w="110" w:type="dxa"/>
              <w:end w:w="125" w:type="dxa"/>
            </w:tcMar>
            <w:vAlign w:val="center"/>
          </w:tcPr>
          <w:p>
            <w:pPr>
              <w:spacing w:after="0"/>
            </w:pPr>
            <w:r>
              <w:rPr>
                <w:sz w:val="17"/>
              </w:rPr>
              <w:t>The reconstruction output serves all declared routes and internal links.</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Module traceability</w:t>
            </w:r>
          </w:p>
        </w:tc>
        <w:tc>
          <w:tcPr>
            <w:tcW w:type="dxa" w:w="6696"/>
            <w:shd w:fill="F4F7FA"/>
            <w:tcMar>
              <w:top w:w="110" w:type="dxa"/>
              <w:start w:w="125" w:type="dxa"/>
              <w:bottom w:w="110" w:type="dxa"/>
              <w:end w:w="125" w:type="dxa"/>
            </w:tcMar>
            <w:vAlign w:val="center"/>
          </w:tcPr>
          <w:p>
            <w:pPr>
              <w:spacing w:after="0"/>
            </w:pPr>
            <w:r>
              <w:rPr>
                <w:sz w:val="17"/>
              </w:rPr>
              <w:t>Every module has at least one exact source reference and valid provenance.</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Truth-state control</w:t>
            </w:r>
          </w:p>
        </w:tc>
        <w:tc>
          <w:tcPr>
            <w:tcW w:type="dxa" w:w="6696"/>
            <w:tcMar>
              <w:top w:w="110" w:type="dxa"/>
              <w:start w:w="125" w:type="dxa"/>
              <w:bottom w:w="110" w:type="dxa"/>
              <w:end w:w="125" w:type="dxa"/>
            </w:tcMar>
            <w:vAlign w:val="center"/>
          </w:tcPr>
          <w:p>
            <w:pPr>
              <w:spacing w:after="0"/>
            </w:pPr>
            <w:r>
              <w:rPr>
                <w:sz w:val="17"/>
              </w:rPr>
              <w:t>Derived and inferred material is not labelled as observed or confirmed without support.</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Port safety</w:t>
            </w:r>
          </w:p>
        </w:tc>
        <w:tc>
          <w:tcPr>
            <w:tcW w:type="dxa" w:w="6696"/>
            <w:shd w:fill="F4F7FA"/>
            <w:tcMar>
              <w:top w:w="110" w:type="dxa"/>
              <w:start w:w="125" w:type="dxa"/>
              <w:bottom w:w="110" w:type="dxa"/>
              <w:end w:w="125" w:type="dxa"/>
            </w:tcMar>
            <w:vAlign w:val="center"/>
          </w:tcPr>
          <w:p>
            <w:pPr>
              <w:spacing w:after="0"/>
            </w:pPr>
            <w:r>
              <w:rPr>
                <w:sz w:val="17"/>
              </w:rPr>
              <w:t>All D-DSK transformation ports declare no source-side effects.</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Reference constraint</w:t>
            </w:r>
          </w:p>
        </w:tc>
        <w:tc>
          <w:tcPr>
            <w:tcW w:type="dxa" w:w="6696"/>
            <w:tcMar>
              <w:top w:w="110" w:type="dxa"/>
              <w:start w:w="125" w:type="dxa"/>
              <w:bottom w:w="110" w:type="dxa"/>
              <w:end w:w="125" w:type="dxa"/>
            </w:tcMar>
            <w:vAlign w:val="center"/>
          </w:tcPr>
          <w:p>
            <w:pPr>
              <w:spacing w:after="0"/>
            </w:pPr>
            <w:r>
              <w:rPr>
                <w:sz w:val="17"/>
              </w:rPr>
              <w:t>Reference fields cannot carry arbitrary visitor messages.</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No write surface</w:t>
            </w:r>
          </w:p>
        </w:tc>
        <w:tc>
          <w:tcPr>
            <w:tcW w:type="dxa" w:w="6696"/>
            <w:shd w:fill="F4F7FA"/>
            <w:tcMar>
              <w:top w:w="110" w:type="dxa"/>
              <w:start w:w="125" w:type="dxa"/>
              <w:bottom w:w="110" w:type="dxa"/>
              <w:end w:w="125" w:type="dxa"/>
            </w:tcMar>
            <w:vAlign w:val="center"/>
          </w:tcPr>
          <w:p>
            <w:pPr>
              <w:spacing w:after="0"/>
            </w:pPr>
            <w:r>
              <w:rPr>
                <w:sz w:val="17"/>
              </w:rPr>
              <w:t>No comments uploads chat or visitor modification endpoint is exposed.</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Container isolation</w:t>
            </w:r>
          </w:p>
        </w:tc>
        <w:tc>
          <w:tcPr>
            <w:tcW w:type="dxa" w:w="6696"/>
            <w:tcMar>
              <w:top w:w="110" w:type="dxa"/>
              <w:start w:w="125" w:type="dxa"/>
              <w:bottom w:w="110" w:type="dxa"/>
              <w:end w:w="125" w:type="dxa"/>
            </w:tcMar>
            <w:vAlign w:val="center"/>
          </w:tcPr>
          <w:p>
            <w:pPr>
              <w:spacing w:after="0"/>
            </w:pPr>
            <w:r>
              <w:rPr>
                <w:sz w:val="17"/>
              </w:rPr>
              <w:t>D-DSK cannot read or modify canonical editing state credentials cookies private services or administrative interfaces.</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Conditional retrieval</w:t>
            </w:r>
          </w:p>
        </w:tc>
        <w:tc>
          <w:tcPr>
            <w:tcW w:type="dxa" w:w="6696"/>
            <w:shd w:fill="F4F7FA"/>
            <w:tcMar>
              <w:top w:w="110" w:type="dxa"/>
              <w:start w:w="125" w:type="dxa"/>
              <w:bottom w:w="110" w:type="dxa"/>
              <w:end w:w="125" w:type="dxa"/>
            </w:tcMar>
            <w:vAlign w:val="center"/>
          </w:tcPr>
          <w:p>
            <w:pPr>
              <w:spacing w:after="0"/>
            </w:pPr>
            <w:r>
              <w:rPr>
                <w:sz w:val="17"/>
              </w:rPr>
              <w:t>An unchanged client can receive a no-change response without redownloading the package.</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Resume</w:t>
            </w:r>
          </w:p>
        </w:tc>
        <w:tc>
          <w:tcPr>
            <w:tcW w:type="dxa" w:w="6696"/>
            <w:tcMar>
              <w:top w:w="110" w:type="dxa"/>
              <w:start w:w="125" w:type="dxa"/>
              <w:bottom w:w="110" w:type="dxa"/>
              <w:end w:w="125" w:type="dxa"/>
            </w:tcMar>
            <w:vAlign w:val="center"/>
          </w:tcPr>
          <w:p>
            <w:pPr>
              <w:spacing w:after="0"/>
            </w:pPr>
            <w:r>
              <w:rPr>
                <w:sz w:val="17"/>
              </w:rPr>
              <w:t>An interrupted package download resumes by verified byte range or chunk.</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Ledger privacy</w:t>
            </w:r>
          </w:p>
        </w:tc>
        <w:tc>
          <w:tcPr>
            <w:tcW w:type="dxa" w:w="6696"/>
            <w:shd w:fill="F4F7FA"/>
            <w:tcMar>
              <w:top w:w="110" w:type="dxa"/>
              <w:start w:w="125" w:type="dxa"/>
              <w:bottom w:w="110" w:type="dxa"/>
              <w:end w:w="125" w:type="dxa"/>
            </w:tcMar>
            <w:vAlign w:val="center"/>
          </w:tcPr>
          <w:p>
            <w:pPr>
              <w:spacing w:after="0"/>
            </w:pPr>
            <w:r>
              <w:rPr>
                <w:sz w:val="17"/>
              </w:rPr>
              <w:t>Public records contain no IP location fingerprint private header or arbitrary message field.</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Mirror equality</w:t>
            </w:r>
          </w:p>
        </w:tc>
        <w:tc>
          <w:tcPr>
            <w:tcW w:type="dxa" w:w="6696"/>
            <w:tcMar>
              <w:top w:w="110" w:type="dxa"/>
              <w:start w:w="125" w:type="dxa"/>
              <w:bottom w:w="110" w:type="dxa"/>
              <w:end w:w="125" w:type="dxa"/>
            </w:tcMar>
            <w:vAlign w:val="center"/>
          </w:tcPr>
          <w:p>
            <w:pPr>
              <w:spacing w:after="0"/>
            </w:pPr>
            <w:r>
              <w:rPr>
                <w:sz w:val="17"/>
              </w:rPr>
              <w:t>The approved mirror release matches the canonical D-DSK release hashes.</w:t>
            </w:r>
          </w:p>
        </w:tc>
        <w:tc>
          <w:tcPr>
            <w:tcW w:type="dxa" w:w="792"/>
            <w:tcMar>
              <w:top w:w="110" w:type="dxa"/>
              <w:start w:w="125" w:type="dxa"/>
              <w:bottom w:w="110" w:type="dxa"/>
              <w:end w:w="125" w:type="dxa"/>
            </w:tcMar>
            <w:vAlign w:val="center"/>
          </w:tcPr>
          <w:p>
            <w:pPr>
              <w:spacing w:after="0"/>
            </w:pPr>
            <w:r>
              <w:rPr>
                <w:sz w:val="17"/>
              </w:rPr>
              <w:t>Pass fail</w:t>
            </w:r>
          </w:p>
        </w:tc>
      </w:tr>
      <w:tr>
        <w:trPr>
          <w:cantSplit/>
        </w:trPr>
        <w:tc>
          <w:tcPr>
            <w:tcW w:type="dxa" w:w="2088"/>
            <w:shd w:fill="F4F7FA"/>
            <w:tcMar>
              <w:top w:w="110" w:type="dxa"/>
              <w:start w:w="125" w:type="dxa"/>
              <w:bottom w:w="110" w:type="dxa"/>
              <w:end w:w="125" w:type="dxa"/>
            </w:tcMar>
            <w:vAlign w:val="center"/>
          </w:tcPr>
          <w:p>
            <w:pPr>
              <w:spacing w:after="0"/>
            </w:pPr>
            <w:r>
              <w:rPr>
                <w:sz w:val="17"/>
              </w:rPr>
              <w:t>Latest atomicity</w:t>
            </w:r>
          </w:p>
        </w:tc>
        <w:tc>
          <w:tcPr>
            <w:tcW w:type="dxa" w:w="6696"/>
            <w:shd w:fill="F4F7FA"/>
            <w:tcMar>
              <w:top w:w="110" w:type="dxa"/>
              <w:start w:w="125" w:type="dxa"/>
              <w:bottom w:w="110" w:type="dxa"/>
              <w:end w:w="125" w:type="dxa"/>
            </w:tcMar>
            <w:vAlign w:val="center"/>
          </w:tcPr>
          <w:p>
            <w:pPr>
              <w:spacing w:after="0"/>
            </w:pPr>
            <w:r>
              <w:rPr>
                <w:sz w:val="17"/>
              </w:rPr>
              <w:t>latest.json points only to a complete validated immutable release.</w:t>
            </w:r>
          </w:p>
        </w:tc>
        <w:tc>
          <w:tcPr>
            <w:tcW w:type="dxa" w:w="792"/>
            <w:shd w:fill="F4F7FA"/>
            <w:tcMar>
              <w:top w:w="110" w:type="dxa"/>
              <w:start w:w="125" w:type="dxa"/>
              <w:bottom w:w="110" w:type="dxa"/>
              <w:end w:w="125" w:type="dxa"/>
            </w:tcMar>
            <w:vAlign w:val="center"/>
          </w:tcPr>
          <w:p>
            <w:pPr>
              <w:spacing w:after="0"/>
            </w:pPr>
            <w:r>
              <w:rPr>
                <w:sz w:val="17"/>
              </w:rPr>
              <w:t>Pass fail</w:t>
            </w:r>
          </w:p>
        </w:tc>
      </w:tr>
      <w:tr>
        <w:trPr>
          <w:cantSplit/>
        </w:trPr>
        <w:tc>
          <w:tcPr>
            <w:tcW w:type="dxa" w:w="2088"/>
            <w:tcMar>
              <w:top w:w="110" w:type="dxa"/>
              <w:start w:w="125" w:type="dxa"/>
              <w:bottom w:w="110" w:type="dxa"/>
              <w:end w:w="125" w:type="dxa"/>
            </w:tcMar>
            <w:vAlign w:val="center"/>
          </w:tcPr>
          <w:p>
            <w:pPr>
              <w:spacing w:after="0"/>
            </w:pPr>
            <w:r>
              <w:rPr>
                <w:sz w:val="17"/>
              </w:rPr>
              <w:t>Previous release</w:t>
            </w:r>
          </w:p>
        </w:tc>
        <w:tc>
          <w:tcPr>
            <w:tcW w:type="dxa" w:w="6696"/>
            <w:tcMar>
              <w:top w:w="110" w:type="dxa"/>
              <w:start w:w="125" w:type="dxa"/>
              <w:bottom w:w="110" w:type="dxa"/>
              <w:end w:w="125" w:type="dxa"/>
            </w:tcMar>
            <w:vAlign w:val="center"/>
          </w:tcPr>
          <w:p>
            <w:pPr>
              <w:spacing w:after="0"/>
            </w:pPr>
            <w:r>
              <w:rPr>
                <w:sz w:val="17"/>
              </w:rPr>
              <w:t>The prior immutable release remains retrievable and linked by the version chain.</w:t>
            </w:r>
          </w:p>
        </w:tc>
        <w:tc>
          <w:tcPr>
            <w:tcW w:type="dxa" w:w="792"/>
            <w:tcMar>
              <w:top w:w="110" w:type="dxa"/>
              <w:start w:w="125" w:type="dxa"/>
              <w:bottom w:w="110" w:type="dxa"/>
              <w:end w:w="125" w:type="dxa"/>
            </w:tcMar>
            <w:vAlign w:val="center"/>
          </w:tcPr>
          <w:p>
            <w:pPr>
              <w:spacing w:after="0"/>
            </w:pPr>
            <w:r>
              <w:rPr>
                <w:sz w:val="17"/>
              </w:rPr>
              <w:t>Pass fail</w:t>
            </w:r>
          </w:p>
        </w:tc>
      </w:tr>
    </w:tbl>
    <w:p>
      <w:pPr>
        <w:spacing w:after="0"/>
      </w:pPr>
    </w:p>
    <w:p>
      <w:pPr>
        <w:pStyle w:val="Heading1"/>
        <w:keepNext/>
      </w:pPr>
      <w:r>
        <w:t>16 Publishing implementation checklist</w:t>
      </w:r>
    </w:p>
    <w:p>
      <w:pPr>
        <w:spacing w:after="70" w:line="259" w:lineRule="auto"/>
        <w:ind w:left="461" w:hanging="288"/>
      </w:pPr>
      <w:r>
        <w:rPr>
          <w:b/>
        </w:rPr>
        <w:t xml:space="preserve">[ ] </w:t>
      </w:r>
      <w:r>
        <w:t>Stable AI Sub Space machine entry address exists.</w:t>
      </w:r>
    </w:p>
    <w:p>
      <w:pPr>
        <w:spacing w:after="70" w:line="259" w:lineRule="auto"/>
        <w:ind w:left="461" w:hanging="288"/>
      </w:pPr>
      <w:r>
        <w:rPr>
          <w:b/>
        </w:rPr>
        <w:t xml:space="preserve">[ ] </w:t>
      </w:r>
      <w:r>
        <w:t>Human-readable D-DSK explanation and machine-readable discovery links exist.</w:t>
      </w:r>
    </w:p>
    <w:p>
      <w:pPr>
        <w:spacing w:after="70" w:line="259" w:lineRule="auto"/>
        <w:ind w:left="461" w:hanging="288"/>
      </w:pPr>
      <w:r>
        <w:rPr>
          <w:b/>
        </w:rPr>
        <w:t xml:space="preserve">[ ] </w:t>
      </w:r>
      <w:r>
        <w:t>Original public site snapshot is complete and hashed.</w:t>
      </w:r>
    </w:p>
    <w:p>
      <w:pPr>
        <w:spacing w:after="70" w:line="259" w:lineRule="auto"/>
        <w:ind w:left="461" w:hanging="288"/>
      </w:pPr>
      <w:r>
        <w:rPr>
          <w:b/>
        </w:rPr>
        <w:t xml:space="preserve">[ ] </w:t>
      </w:r>
      <w:r>
        <w:t>Semantic entities relationships and modules are generated.</w:t>
      </w:r>
    </w:p>
    <w:p>
      <w:pPr>
        <w:spacing w:after="70" w:line="259" w:lineRule="auto"/>
        <w:ind w:left="461" w:hanging="288"/>
      </w:pPr>
      <w:r>
        <w:rPr>
          <w:b/>
        </w:rPr>
        <w:t xml:space="preserve">[ ] </w:t>
      </w:r>
      <w:r>
        <w:t>Every module contains identity source state provenance uncertainty frames and applicable ports.</w:t>
      </w:r>
    </w:p>
    <w:p>
      <w:pPr>
        <w:spacing w:after="70" w:line="259" w:lineRule="auto"/>
        <w:ind w:left="461" w:hanging="288"/>
      </w:pPr>
      <w:r>
        <w:rPr>
          <w:b/>
        </w:rPr>
        <w:t xml:space="preserve">[ ] </w:t>
      </w:r>
      <w:r>
        <w:t>Observation levels and truth-state vocabulary are published.</w:t>
      </w:r>
    </w:p>
    <w:p>
      <w:pPr>
        <w:spacing w:after="70" w:line="259" w:lineRule="auto"/>
        <w:ind w:left="461" w:hanging="288"/>
      </w:pPr>
      <w:r>
        <w:rPr>
          <w:b/>
        </w:rPr>
        <w:t xml:space="preserve">[ ] </w:t>
      </w:r>
      <w:r>
        <w:t>Reference-only interaction constraints are enforced.</w:t>
      </w:r>
    </w:p>
    <w:p>
      <w:pPr>
        <w:spacing w:after="70" w:line="259" w:lineRule="auto"/>
        <w:ind w:left="461" w:hanging="288"/>
      </w:pPr>
      <w:r>
        <w:rPr>
          <w:b/>
        </w:rPr>
        <w:t xml:space="preserve">[ ] </w:t>
      </w:r>
      <w:r>
        <w:t>AI Sub Space container storage runtime identity and network boundaries are isolated from the canonical site.</w:t>
      </w:r>
    </w:p>
    <w:p>
      <w:pPr>
        <w:spacing w:after="70" w:line="259" w:lineRule="auto"/>
        <w:ind w:left="461" w:hanging="288"/>
      </w:pPr>
      <w:r>
        <w:rPr>
          <w:b/>
        </w:rPr>
        <w:t xml:space="preserve">[ ] </w:t>
      </w:r>
      <w:r>
        <w:t>Reconstruction files schemas instructions and validation expectations are present.</w:t>
      </w:r>
    </w:p>
    <w:p>
      <w:pPr>
        <w:spacing w:after="70" w:line="259" w:lineRule="auto"/>
        <w:ind w:left="461" w:hanging="288"/>
      </w:pPr>
      <w:r>
        <w:rPr>
          <w:b/>
        </w:rPr>
        <w:t xml:space="preserve">[ ] </w:t>
      </w:r>
      <w:r>
        <w:t>Conditional download chunk resume and integrity verification are operational.</w:t>
      </w:r>
    </w:p>
    <w:p>
      <w:pPr>
        <w:spacing w:after="70" w:line="259" w:lineRule="auto"/>
        <w:ind w:left="461" w:hanging="288"/>
      </w:pPr>
      <w:r>
        <w:rPr>
          <w:b/>
        </w:rPr>
        <w:t xml:space="preserve">[ ] </w:t>
      </w:r>
      <w:r>
        <w:t>Public ledger uses privacy-preserving delayed or aggregate records.</w:t>
      </w:r>
    </w:p>
    <w:p>
      <w:pPr>
        <w:spacing w:after="70" w:line="259" w:lineRule="auto"/>
        <w:ind w:left="461" w:hanging="288"/>
      </w:pPr>
      <w:r>
        <w:rPr>
          <w:b/>
        </w:rPr>
        <w:t xml:space="preserve">[ ] </w:t>
      </w:r>
      <w:r>
        <w:t>Permissions and content-specific rights are stated.</w:t>
      </w:r>
    </w:p>
    <w:p>
      <w:pPr>
        <w:spacing w:after="70" w:line="259" w:lineRule="auto"/>
        <w:ind w:left="461" w:hanging="288"/>
      </w:pPr>
      <w:r>
        <w:rPr>
          <w:b/>
        </w:rPr>
        <w:t xml:space="preserve">[ ] </w:t>
      </w:r>
      <w:r>
        <w:t>All acceptance tests pass before latest.json changes.</w:t>
      </w:r>
    </w:p>
    <w:p>
      <w:pPr>
        <w:spacing w:after="70" w:line="259" w:lineRule="auto"/>
        <w:ind w:left="461" w:hanging="288"/>
      </w:pPr>
      <w:r>
        <w:rPr>
          <w:b/>
        </w:rPr>
        <w:t xml:space="preserve">[ ] </w:t>
      </w:r>
      <w:r>
        <w:t>The canonical release is available for normal transfer to the mirror.</w:t>
      </w:r>
    </w:p>
    <w:p>
      <w:pPr>
        <w:pStyle w:val="Heading1"/>
        <w:keepNext/>
      </w:pPr>
      <w:r>
        <w:t>17 Conformance statement</w:t>
      </w:r>
    </w:p>
    <w:p>
      <w:r>
        <w:t>A publication conforms to this specification only when it preserves the original public Green Tank material, provides traceable modular representations, supports bounded read-only observation and external reconstruction, prevents visitor communication through AI Sub Space, and passes the acceptance tests for its declared release.</w:t>
      </w:r>
    </w:p>
    <w:p>
      <w:r>
        <w:t>D-DSK may evolve by adding documented fields formats or processing descriptions. A later version must retain the ability to identify and interpret earlier immutable releases, or it must include an explicit migration description that preserves their meaning provenance and hashes.</w:t>
      </w:r>
    </w:p>
    <w:sectPr w:rsidR="00FC693F" w:rsidRPr="0006063C" w:rsidSect="00034616">
      <w:footerReference w:type="default" r:id="rId9"/>
      <w:pgSz w:w="12240" w:h="15840"/>
      <w:pgMar w:top="1123" w:right="1224" w:bottom="129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r>
      <w:rPr>
        <w:color w:val="5A5A5A"/>
        <w:sz w:val="16"/>
      </w:rPr>
      <w:t xml:space="preserve">Page </w:t>
    </w:r>
    <w:r>
      <w:rPr>
        <w:color w:val="5A5A5A"/>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414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contextualSpacing/>
    </w:pPr>
    <w:rPr>
      <w:rFonts w:ascii="Aptos" w:hAnsi="Aptos"/>
      <w:sz w:val="20"/>
    </w:rPr>
  </w:style>
  <w:style w:type="paragraph" w:styleId="ListBullet2">
    <w:name w:val="List Bullet 2"/>
    <w:basedOn w:val="Normal"/>
    <w:uiPriority w:val="99"/>
    <w:unhideWhenUsed/>
    <w:rsid w:val="00326F90"/>
    <w:pPr>
      <w:numPr>
        <w:numId w:val="2"/>
      </w:numPr>
      <w:spacing w:after="70"/>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contextualSpacing/>
    </w:pPr>
    <w:rPr>
      <w:rFonts w:ascii="Aptos" w:hAnsi="Aptos"/>
      <w:sz w:val="20"/>
    </w:rPr>
  </w:style>
  <w:style w:type="paragraph" w:styleId="ListNumber2">
    <w:name w:val="List Number 2"/>
    <w:basedOn w:val="Normal"/>
    <w:uiPriority w:val="99"/>
    <w:unhideWhenUsed/>
    <w:rsid w:val="0029639D"/>
    <w:pPr>
      <w:numPr>
        <w:numId w:val="6"/>
      </w:numPr>
      <w:spacing w:after="70"/>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Sub Space D DSK Design and Publishing Instructions</dc:title>
  <dc:subject>Green Tank machine readable preservation modular observation and reconstruction specification</dc:subject>
  <dc:creator>The Green Tank</dc:creator>
  <cp:keywords>Green Tank, AI Sub Space, D-DSK, machine readable, modular data, reconstruction</cp:keywords>
  <dc:description>generated by python-docx</dc:description>
  <cp:lastModifiedBy/>
  <cp:revision>1</cp:revision>
  <dcterms:created xsi:type="dcterms:W3CDTF">2013-12-23T23:15:00Z</dcterms:created>
  <dcterms:modified xsi:type="dcterms:W3CDTF">2013-12-23T23:15:00Z</dcterms:modified>
  <cp:category/>
</cp:coreProperties>
</file>