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240"/>
      </w:pPr>
    </w:p>
    <w:p>
      <w:pPr>
        <w:widowControl/>
        <w:spacing w:after="240"/>
      </w:pPr>
    </w:p>
    <w:p>
      <w:pPr>
        <w:widowControl/>
        <w:spacing w:after="240"/>
      </w:pPr>
    </w:p>
    <w:p>
      <w:pPr>
        <w:widowControl/>
        <w:spacing w:after="240"/>
      </w:pPr>
    </w:p>
    <w:p>
      <w:pPr>
        <w:widowControl/>
        <w:spacing w:after="280"/>
        <w:jc w:val="center"/>
      </w:pPr>
      <w:r>
        <w:rPr>
          <w:rFonts w:ascii="Calibri" w:hAnsi="Calibri"/>
          <w:b/>
          <w:color w:val="1A6B68"/>
          <w:sz w:val="22"/>
        </w:rPr>
        <w:t>POLICY PAPER</w:t>
      </w:r>
    </w:p>
    <w:p>
      <w:pPr>
        <w:widowControl/>
        <w:spacing w:after="240"/>
        <w:jc w:val="center"/>
      </w:pPr>
      <w:r>
        <w:rPr>
          <w:rFonts w:ascii="Calibri" w:hAnsi="Calibri"/>
          <w:b/>
          <w:color w:val="17365D"/>
          <w:sz w:val="62"/>
        </w:rPr>
        <w:t>Affordable Green Security</w:t>
      </w:r>
    </w:p>
    <w:p>
      <w:pPr>
        <w:widowControl/>
        <w:spacing w:after="360"/>
        <w:jc w:val="center"/>
      </w:pPr>
      <w:r>
        <w:rPr>
          <w:rFonts w:ascii="Calibri" w:hAnsi="Calibri"/>
          <w:color w:val="1F4D78"/>
          <w:sz w:val="30"/>
        </w:rPr>
        <w:t>How Chinese clean-technology manufacturing can help Britain house people, cut living costs and decarbonise fairly</w:t>
      </w:r>
    </w:p>
    <w:p>
      <w:pPr>
        <w:widowControl/>
        <w:spacing w:after="680"/>
        <w:jc w:val="center"/>
      </w:pPr>
      <w:r>
        <w:rPr>
          <w:rFonts w:ascii="Calibri" w:hAnsi="Calibri"/>
          <w:i/>
          <w:color w:val="667085"/>
          <w:sz w:val="23"/>
        </w:rPr>
        <w:t>A practical case for cooperation without naivety</w:t>
      </w:r>
    </w:p>
    <w:p>
      <w:pPr>
        <w:shd w:fill="E9F3F1"/>
        <w:widowControl/>
        <w:pBdr>
          <w:top w:val="single" w:sz="4" w:space="5" w:color="E9F3F1"/>
          <w:left w:val="single" w:sz="4" w:space="5" w:color="E9F3F1"/>
          <w:bottom w:val="single" w:sz="4" w:space="5" w:color="E9F3F1"/>
          <w:right w:val="single" w:sz="4" w:space="5" w:color="E9F3F1"/>
        </w:pBdr>
        <w:spacing w:before="120" w:after="120"/>
        <w:jc w:val="center"/>
      </w:pPr>
      <w:r>
        <w:rPr>
          <w:rFonts w:ascii="Calibri" w:hAnsi="Calibri"/>
          <w:b/>
          <w:color w:val="17365D"/>
          <w:sz w:val="24"/>
        </w:rPr>
        <w:t>“Eco-friendly” must not become a luxury badge for people who can already afford everything. The transition succeeds only when ordinary people gain the cheapest homes, transport and energy bills.</w:t>
      </w:r>
    </w:p>
    <w:p>
      <w:pPr>
        <w:widowControl/>
        <w:spacing w:after="560"/>
      </w:pPr>
    </w:p>
    <w:p>
      <w:pPr>
        <w:widowControl/>
        <w:spacing w:after="80"/>
        <w:jc w:val="center"/>
      </w:pPr>
      <w:r>
        <w:rPr>
          <w:rFonts w:ascii="Calibri" w:hAnsi="Calibri"/>
          <w:b/>
          <w:color w:val="20252B"/>
          <w:sz w:val="22"/>
        </w:rPr>
        <w:t>Prepared by Alex Anderson</w:t>
      </w:r>
    </w:p>
    <w:p>
      <w:pPr>
        <w:widowControl/>
        <w:spacing w:after="40"/>
        <w:jc w:val="center"/>
      </w:pPr>
      <w:r>
        <w:rPr>
          <w:rFonts w:ascii="Calibri" w:hAnsi="Calibri"/>
          <w:color w:val="667085"/>
          <w:sz w:val="20"/>
        </w:rPr>
        <w:t>Independent OSINT and systems analysis</w:t>
      </w:r>
    </w:p>
    <w:p>
      <w:pPr>
        <w:widowControl/>
        <w:jc w:val="center"/>
      </w:pPr>
      <w:r>
        <w:rPr>
          <w:rFonts w:ascii="Calibri" w:hAnsi="Calibri"/>
          <w:color w:val="667085"/>
          <w:sz w:val="20"/>
        </w:rPr>
        <w:t>20 August 2026  |  United Kingdom</w:t>
      </w:r>
    </w:p>
    <w:p>
      <w:pPr>
        <w:widowControl/>
      </w:pPr>
      <w:r>
        <w:br w:type="page"/>
      </w:r>
    </w:p>
    <w:p>
      <w:pPr>
        <w:pStyle w:val="Heading1"/>
        <w:keepNext/>
        <w:widowControl/>
      </w:pPr>
      <w:r>
        <w:t>Abstract</w:t>
      </w:r>
    </w:p>
    <w:p>
      <w:pPr>
        <w:pStyle w:val="ExecutiveLead"/>
        <w:widowControl/>
      </w:pPr>
      <w:r>
        <w:rPr>
          <w:b/>
        </w:rPr>
        <w:t>China is not offering Britain charity. It is offering something more useful: industrial capacity at a scale and price that can make clean housing, transport and energy ordinary rather than elite.</w:t>
      </w:r>
    </w:p>
    <w:p>
      <w:pPr>
        <w:widowControl/>
      </w:pPr>
      <w:r>
        <w:rPr>
          <w:rFonts w:ascii="Calibri" w:hAnsi="Calibri"/>
        </w:rPr>
        <w:t>This paper argues that “help” should be judged by material outcomes, not by romantic claims about any government’s motives. Chinese industrial policy has compressed the cost of batteries, electric vehicles, solar equipment, modular structures and related supply chains. Those capabilities could help the United Kingdom respond to homelessness, high housing costs, fuel poverty and the climate emergency—if Britain procures intelligently, demands UK safety and labour standards, retains strategic control, and builds domestic assembly and repair capacity.</w:t>
      </w:r>
    </w:p>
    <w:p>
      <w:pPr>
        <w:widowControl/>
      </w:pPr>
      <w:r>
        <w:rPr>
          <w:rFonts w:ascii="Calibri" w:hAnsi="Calibri"/>
        </w:rPr>
        <w:t>The paper does not claim that a factory-advertised house costing a few thousand dollars is a finished, compliant British home, or that a roughly $1,000 micro-EV can simply be registered and driven on UK roads. It explains the difference between an online factory price and a usable public asset. It then proposes a rapid national programme built around certified modular homes, light-touch eco-sites, low-cost electric mobility, camper and respite units, and UK–Chinese joint production. The core proposition is straightforward: climate action that excludes poor and disabled people is neither fair nor likely to succeed.</w:t>
      </w:r>
    </w:p>
    <w:p>
      <w:pPr>
        <w:pStyle w:val="Heading1"/>
        <w:keepNext/>
        <w:widowControl/>
      </w:pPr>
      <w:r>
        <w:t>Executive summary</w:t>
      </w:r>
    </w:p>
    <w:p>
      <w:pPr>
        <w:pStyle w:val="ListBullet"/>
        <w:widowControl/>
      </w:pPr>
      <w:r>
        <w:rPr>
          <w:rFonts w:ascii="Calibri" w:hAnsi="Calibri"/>
        </w:rPr>
        <w:t xml:space="preserve"> China’s clean-technology scale is already reducing prices worldwide. The IEA reports that 70% of battery-electric cars sold in China in 2025 were cheaper than the average conventional car, while Chinese battery packs were 35% cheaper than European packs. [1][2]</w:t>
      </w:r>
    </w:p>
    <w:p>
      <w:pPr>
        <w:pStyle w:val="ListBullet"/>
        <w:widowControl/>
      </w:pPr>
      <w:r>
        <w:rPr>
          <w:rFonts w:ascii="Calibri" w:hAnsi="Calibri"/>
        </w:rPr>
        <w:t xml:space="preserve"> The same manufacturing system produces two-bedroom prefabricated units advertised at low-thousands-dollar factory prices. Those advertisements demonstrate production efficiency, not the full cost of a legal UK home. Freight, foundations, utilities, fire and structural certification, planning, professional fees, warranty and contingency must be added. [10][11][13]</w:t>
      </w:r>
    </w:p>
    <w:p>
      <w:pPr>
        <w:pStyle w:val="ListBullet"/>
        <w:widowControl/>
      </w:pPr>
      <w:r>
        <w:rPr>
          <w:rFonts w:ascii="Calibri" w:hAnsi="Calibri"/>
        </w:rPr>
        <w:t xml:space="preserve"> Factory production can improve consistency, reduce waste and shorten on-site work, but quality is not automatic. UK research found that modern methods can achieve higher thermal performance while also identifying air-tightness failures where factory and site-built elements were poorly coordinated. [10][11]</w:t>
      </w:r>
    </w:p>
    <w:p>
      <w:pPr>
        <w:pStyle w:val="ListBullet"/>
        <w:widowControl/>
      </w:pPr>
      <w:r>
        <w:rPr>
          <w:rFonts w:ascii="Calibri" w:hAnsi="Calibri"/>
        </w:rPr>
        <w:t xml:space="preserve"> England had 135,580 households in temporary accommodation on 31 March 2026, including 177,530 children. Temporary accommodation cost £2.8 billion in 2024/25. [7][8]</w:t>
      </w:r>
    </w:p>
    <w:p>
      <w:pPr>
        <w:pStyle w:val="ListBullet"/>
        <w:widowControl/>
      </w:pPr>
      <w:r>
        <w:rPr>
          <w:rFonts w:ascii="Calibri" w:hAnsi="Calibri"/>
        </w:rPr>
        <w:t xml:space="preserve"> An illustrative programme providing 135,580 self-contained modular homes at £60,000–£120,000 all-in per unit would require £8.1–£16.3 billion before land and major off-site infrastructure. This equals roughly 2.9–5.8 years of the current annual temporary-accommodation spend and 8%–19% of the £87.7–£102.7 billion HS2 estimate. These are scale comparisons, not a claim of automatic budget substitution. [8][23]</w:t>
      </w:r>
    </w:p>
    <w:p>
      <w:pPr>
        <w:pStyle w:val="ListBullet"/>
        <w:widowControl/>
      </w:pPr>
      <w:r>
        <w:rPr>
          <w:rFonts w:ascii="Calibri" w:hAnsi="Calibri"/>
        </w:rPr>
        <w:t xml:space="preserve"> Ultra-cheap Chinese micro-EVs show how little material and energy urban mobility can require, but the celebrated $930 Changli became about $3,000 after delivery to the United States and was not a normal highway-capable car. Britain should create a safe light-vehicle category and public leasing pathway rather than pretend every marketplace vehicle is road-ready. [15][16][25]</w:t>
      </w:r>
    </w:p>
    <w:p>
      <w:pPr>
        <w:pStyle w:val="ListBullet"/>
        <w:widowControl/>
      </w:pPr>
      <w:r>
        <w:rPr>
          <w:rFonts w:ascii="Calibri" w:hAnsi="Calibri"/>
        </w:rPr>
        <w:t xml:space="preserve"> Donald Trump’s motives cannot be established as fact. His administration’s policy direction can: it sought to eliminate the US “EV mandate,” while the United States maintained a 100% tariff on Chinese EVs. Whatever the stated reasons, those policies obstruct the price competition through which Chinese scale can make decarbonisation affordable. [21][22]</w:t>
      </w:r>
    </w:p>
    <w:p>
      <w:pPr>
        <w:pStyle w:val="ListBullet"/>
        <w:widowControl/>
      </w:pPr>
      <w:r>
        <w:rPr>
          <w:rFonts w:ascii="Calibri" w:hAnsi="Calibri"/>
        </w:rPr>
        <w:t xml:space="preserve"> The recommended British strategy is cooperation without dependency: certify a limited pilot; publish whole-life costs; assemble kits in Britain; require open repair data, spares and warranties; diversify suppliers; audit labour and environmental conditions; and use public procurement to create UK employment and skills.</w:t>
      </w:r>
    </w:p>
    <w:p>
      <w:pPr>
        <w:shd w:fill="E9F3F1"/>
        <w:widowControl/>
        <w:pBdr>
          <w:top w:val="single" w:sz="4" w:space="5" w:color="E9F3F1"/>
          <w:left w:val="single" w:sz="4" w:space="5" w:color="E9F3F1"/>
          <w:bottom w:val="single" w:sz="4" w:space="5" w:color="E9F3F1"/>
          <w:right w:val="single" w:sz="4" w:space="5" w:color="E9F3F1"/>
        </w:pBdr>
        <w:spacing w:before="100" w:after="100"/>
      </w:pPr>
      <w:r>
        <w:rPr>
          <w:rFonts w:ascii="Calibri" w:hAnsi="Calibri"/>
          <w:b/>
          <w:color w:val="17365D"/>
          <w:sz w:val="21"/>
        </w:rPr>
        <w:t xml:space="preserve">Central conclusion: </w:t>
      </w:r>
      <w:r>
        <w:rPr>
          <w:rFonts w:ascii="Calibri" w:hAnsi="Calibri"/>
          <w:color w:val="20252B"/>
          <w:sz w:val="21"/>
        </w:rPr>
        <w:t>Britain does not have to choose between refusing China and surrendering to China. It can buy the capability, set the rules, retain ownership, build domestic competence and direct the savings toward people who have been priced out of the green transition.</w:t>
      </w:r>
    </w:p>
    <w:p>
      <w:pPr>
        <w:widowControl/>
        <w:spacing w:after="40"/>
      </w:pPr>
    </w:p>
    <w:p>
      <w:pPr>
        <w:pStyle w:val="Heading1"/>
        <w:keepNext/>
        <w:widowControl/>
      </w:pPr>
      <w:r>
        <w:t>1. The argument: mutual self-interest can still be help</w:t>
      </w:r>
    </w:p>
    <w:p>
      <w:pPr>
        <w:widowControl/>
      </w:pPr>
      <w:r>
        <w:rPr>
          <w:rFonts w:ascii="Calibri" w:hAnsi="Calibri"/>
        </w:rPr>
        <w:t>Public discussion often asks whether China is “good” or “bad,” as though a country of more than a billion people, thousands of institutions and competing interests can be reduced to one moral personality. That framing is analytically weak. No major state trades purely from kindness. China wants exports, employment, industrial influence, technology leadership and stable access to markets. Britain wants affordable goods, secure supply chains, investment, jobs and lower emissions. Where those interests overlap, cooperation can materially help people even when it is not charity.</w:t>
      </w:r>
    </w:p>
    <w:p>
      <w:pPr>
        <w:widowControl/>
      </w:pPr>
      <w:r>
        <w:rPr>
          <w:rFonts w:ascii="Calibri" w:hAnsi="Calibri"/>
        </w:rPr>
        <w:t>The correct test is therefore not “Does China love us?” It is: “Can Chinese capacity be governed in a way that improves British lives without transferring unacceptable safety, labour, environmental, data or strategic risk?” That is a practical question. It can be answered through standards, contracts, inspection, diversification and domestic capability.</w:t>
      </w:r>
    </w:p>
    <w:p>
      <w:pPr>
        <w:widowControl/>
      </w:pPr>
      <w:r>
        <w:rPr>
          <w:rFonts w:ascii="Calibri" w:hAnsi="Calibri"/>
        </w:rPr>
        <w:t>The UK Government itself used similar language after the Prime Minister’s January 2026 visit to China, describing a “pragmatic, clear-eyed relationship” and announcing £2.2 billion in export deals, about £2.3 billion in market-access gains and further investment. [24] The proposed housing-and-mobility programme is an application of that approach to urgent social needs.</w:t>
      </w:r>
    </w:p>
    <w:p>
      <w:pPr>
        <w:pStyle w:val="Heading1"/>
        <w:keepNext/>
        <w:widowControl/>
      </w:pPr>
      <w:r>
        <w:t>2. Climate action is an affordability project</w:t>
      </w:r>
    </w:p>
    <w:p>
      <w:pPr>
        <w:widowControl/>
      </w:pPr>
      <w:r>
        <w:rPr>
          <w:rFonts w:ascii="Calibri" w:hAnsi="Calibri"/>
        </w:rPr>
        <w:t>The climate transition is frequently presented to ordinary households as a sequence of expensive purchases: a premium electric car, a heat pump, solar panels, home insulation and a higher-specification new house. Wealthy households can buy the equipment and then enjoy lower running costs. Poorer households, who generally consume less and contribute less to the crisis, are blamed for continuing to use the only systems they can afford.</w:t>
      </w:r>
    </w:p>
    <w:p>
      <w:pPr>
        <w:widowControl/>
      </w:pPr>
      <w:r>
        <w:rPr>
          <w:rFonts w:ascii="Calibri" w:hAnsi="Calibri"/>
        </w:rPr>
        <w:t>That is both unjust and strategically self-defeating. UNEP estimated that the richest 10% of the global population were responsible for almost half of consumption-based emissions, while the bottom half contributed only 12%. [19] A transition that begins with moral pressure on the bottom while protecting luxury consumption at the top will lose consent.</w:t>
      </w:r>
    </w:p>
    <w:p>
      <w:pPr>
        <w:widowControl/>
      </w:pPr>
      <w:r>
        <w:rPr>
          <w:rFonts w:ascii="Calibri" w:hAnsi="Calibri"/>
        </w:rPr>
        <w:t>The Climate Change Committee expects electric driving to deliver major running-cost savings and projected new electric cars to become cheaper upfront than combustion vehicles in the 2026–2028 period, subject to policy support and market development. [18] The obstacle is the capital gateway: people cannot enjoy lower bills if they cannot afford the equipment. Chinese scale matters because it attacks that gateway.</w:t>
      </w:r>
    </w:p>
    <w:p>
      <w:pPr>
        <w:shd w:fill="EDF3F8"/>
        <w:widowControl/>
        <w:pBdr>
          <w:top w:val="single" w:sz="4" w:space="5" w:color="EDF3F8"/>
          <w:left w:val="single" w:sz="4" w:space="5" w:color="EDF3F8"/>
          <w:bottom w:val="single" w:sz="4" w:space="5" w:color="EDF3F8"/>
          <w:right w:val="single" w:sz="4" w:space="5" w:color="EDF3F8"/>
        </w:pBdr>
        <w:spacing w:before="100" w:after="100"/>
      </w:pPr>
      <w:r>
        <w:rPr>
          <w:rFonts w:ascii="Calibri" w:hAnsi="Calibri"/>
          <w:b/>
          <w:color w:val="17365D"/>
          <w:sz w:val="21"/>
        </w:rPr>
        <w:t xml:space="preserve">Principle of climate justice: </w:t>
      </w:r>
      <w:r>
        <w:rPr>
          <w:rFonts w:ascii="Calibri" w:hAnsi="Calibri"/>
          <w:color w:val="20252B"/>
          <w:sz w:val="21"/>
        </w:rPr>
        <w:t>The clean option should be the cheapest safe option available at the moment a household must choose—not a premium product followed by a lecture to people who cannot buy it.</w:t>
      </w:r>
    </w:p>
    <w:p>
      <w:pPr>
        <w:widowControl/>
        <w:spacing w:after="40"/>
      </w:pPr>
    </w:p>
    <w:p>
      <w:pPr>
        <w:pStyle w:val="Heading1"/>
        <w:keepNext/>
        <w:widowControl/>
      </w:pPr>
      <w:r>
        <w:t>3. What China has actually built</w:t>
      </w:r>
    </w:p>
    <w:p>
      <w:pPr>
        <w:pStyle w:val="Heading2"/>
        <w:keepNext/>
        <w:widowControl/>
      </w:pPr>
      <w:r>
        <w:t>3.1 Electric vehicles and batteries</w:t>
      </w:r>
    </w:p>
    <w:p>
      <w:pPr>
        <w:widowControl/>
      </w:pPr>
      <w:r>
        <w:rPr>
          <w:rFonts w:ascii="Calibri" w:hAnsi="Calibri"/>
        </w:rPr>
        <w:t>The IEA’s 2026 evidence is unusually clear. In China, 70% of battery-electric cars sold in 2025 were already cheaper than the average conventional car. Affordable Chinese imports have also lowered EV prices and accelerated adoption in emerging markets; imports from China represented 55% of electric-car sales in 2025 outside Europe and the United States, up from less than 5% five years earlier. [1]</w:t>
      </w:r>
    </w:p>
    <w:p>
      <w:pPr>
        <w:widowControl/>
      </w:pPr>
      <w:r>
        <w:rPr>
          <w:rFonts w:ascii="Calibri" w:hAnsi="Calibri"/>
        </w:rPr>
        <w:t>This is not only a vehicle-assembly story. Chinese battery pack prices in 2025 were 30% below North American prices and 35% below European prices. [2] Batteries are the largest cost centre in most EVs and increasingly important for homes, microgrids and renewable-energy storage. Lower battery costs can therefore reduce the price of mobility and the cost of resilient housing at the same time.</w:t>
      </w:r>
    </w:p>
    <w:p>
      <w:pPr>
        <w:pStyle w:val="Heading2"/>
        <w:keepNext/>
        <w:widowControl/>
      </w:pPr>
      <w:r>
        <w:t>3.2 Solar, wind and industrial learning</w:t>
      </w:r>
    </w:p>
    <w:p>
      <w:pPr>
        <w:widowControl/>
      </w:pPr>
      <w:r>
        <w:rPr>
          <w:rFonts w:ascii="Calibri" w:hAnsi="Calibri"/>
        </w:rPr>
        <w:t>China’s role in renewable manufacturing is even larger. The IEA has reported that China’s share of every major solar-panel manufacturing stage exceeds 80%, following more than $50 billion of investment since 2011. [5] IRENA reports that China added 119.4 GW of wind capacity in 2025—nearly three quarters of the global increase—and accounted for 96% of the year’s renewable hydropower capacity increase. [4] This scale has created learning curves, integrated suppliers and intense price competition.</w:t>
      </w:r>
    </w:p>
    <w:p>
      <w:pPr>
        <w:widowControl/>
      </w:pPr>
      <w:r>
        <w:rPr>
          <w:rFonts w:ascii="Calibri" w:hAnsi="Calibri"/>
        </w:rPr>
        <w:t>China is therefore not merely announcing climate intentions; it has manufactured much of the physical equipment through which the world can act. That does not erase its continued dependence on coal. The IEA reported that China approved almost 100 GW of new coal-fired plant in 2024. [6] China is simultaneously the world’s largest clean-technology manufacturer and the world’s largest energy consumer and carbon emitter. Any serious paper must hold both facts at once.</w:t>
      </w:r>
    </w:p>
    <w:p>
      <w:pPr>
        <w:pStyle w:val="Heading2"/>
        <w:keepNext/>
        <w:widowControl/>
      </w:pPr>
      <w:r>
        <w:t>3.3 Why this can count as help</w:t>
      </w:r>
    </w:p>
    <w:p>
      <w:pPr>
        <w:widowControl/>
      </w:pPr>
      <w:r>
        <w:rPr>
          <w:rFonts w:ascii="Calibri" w:hAnsi="Calibri"/>
        </w:rPr>
        <w:t>A technology helps when it changes the feasible choices available to other people. China’s industrial scale has made solar modules, batteries and electric vehicles available at prices that would otherwise have arrived later. The benefit is real even if it arose from state strategy, commercial rivalry and the pursuit of export earnings. Britain should neither romanticise that process nor refuse its material advantages.</w:t>
      </w:r>
    </w:p>
    <w:p>
      <w:pPr>
        <w:pStyle w:val="Heading1"/>
        <w:keepNext/>
        <w:widowControl/>
      </w:pPr>
      <w:r>
        <w:t>4. Modular housing: opportunity without fantasy</w:t>
      </w:r>
    </w:p>
    <w:p>
      <w:pPr>
        <w:pStyle w:val="Heading2"/>
        <w:keepNext/>
        <w:widowControl/>
      </w:pPr>
      <w:r>
        <w:t>4.1 What the “few thousand pounds” listings prove</w:t>
      </w:r>
    </w:p>
    <w:p>
      <w:pPr>
        <w:widowControl/>
      </w:pPr>
      <w:r>
        <w:rPr>
          <w:rFonts w:ascii="Calibri" w:hAnsi="Calibri"/>
        </w:rPr>
        <w:t>Chinese business-to-business marketplaces currently carry two-bedroom foldable, expandable and container-style units advertised from roughly $1,000 to $5,000, with larger or better-finished units at higher prices. [13] These are genuine market signals: they show that a weatherproof structural enclosure can be mass-produced with very little factory labour and material cost.</w:t>
      </w:r>
    </w:p>
    <w:p>
      <w:pPr>
        <w:widowControl/>
      </w:pPr>
      <w:r>
        <w:rPr>
          <w:rFonts w:ascii="Calibri" w:hAnsi="Calibri"/>
        </w:rPr>
        <w:t>They do not prove that a council can place a £3,000 order and receive a finished British home. Advertisements may quote a bare shell, a price per square metre, a minimum order, an “ex works” or port price, a minimal specification, or a model that does not meet UK structural, fire, energy, acoustic, accessibility or durability requirements. The site may still need drainage, water, electricity, foundations, legal access and planning permission. A credible proposal must count those items rather than hide them.</w:t>
      </w:r>
    </w:p>
    <w:p>
      <w:pPr>
        <w:pStyle w:val="Heading2"/>
        <w:keepNext/>
        <w:widowControl/>
      </w:pPr>
      <w:r>
        <w:t>4.2 “Instantly deployable” needs a precise definition</w:t>
      </w:r>
    </w:p>
    <w:p>
      <w:pPr>
        <w:widowControl/>
      </w:pPr>
      <w:r>
        <w:rPr>
          <w:rFonts w:ascii="Calibri" w:hAnsi="Calibri"/>
        </w:rPr>
        <w:t>A fold-out unit may be physically placed and made weather-tight in hours or days after arrival. A safe housing site cannot be created from nothing in the same period. The defensible claim is that factory manufacturing and site preparation can occur in parallel, sharply shortening the final installation phase. Deployment in days is possible once land, consent, utilities, foundations, inspection and allocation are ready.</w:t>
      </w:r>
    </w:p>
    <w:p>
      <w:pPr>
        <w:widowControl/>
      </w:pPr>
      <w:r>
        <w:rPr>
          <w:rFonts w:ascii="Calibri" w:hAnsi="Calibri"/>
        </w:rPr>
        <w:t>This distinction strengthens the proposal. Britain’s delays often occur before the home reaches site: fragmented procurement, land-price speculation, planning uncertainty, bespoke redesign, utility queues and weak coordination. A standard national platform can attack those delays while protecting the requirements that keep residents safe.</w:t>
      </w:r>
    </w:p>
    <w:p>
      <w:pPr>
        <w:pStyle w:val="Heading2"/>
        <w:keepNext/>
        <w:widowControl/>
      </w:pPr>
      <w:r>
        <w:t>4.3 Better quality is possible, not guaranteed</w:t>
      </w:r>
    </w:p>
    <w:p>
      <w:pPr>
        <w:widowControl/>
      </w:pPr>
      <w:r>
        <w:rPr>
          <w:rFonts w:ascii="Calibri" w:hAnsi="Calibri"/>
        </w:rPr>
        <w:t>Factory conditions can improve dimensional accuracy, moisture control, repeatability, inspection and waste recovery. Government “Building for 2050” research found that panelised systems were capable of higher thermal performance and reduced thermal bridging compared with traditional construction. The same research found poor airtightness where manufactured components were badly coordinated with site-built junctions. [11] The lesson is not that modular is better or worse by definition. The lesson is that repeatable design and interface quality assurance decide the result.</w:t>
      </w:r>
    </w:p>
    <w:p>
      <w:pPr>
        <w:widowControl/>
      </w:pPr>
      <w:r>
        <w:rPr>
          <w:rFonts w:ascii="Calibri" w:hAnsi="Calibri"/>
        </w:rPr>
        <w:t>A British procurement specification should therefore define outcomes rather than accept a supplier’s brochure: structural life, fire resistance, thermal and acoustic performance, ventilation, moisture safety, summer overheating, accessibility, repairability, parts availability, warranty and deconstruction. A low factory price becomes a benefit only after those outcomes are proven.</w:t>
      </w:r>
    </w:p>
    <w:p>
      <w:pPr>
        <w:pStyle w:val="Heading2"/>
        <w:keepNext/>
        <w:widowControl/>
      </w:pPr>
      <w:r>
        <w:t>4.4 The claim-check table</w:t>
      </w:r>
    </w:p>
    <w:tbl>
      <w:tblPr>
        <w:tblStyle w:val="TableGrid"/>
        <w:tblW w:type="dxa" w:w="9360"/>
        <w:jc w:val="center"/>
        <w:tblLayout w:type="fixed"/>
        <w:tblLook w:firstColumn="1" w:firstRow="1" w:lastColumn="0" w:lastRow="0" w:noHBand="0" w:noVBand="1" w:val="04A0"/>
        <w:tblInd w:w="120" w:type="dxa"/>
      </w:tblPr>
      <w:tblGrid>
        <w:gridCol w:w="1800"/>
        <w:gridCol w:w="3900"/>
        <w:gridCol w:w="3660"/>
      </w:tblGrid>
      <w:tr>
        <w:trPr>
          <w:tblHeader w:val="true"/>
          <w:cantSplit/>
        </w:trPr>
        <w:tc>
          <w:tcPr>
            <w:tcW w:type="dxa" w:w="1800"/>
            <w:tcMar>
              <w:top w:w="80" w:type="dxa"/>
              <w:start w:w="120" w:type="dxa"/>
              <w:bottom w:w="80" w:type="dxa"/>
              <w:end w:w="120" w:type="dxa"/>
            </w:tcMar>
            <w:vAlign w:val="center"/>
            <w:shd w:fill="F4F6F9"/>
          </w:tcPr>
          <w:p>
            <w:pPr>
              <w:spacing w:after="0"/>
              <w:jc w:val="left"/>
            </w:pPr>
            <w:r>
              <w:rPr>
                <w:rFonts w:ascii="Calibri" w:hAnsi="Calibri"/>
                <w:b/>
                <w:color w:val="17365D"/>
                <w:sz w:val="17"/>
              </w:rPr>
              <w:t>Popular claim</w:t>
            </w:r>
          </w:p>
        </w:tc>
        <w:tc>
          <w:tcPr>
            <w:tcW w:type="dxa" w:w="3900"/>
            <w:tcMar>
              <w:top w:w="80" w:type="dxa"/>
              <w:start w:w="120" w:type="dxa"/>
              <w:bottom w:w="80" w:type="dxa"/>
              <w:end w:w="120" w:type="dxa"/>
            </w:tcMar>
            <w:vAlign w:val="center"/>
            <w:shd w:fill="F4F6F9"/>
          </w:tcPr>
          <w:p>
            <w:pPr>
              <w:spacing w:after="0"/>
              <w:jc w:val="left"/>
            </w:pPr>
            <w:r>
              <w:rPr>
                <w:rFonts w:ascii="Calibri" w:hAnsi="Calibri"/>
                <w:b/>
                <w:color w:val="17365D"/>
                <w:sz w:val="17"/>
              </w:rPr>
              <w:t>What the evidence supports</w:t>
            </w:r>
          </w:p>
        </w:tc>
        <w:tc>
          <w:tcPr>
            <w:tcW w:type="dxa" w:w="3660"/>
            <w:tcMar>
              <w:top w:w="80" w:type="dxa"/>
              <w:start w:w="120" w:type="dxa"/>
              <w:bottom w:w="80" w:type="dxa"/>
              <w:end w:w="120" w:type="dxa"/>
            </w:tcMar>
            <w:vAlign w:val="center"/>
            <w:shd w:fill="F4F6F9"/>
          </w:tcPr>
          <w:p>
            <w:pPr>
              <w:spacing w:after="0"/>
              <w:jc w:val="left"/>
            </w:pPr>
            <w:r>
              <w:rPr>
                <w:rFonts w:ascii="Calibri" w:hAnsi="Calibri"/>
                <w:b/>
                <w:color w:val="17365D"/>
                <w:sz w:val="17"/>
              </w:rPr>
              <w:t>Publication-safe wording</w:t>
            </w:r>
          </w:p>
        </w:tc>
      </w:tr>
      <w:tr>
        <w:trPr>
          <w:cantSplit/>
        </w:trPr>
        <w:tc>
          <w:tcPr>
            <w:tcW w:type="dxa" w:w="1800"/>
            <w:tcMar>
              <w:top w:w="80" w:type="dxa"/>
              <w:start w:w="120" w:type="dxa"/>
              <w:bottom w:w="80" w:type="dxa"/>
              <w:end w:w="120" w:type="dxa"/>
            </w:tcMar>
            <w:vAlign w:val="center"/>
          </w:tcPr>
          <w:p>
            <w:pPr>
              <w:spacing w:after="0" w:line="252" w:lineRule="auto"/>
            </w:pPr>
            <w:r>
              <w:rPr>
                <w:rFonts w:ascii="Calibri" w:hAnsi="Calibri"/>
                <w:color w:val="20252B"/>
                <w:sz w:val="17"/>
              </w:rPr>
              <w:t>“A two-bed home costs a few thousand pounds.”</w:t>
            </w:r>
          </w:p>
        </w:tc>
        <w:tc>
          <w:tcPr>
            <w:tcW w:type="dxa" w:w="3900"/>
            <w:tcMar>
              <w:top w:w="80" w:type="dxa"/>
              <w:start w:w="120" w:type="dxa"/>
              <w:bottom w:w="80" w:type="dxa"/>
              <w:end w:w="120" w:type="dxa"/>
            </w:tcMar>
            <w:vAlign w:val="center"/>
          </w:tcPr>
          <w:p>
            <w:pPr>
              <w:spacing w:after="0" w:line="252" w:lineRule="auto"/>
            </w:pPr>
            <w:r>
              <w:rPr>
                <w:rFonts w:ascii="Calibri" w:hAnsi="Calibri"/>
                <w:color w:val="20252B"/>
                <w:sz w:val="17"/>
              </w:rPr>
              <w:t>Low-thousands-dollar factory listings exist, often for shells or minimally specified units. UK delivery and compliance can multiply the cost.</w:t>
            </w:r>
          </w:p>
        </w:tc>
        <w:tc>
          <w:tcPr>
            <w:tcW w:type="dxa" w:w="3660"/>
            <w:tcMar>
              <w:top w:w="80" w:type="dxa"/>
              <w:start w:w="120" w:type="dxa"/>
              <w:bottom w:w="80" w:type="dxa"/>
              <w:end w:w="120" w:type="dxa"/>
            </w:tcMar>
            <w:vAlign w:val="center"/>
          </w:tcPr>
          <w:p>
            <w:pPr>
              <w:spacing w:after="0" w:line="252" w:lineRule="auto"/>
            </w:pPr>
            <w:r>
              <w:rPr>
                <w:rFonts w:ascii="Calibri" w:hAnsi="Calibri"/>
                <w:color w:val="20252B"/>
                <w:sz w:val="17"/>
              </w:rPr>
              <w:t>“The manufactured core can begin in the low thousands; the policy must compete on verified all-in cost.”</w:t>
            </w:r>
          </w:p>
        </w:tc>
      </w:tr>
      <w:tr>
        <w:trPr>
          <w:cantSplit/>
        </w:trPr>
        <w:tc>
          <w:tcPr>
            <w:tcW w:type="dxa" w:w="1800"/>
            <w:tcMar>
              <w:top w:w="80" w:type="dxa"/>
              <w:start w:w="120" w:type="dxa"/>
              <w:bottom w:w="80" w:type="dxa"/>
              <w:end w:w="120" w:type="dxa"/>
            </w:tcMar>
            <w:vAlign w:val="center"/>
          </w:tcPr>
          <w:p>
            <w:pPr>
              <w:spacing w:after="0" w:line="252" w:lineRule="auto"/>
            </w:pPr>
            <w:r>
              <w:rPr>
                <w:rFonts w:ascii="Calibri" w:hAnsi="Calibri"/>
                <w:color w:val="20252B"/>
                <w:sz w:val="17"/>
              </w:rPr>
              <w:t>“It can be deployed instantly.”</w:t>
            </w:r>
          </w:p>
        </w:tc>
        <w:tc>
          <w:tcPr>
            <w:tcW w:type="dxa" w:w="3900"/>
            <w:tcMar>
              <w:top w:w="80" w:type="dxa"/>
              <w:start w:w="120" w:type="dxa"/>
              <w:bottom w:w="80" w:type="dxa"/>
              <w:end w:w="120" w:type="dxa"/>
            </w:tcMar>
            <w:vAlign w:val="center"/>
          </w:tcPr>
          <w:p>
            <w:pPr>
              <w:spacing w:after="0" w:line="252" w:lineRule="auto"/>
            </w:pPr>
            <w:r>
              <w:rPr>
                <w:rFonts w:ascii="Calibri" w:hAnsi="Calibri"/>
                <w:color w:val="20252B"/>
                <w:sz w:val="17"/>
              </w:rPr>
              <w:t>The unit may unfold in hours; a safe site needs prior consent, services, foundations and inspection.</w:t>
            </w:r>
          </w:p>
        </w:tc>
        <w:tc>
          <w:tcPr>
            <w:tcW w:type="dxa" w:w="3660"/>
            <w:tcMar>
              <w:top w:w="80" w:type="dxa"/>
              <w:start w:w="120" w:type="dxa"/>
              <w:bottom w:w="80" w:type="dxa"/>
              <w:end w:w="120" w:type="dxa"/>
            </w:tcMar>
            <w:vAlign w:val="center"/>
          </w:tcPr>
          <w:p>
            <w:pPr>
              <w:spacing w:after="0" w:line="252" w:lineRule="auto"/>
            </w:pPr>
            <w:r>
              <w:rPr>
                <w:rFonts w:ascii="Calibri" w:hAnsi="Calibri"/>
                <w:color w:val="20252B"/>
                <w:sz w:val="17"/>
              </w:rPr>
              <w:t>“Once a serviced site is ready, installation can take days rather than months.”</w:t>
            </w:r>
          </w:p>
        </w:tc>
      </w:tr>
      <w:tr>
        <w:trPr>
          <w:cantSplit/>
        </w:trPr>
        <w:tc>
          <w:tcPr>
            <w:tcW w:type="dxa" w:w="1800"/>
            <w:tcMar>
              <w:top w:w="80" w:type="dxa"/>
              <w:start w:w="120" w:type="dxa"/>
              <w:bottom w:w="80" w:type="dxa"/>
              <w:end w:w="120" w:type="dxa"/>
            </w:tcMar>
            <w:vAlign w:val="center"/>
          </w:tcPr>
          <w:p>
            <w:pPr>
              <w:spacing w:after="0" w:line="252" w:lineRule="auto"/>
            </w:pPr>
            <w:r>
              <w:rPr>
                <w:rFonts w:ascii="Calibri" w:hAnsi="Calibri"/>
                <w:color w:val="20252B"/>
                <w:sz w:val="17"/>
              </w:rPr>
              <w:t>“It is better than a new-build house.”</w:t>
            </w:r>
          </w:p>
        </w:tc>
        <w:tc>
          <w:tcPr>
            <w:tcW w:type="dxa" w:w="3900"/>
            <w:tcMar>
              <w:top w:w="80" w:type="dxa"/>
              <w:start w:w="120" w:type="dxa"/>
              <w:bottom w:w="80" w:type="dxa"/>
              <w:end w:w="120" w:type="dxa"/>
            </w:tcMar>
            <w:vAlign w:val="center"/>
          </w:tcPr>
          <w:p>
            <w:pPr>
              <w:spacing w:after="0" w:line="252" w:lineRule="auto"/>
            </w:pPr>
            <w:r>
              <w:rPr>
                <w:rFonts w:ascii="Calibri" w:hAnsi="Calibri"/>
                <w:color w:val="20252B"/>
                <w:sz w:val="17"/>
              </w:rPr>
              <w:t>Factory control can improve consistency and thermal performance, but junction and QA failures can erase the advantage.</w:t>
            </w:r>
          </w:p>
        </w:tc>
        <w:tc>
          <w:tcPr>
            <w:tcW w:type="dxa" w:w="3660"/>
            <w:tcMar>
              <w:top w:w="80" w:type="dxa"/>
              <w:start w:w="120" w:type="dxa"/>
              <w:bottom w:w="80" w:type="dxa"/>
              <w:end w:w="120" w:type="dxa"/>
            </w:tcMar>
            <w:vAlign w:val="center"/>
          </w:tcPr>
          <w:p>
            <w:pPr>
              <w:spacing w:after="0" w:line="252" w:lineRule="auto"/>
            </w:pPr>
            <w:r>
              <w:rPr>
                <w:rFonts w:ascii="Calibri" w:hAnsi="Calibri"/>
                <w:color w:val="20252B"/>
                <w:sz w:val="17"/>
              </w:rPr>
              <w:t>“It can be procured to exceed minimum new-build performance, subject to independent testing.”</w:t>
            </w:r>
          </w:p>
        </w:tc>
      </w:tr>
      <w:tr>
        <w:trPr>
          <w:cantSplit/>
        </w:trPr>
        <w:tc>
          <w:tcPr>
            <w:tcW w:type="dxa" w:w="1800"/>
            <w:tcMar>
              <w:top w:w="80" w:type="dxa"/>
              <w:start w:w="120" w:type="dxa"/>
              <w:bottom w:w="80" w:type="dxa"/>
              <w:end w:w="120" w:type="dxa"/>
            </w:tcMar>
            <w:vAlign w:val="center"/>
          </w:tcPr>
          <w:p>
            <w:pPr>
              <w:spacing w:after="0" w:line="252" w:lineRule="auto"/>
            </w:pPr>
            <w:r>
              <w:rPr>
                <w:rFonts w:ascii="Calibri" w:hAnsi="Calibri"/>
                <w:color w:val="20252B"/>
                <w:sz w:val="17"/>
              </w:rPr>
              <w:t>“China sells a new EV for $1,000.”</w:t>
            </w:r>
          </w:p>
        </w:tc>
        <w:tc>
          <w:tcPr>
            <w:tcW w:type="dxa" w:w="3900"/>
            <w:tcMar>
              <w:top w:w="80" w:type="dxa"/>
              <w:start w:w="120" w:type="dxa"/>
              <w:bottom w:w="80" w:type="dxa"/>
              <w:end w:w="120" w:type="dxa"/>
            </w:tcMar>
            <w:vAlign w:val="center"/>
          </w:tcPr>
          <w:p>
            <w:pPr>
              <w:spacing w:after="0" w:line="252" w:lineRule="auto"/>
            </w:pPr>
            <w:r>
              <w:rPr>
                <w:rFonts w:ascii="Calibri" w:hAnsi="Calibri"/>
                <w:color w:val="20252B"/>
                <w:sz w:val="17"/>
              </w:rPr>
              <w:t>A Changli micro-EV was bought for $930, about $1,200 with battery; delivery raised the cost to roughly $3,000 and it was not a normal highway car.</w:t>
            </w:r>
          </w:p>
        </w:tc>
        <w:tc>
          <w:tcPr>
            <w:tcW w:type="dxa" w:w="3660"/>
            <w:tcMar>
              <w:top w:w="80" w:type="dxa"/>
              <w:start w:w="120" w:type="dxa"/>
              <w:bottom w:w="80" w:type="dxa"/>
              <w:end w:w="120" w:type="dxa"/>
            </w:tcMar>
            <w:vAlign w:val="center"/>
          </w:tcPr>
          <w:p>
            <w:pPr>
              <w:spacing w:after="0" w:line="252" w:lineRule="auto"/>
            </w:pPr>
            <w:r>
              <w:rPr>
                <w:rFonts w:ascii="Calibri" w:hAnsi="Calibri"/>
                <w:color w:val="20252B"/>
                <w:sz w:val="17"/>
              </w:rPr>
              <w:t>“China demonstrates a safe-light-mobility cost floor far below conventional cars; UK approval still applies.”</w:t>
            </w:r>
          </w:p>
        </w:tc>
      </w:tr>
      <w:tr>
        <w:trPr>
          <w:cantSplit/>
        </w:trPr>
        <w:tc>
          <w:tcPr>
            <w:tcW w:type="dxa" w:w="1800"/>
            <w:tcMar>
              <w:top w:w="80" w:type="dxa"/>
              <w:start w:w="120" w:type="dxa"/>
              <w:bottom w:w="80" w:type="dxa"/>
              <w:end w:w="120" w:type="dxa"/>
            </w:tcMar>
            <w:vAlign w:val="center"/>
          </w:tcPr>
          <w:p>
            <w:pPr>
              <w:spacing w:after="0" w:line="252" w:lineRule="auto"/>
            </w:pPr>
            <w:r>
              <w:rPr>
                <w:rFonts w:ascii="Calibri" w:hAnsi="Calibri"/>
                <w:color w:val="20252B"/>
                <w:sz w:val="17"/>
              </w:rPr>
              <w:t>“China is helping us.”</w:t>
            </w:r>
          </w:p>
        </w:tc>
        <w:tc>
          <w:tcPr>
            <w:tcW w:type="dxa" w:w="3900"/>
            <w:tcMar>
              <w:top w:w="80" w:type="dxa"/>
              <w:start w:w="120" w:type="dxa"/>
              <w:bottom w:w="80" w:type="dxa"/>
              <w:end w:w="120" w:type="dxa"/>
            </w:tcMar>
            <w:vAlign w:val="center"/>
          </w:tcPr>
          <w:p>
            <w:pPr>
              <w:spacing w:after="0" w:line="252" w:lineRule="auto"/>
            </w:pPr>
            <w:r>
              <w:rPr>
                <w:rFonts w:ascii="Calibri" w:hAnsi="Calibri"/>
                <w:color w:val="20252B"/>
                <w:sz w:val="17"/>
              </w:rPr>
              <w:t>Exports serve Chinese interests and can simultaneously lower costs and emissions abroad.</w:t>
            </w:r>
          </w:p>
        </w:tc>
        <w:tc>
          <w:tcPr>
            <w:tcW w:type="dxa" w:w="3660"/>
            <w:tcMar>
              <w:top w:w="80" w:type="dxa"/>
              <w:start w:w="120" w:type="dxa"/>
              <w:bottom w:w="80" w:type="dxa"/>
              <w:end w:w="120" w:type="dxa"/>
            </w:tcMar>
            <w:vAlign w:val="center"/>
          </w:tcPr>
          <w:p>
            <w:pPr>
              <w:spacing w:after="0" w:line="252" w:lineRule="auto"/>
            </w:pPr>
            <w:r>
              <w:rPr>
                <w:rFonts w:ascii="Calibri" w:hAnsi="Calibri"/>
                <w:color w:val="20252B"/>
                <w:sz w:val="17"/>
              </w:rPr>
              <w:t>“Mutual self-interest can produce measurable public benefit under British rules.”</w:t>
            </w:r>
          </w:p>
        </w:tc>
      </w:tr>
      <w:tr>
        <w:trPr>
          <w:cantSplit/>
        </w:trPr>
        <w:tc>
          <w:tcPr>
            <w:tcW w:type="dxa" w:w="1800"/>
            <w:tcMar>
              <w:top w:w="80" w:type="dxa"/>
              <w:start w:w="120" w:type="dxa"/>
              <w:bottom w:w="80" w:type="dxa"/>
              <w:end w:w="120" w:type="dxa"/>
            </w:tcMar>
            <w:vAlign w:val="center"/>
          </w:tcPr>
          <w:p>
            <w:pPr>
              <w:spacing w:after="0" w:line="252" w:lineRule="auto"/>
            </w:pPr>
            <w:r>
              <w:rPr>
                <w:rFonts w:ascii="Calibri" w:hAnsi="Calibri"/>
                <w:color w:val="20252B"/>
                <w:sz w:val="17"/>
              </w:rPr>
              <w:t>“Trump does not want China to help.”</w:t>
            </w:r>
          </w:p>
        </w:tc>
        <w:tc>
          <w:tcPr>
            <w:tcW w:type="dxa" w:w="3900"/>
            <w:tcMar>
              <w:top w:w="80" w:type="dxa"/>
              <w:start w:w="120" w:type="dxa"/>
              <w:bottom w:w="80" w:type="dxa"/>
              <w:end w:w="120" w:type="dxa"/>
            </w:tcMar>
            <w:vAlign w:val="center"/>
          </w:tcPr>
          <w:p>
            <w:pPr>
              <w:spacing w:after="0" w:line="252" w:lineRule="auto"/>
            </w:pPr>
            <w:r>
              <w:rPr>
                <w:rFonts w:ascii="Calibri" w:hAnsi="Calibri"/>
                <w:color w:val="20252B"/>
                <w:sz w:val="17"/>
              </w:rPr>
              <w:t>Motive is unprovable; anti-EV policy and 100% Chinese-EV tariffs are documented.</w:t>
            </w:r>
          </w:p>
        </w:tc>
        <w:tc>
          <w:tcPr>
            <w:tcW w:type="dxa" w:w="3660"/>
            <w:tcMar>
              <w:top w:w="80" w:type="dxa"/>
              <w:start w:w="120" w:type="dxa"/>
              <w:bottom w:w="80" w:type="dxa"/>
              <w:end w:w="120" w:type="dxa"/>
            </w:tcMar>
            <w:vAlign w:val="center"/>
          </w:tcPr>
          <w:p>
            <w:pPr>
              <w:spacing w:after="0" w:line="252" w:lineRule="auto"/>
            </w:pPr>
            <w:r>
              <w:rPr>
                <w:rFonts w:ascii="Calibri" w:hAnsi="Calibri"/>
                <w:color w:val="20252B"/>
                <w:sz w:val="17"/>
              </w:rPr>
              <w:t>“US policy blocks much of the price competition through which Chinese EV scale reaches consumers.”</w:t>
            </w:r>
          </w:p>
        </w:tc>
      </w:tr>
    </w:tbl>
    <w:p>
      <w:pPr>
        <w:pStyle w:val="TableCitation"/>
        <w:widowControl/>
      </w:pPr>
      <w:r>
        <w:t>Source: author’s synthesis of references [1], [2], [10], [11], [13], [15], [16], [21] and [22].</w:t>
      </w:r>
    </w:p>
    <w:p>
      <w:pPr>
        <w:pStyle w:val="Heading1"/>
        <w:keepNext/>
        <w:widowControl/>
      </w:pPr>
      <w:r>
        <w:t>5. A different development model: light-touch eco-sites</w:t>
      </w:r>
    </w:p>
    <w:p>
      <w:pPr>
        <w:widowControl/>
      </w:pPr>
      <w:r>
        <w:rPr>
          <w:rFonts w:ascii="Calibri" w:hAnsi="Calibri"/>
        </w:rPr>
        <w:t>A rapid modular programme should not reproduce the worst features of conventional development: years of heavy roadworks, land scraping, oversized parking, impermeable surfaces and social housing isolated from services. Nor should “eco” become a pretext for placing poor people in unsafe fields without rights or infrastructure.</w:t>
      </w:r>
    </w:p>
    <w:p>
      <w:pPr>
        <w:widowControl/>
      </w:pPr>
      <w:r>
        <w:rPr>
          <w:rFonts w:ascii="Calibri" w:hAnsi="Calibri"/>
        </w:rPr>
        <w:t>The alternative is a serviced, semi-green cluster designed around minimal permanent disturbance:</w:t>
      </w:r>
    </w:p>
    <w:p>
      <w:pPr>
        <w:pStyle w:val="ListBullet"/>
        <w:widowControl/>
      </w:pPr>
      <w:r>
        <w:rPr>
          <w:rFonts w:ascii="Calibri" w:hAnsi="Calibri"/>
        </w:rPr>
        <w:t xml:space="preserve"> demountable screw-pile or similarly low-impact foundations where ground conditions allow;</w:t>
      </w:r>
    </w:p>
    <w:p>
      <w:pPr>
        <w:pStyle w:val="ListBullet"/>
        <w:widowControl/>
      </w:pPr>
      <w:r>
        <w:rPr>
          <w:rFonts w:ascii="Calibri" w:hAnsi="Calibri"/>
        </w:rPr>
        <w:t xml:space="preserve"> permeable paths and limited service access instead of a road-first layout;</w:t>
      </w:r>
    </w:p>
    <w:p>
      <w:pPr>
        <w:pStyle w:val="ListBullet"/>
        <w:widowControl/>
      </w:pPr>
      <w:r>
        <w:rPr>
          <w:rFonts w:ascii="Calibri" w:hAnsi="Calibri"/>
        </w:rPr>
        <w:t xml:space="preserve"> shared water, drainage, waste and fire-safety systems sized before occupation;</w:t>
      </w:r>
    </w:p>
    <w:p>
      <w:pPr>
        <w:pStyle w:val="ListBullet"/>
        <w:widowControl/>
      </w:pPr>
      <w:r>
        <w:rPr>
          <w:rFonts w:ascii="Calibri" w:hAnsi="Calibri"/>
        </w:rPr>
        <w:t xml:space="preserve"> solar canopies, battery storage, heat pumps and a local microgrid, while retaining a reliable grid connection where available;</w:t>
      </w:r>
    </w:p>
    <w:p>
      <w:pPr>
        <w:pStyle w:val="ListBullet"/>
        <w:widowControl/>
      </w:pPr>
      <w:r>
        <w:rPr>
          <w:rFonts w:ascii="Calibri" w:hAnsi="Calibri"/>
        </w:rPr>
        <w:t xml:space="preserve"> native planting, shade, biodiversity corridors and measured limits on soil sealing;</w:t>
      </w:r>
    </w:p>
    <w:p>
      <w:pPr>
        <w:pStyle w:val="ListBullet"/>
        <w:widowControl/>
      </w:pPr>
      <w:r>
        <w:rPr>
          <w:rFonts w:ascii="Calibri" w:hAnsi="Calibri"/>
        </w:rPr>
        <w:t xml:space="preserve"> frequent public transport, cargo-bike storage, shared EVs and accessible vehicles;</w:t>
      </w:r>
    </w:p>
    <w:p>
      <w:pPr>
        <w:pStyle w:val="ListBullet"/>
        <w:widowControl/>
      </w:pPr>
      <w:r>
        <w:rPr>
          <w:rFonts w:ascii="Calibri" w:hAnsi="Calibri"/>
        </w:rPr>
        <w:t xml:space="preserve"> quiet areas, strong acoustic insulation and sensory-aware design; and</w:t>
      </w:r>
    </w:p>
    <w:p>
      <w:pPr>
        <w:pStyle w:val="ListBullet"/>
        <w:widowControl/>
      </w:pPr>
      <w:r>
        <w:rPr>
          <w:rFonts w:ascii="Calibri" w:hAnsi="Calibri"/>
        </w:rPr>
        <w:t xml:space="preserve"> secure tenure, postal addresses, broadband and full legal protection—never an informal camp used to warehouse people.</w:t>
      </w:r>
    </w:p>
    <w:p>
      <w:pPr>
        <w:widowControl/>
      </w:pPr>
      <w:r>
        <w:rPr>
          <w:rFonts w:ascii="Calibri" w:hAnsi="Calibri"/>
        </w:rPr>
        <w:t>Some road and utility work will always be necessary. The objective is not to abolish infrastructure but to distinguish essential services from expensive overbuilding. A home that arrives by lorry still needs an ambulance route, safe evacuation, drinking water and sewage treatment. Ecological restraint is compatible with those duties.</w:t>
      </w:r>
    </w:p>
    <w:p>
      <w:pPr>
        <w:pStyle w:val="Heading1"/>
        <w:keepNext/>
        <w:widowControl/>
      </w:pPr>
      <w:r>
        <w:t>6. Vehicles, campers and mobility as part of housing security</w:t>
      </w:r>
    </w:p>
    <w:p>
      <w:pPr>
        <w:pStyle w:val="Heading2"/>
        <w:keepNext/>
        <w:widowControl/>
      </w:pPr>
      <w:r>
        <w:t>6.1 Ultra-low-cost electric mobility</w:t>
      </w:r>
    </w:p>
    <w:p>
      <w:pPr>
        <w:widowControl/>
      </w:pPr>
      <w:r>
        <w:rPr>
          <w:rFonts w:ascii="Calibri" w:hAnsi="Calibri"/>
        </w:rPr>
        <w:t>The famous Changli example matters because it reveals a design question hidden by the conventional car market: how much vehicle does a person actually need for a short local journey? A small, low-speed electric quadricycle uses less material, less battery, less road space and less energy than a two-tonne premium EV. Its low purchase price is not proof of UK road legality, crash protection or durability. It is proof that climate-compatible mobility does not inherently require a luxury-car budget.</w:t>
      </w:r>
    </w:p>
    <w:p>
      <w:pPr>
        <w:widowControl/>
      </w:pPr>
      <w:r>
        <w:rPr>
          <w:rFonts w:ascii="Calibri" w:hAnsi="Calibri"/>
        </w:rPr>
        <w:t>Britain should support a regulated ladder: e-bikes and mobility devices; weather-protected light quadricycles; compact city EVs; and full highway-capable cars. Each category needs appropriate speed, crash, lighting, braking, battery and accessibility standards. Public and social leasing should make the lowest safe tier available to people who cannot obtain conventional finance.</w:t>
      </w:r>
    </w:p>
    <w:p>
      <w:pPr>
        <w:pStyle w:val="Heading2"/>
        <w:keepNext/>
        <w:widowControl/>
      </w:pPr>
      <w:r>
        <w:t>6.2 Camper vehicles and modular camper pods</w:t>
      </w:r>
    </w:p>
    <w:p>
      <w:pPr>
        <w:widowControl/>
      </w:pPr>
      <w:r>
        <w:rPr>
          <w:rFonts w:ascii="Calibri" w:hAnsi="Calibri"/>
        </w:rPr>
        <w:t>Chinese marketplaces also show camper shells, pickup modules, trailers and electric camper vans at factory prices well below many European leisure vehicles. Representative listings range from several thousand dollars for shells or small modules to tens of thousands for complete motorhomes. [14] These prices again require caution: type approval, VAT, customs duty, electrical and gas safety, payload, seat-belt anchorage, insurance, warranty and habitation quality can change the final cost substantially. [16][17]</w:t>
      </w:r>
    </w:p>
    <w:p>
      <w:pPr>
        <w:widowControl/>
      </w:pPr>
      <w:r>
        <w:rPr>
          <w:rFonts w:ascii="Calibri" w:hAnsi="Calibri"/>
        </w:rPr>
        <w:t>Campers should not replace the right to a home. They can nonetheless provide voluntary mobility, emergency respite, seasonal work accommodation, disaster response, supported travel for disabled people and a bridge while permanent modular sites are completed. A public programme could procure safe removable camper modules that retain value and can be transferred between vehicles rather than forcing people to finance an entire specialist motorhome.</w:t>
      </w:r>
    </w:p>
    <w:p>
      <w:pPr>
        <w:pStyle w:val="Heading1"/>
        <w:keepNext/>
        <w:widowControl/>
      </w:pPr>
      <w:r>
        <w:t>7. The national cost test</w:t>
      </w:r>
    </w:p>
    <w:p>
      <w:pPr>
        <w:widowControl/>
      </w:pPr>
      <w:r>
        <w:rPr>
          <w:rFonts w:ascii="Calibri" w:hAnsi="Calibri"/>
        </w:rPr>
        <w:t>England’s housing emergency is not an abstract shortage. On 31 March 2026, 135,580 households were in temporary accommodation and 177,530 children were living within those households. [7] Government reported £2.8 billion of temporary-accommodation expenditure in 2024/25, within £3.7 billion spent on homelessness services. [8] Much of that money purchases time in assets the public does not own.</w:t>
      </w:r>
    </w:p>
    <w:p>
      <w:pPr>
        <w:widowControl/>
      </w:pPr>
      <w:r>
        <w:rPr>
          <w:rFonts w:ascii="Calibri" w:hAnsi="Calibri"/>
        </w:rPr>
        <w:t>The following model asks a deliberately simple question: what would it cost to provide one self-contained modular dwelling for every household currently recorded in temporary accommodation? It is a scale test, not a final business case. Household composition varies; a national programme would require studios, one-, two-, three- and four-bedroom homes, accessible units and supported accommodation.</w:t>
      </w:r>
    </w:p>
    <w:tbl>
      <w:tblPr>
        <w:tblStyle w:val="TableGrid"/>
        <w:tblW w:type="dxa" w:w="9360"/>
        <w:jc w:val="center"/>
        <w:tblLayout w:type="fixed"/>
        <w:tblLook w:firstColumn="1" w:firstRow="1" w:lastColumn="0" w:lastRow="0" w:noHBand="0" w:noVBand="1" w:val="04A0"/>
        <w:tblInd w:w="120" w:type="dxa"/>
      </w:tblPr>
      <w:tblGrid>
        <w:gridCol w:w="2160"/>
        <w:gridCol w:w="2200"/>
        <w:gridCol w:w="2300"/>
        <w:gridCol w:w="2700"/>
      </w:tblGrid>
      <w:tr>
        <w:trPr>
          <w:tblHeader w:val="true"/>
          <w:cantSplit/>
        </w:trPr>
        <w:tc>
          <w:tcPr>
            <w:tcW w:type="dxa" w:w="2160"/>
            <w:tcMar>
              <w:top w:w="80" w:type="dxa"/>
              <w:start w:w="120" w:type="dxa"/>
              <w:bottom w:w="80" w:type="dxa"/>
              <w:end w:w="120" w:type="dxa"/>
            </w:tcMar>
            <w:vAlign w:val="center"/>
            <w:shd w:fill="F4F6F9"/>
          </w:tcPr>
          <w:p>
            <w:pPr>
              <w:spacing w:after="0"/>
              <w:jc w:val="left"/>
            </w:pPr>
            <w:r>
              <w:rPr>
                <w:rFonts w:ascii="Calibri" w:hAnsi="Calibri"/>
                <w:b/>
                <w:color w:val="17365D"/>
                <w:sz w:val="18"/>
              </w:rPr>
              <w:t>Scenario</w:t>
            </w:r>
          </w:p>
        </w:tc>
        <w:tc>
          <w:tcPr>
            <w:tcW w:type="dxa" w:w="2200"/>
            <w:tcMar>
              <w:top w:w="80" w:type="dxa"/>
              <w:start w:w="120" w:type="dxa"/>
              <w:bottom w:w="80" w:type="dxa"/>
              <w:end w:w="120" w:type="dxa"/>
            </w:tcMar>
            <w:vAlign w:val="center"/>
            <w:shd w:fill="F4F6F9"/>
          </w:tcPr>
          <w:p>
            <w:pPr>
              <w:spacing w:after="0"/>
              <w:jc w:val="left"/>
            </w:pPr>
            <w:r>
              <w:rPr>
                <w:rFonts w:ascii="Calibri" w:hAnsi="Calibri"/>
                <w:b/>
                <w:color w:val="17365D"/>
                <w:sz w:val="18"/>
              </w:rPr>
              <w:t>Indicative all-in cost per dwelling</w:t>
            </w:r>
          </w:p>
        </w:tc>
        <w:tc>
          <w:tcPr>
            <w:tcW w:type="dxa" w:w="2300"/>
            <w:tcMar>
              <w:top w:w="80" w:type="dxa"/>
              <w:start w:w="120" w:type="dxa"/>
              <w:bottom w:w="80" w:type="dxa"/>
              <w:end w:w="120" w:type="dxa"/>
            </w:tcMar>
            <w:vAlign w:val="center"/>
            <w:shd w:fill="F4F6F9"/>
          </w:tcPr>
          <w:p>
            <w:pPr>
              <w:spacing w:after="0"/>
              <w:jc w:val="left"/>
            </w:pPr>
            <w:r>
              <w:rPr>
                <w:rFonts w:ascii="Calibri" w:hAnsi="Calibri"/>
                <w:b/>
                <w:color w:val="17365D"/>
                <w:sz w:val="18"/>
              </w:rPr>
              <w:t>135,580 dwellings</w:t>
            </w:r>
          </w:p>
        </w:tc>
        <w:tc>
          <w:tcPr>
            <w:tcW w:type="dxa" w:w="2700"/>
            <w:tcMar>
              <w:top w:w="80" w:type="dxa"/>
              <w:start w:w="120" w:type="dxa"/>
              <w:bottom w:w="80" w:type="dxa"/>
              <w:end w:w="120" w:type="dxa"/>
            </w:tcMar>
            <w:vAlign w:val="center"/>
            <w:shd w:fill="F4F6F9"/>
          </w:tcPr>
          <w:p>
            <w:pPr>
              <w:spacing w:after="0"/>
              <w:jc w:val="left"/>
            </w:pPr>
            <w:r>
              <w:rPr>
                <w:rFonts w:ascii="Calibri" w:hAnsi="Calibri"/>
                <w:b/>
                <w:color w:val="17365D"/>
                <w:sz w:val="18"/>
              </w:rPr>
              <w:t>Equivalent to annual £2.8bn TA spend</w:t>
            </w:r>
          </w:p>
        </w:tc>
      </w:tr>
      <w:tr>
        <w:trPr>
          <w:cantSplit/>
        </w:trPr>
        <w:tc>
          <w:tcPr>
            <w:tcW w:type="dxa" w:w="2160"/>
            <w:tcMar>
              <w:top w:w="80" w:type="dxa"/>
              <w:start w:w="120" w:type="dxa"/>
              <w:bottom w:w="80" w:type="dxa"/>
              <w:end w:w="120" w:type="dxa"/>
            </w:tcMar>
            <w:vAlign w:val="center"/>
          </w:tcPr>
          <w:p>
            <w:pPr>
              <w:spacing w:after="0" w:line="252" w:lineRule="auto"/>
            </w:pPr>
            <w:r>
              <w:rPr>
                <w:rFonts w:ascii="Calibri" w:hAnsi="Calibri"/>
                <w:color w:val="20252B"/>
                <w:sz w:val="18"/>
              </w:rPr>
              <w:t>Lean compliant platform</w:t>
            </w:r>
          </w:p>
        </w:tc>
        <w:tc>
          <w:tcPr>
            <w:tcW w:type="dxa" w:w="2200"/>
            <w:tcMar>
              <w:top w:w="80" w:type="dxa"/>
              <w:start w:w="120" w:type="dxa"/>
              <w:bottom w:w="80" w:type="dxa"/>
              <w:end w:w="120" w:type="dxa"/>
            </w:tcMar>
            <w:vAlign w:val="center"/>
          </w:tcPr>
          <w:p>
            <w:pPr>
              <w:spacing w:after="0" w:line="252" w:lineRule="auto"/>
            </w:pPr>
            <w:r>
              <w:rPr>
                <w:rFonts w:ascii="Calibri" w:hAnsi="Calibri"/>
                <w:color w:val="20252B"/>
                <w:sz w:val="18"/>
              </w:rPr>
              <w:t>£60,000</w:t>
            </w:r>
          </w:p>
        </w:tc>
        <w:tc>
          <w:tcPr>
            <w:tcW w:type="dxa" w:w="2300"/>
            <w:tcMar>
              <w:top w:w="80" w:type="dxa"/>
              <w:start w:w="120" w:type="dxa"/>
              <w:bottom w:w="80" w:type="dxa"/>
              <w:end w:w="120" w:type="dxa"/>
            </w:tcMar>
            <w:vAlign w:val="center"/>
          </w:tcPr>
          <w:p>
            <w:pPr>
              <w:spacing w:after="0" w:line="252" w:lineRule="auto"/>
            </w:pPr>
            <w:r>
              <w:rPr>
                <w:rFonts w:ascii="Calibri" w:hAnsi="Calibri"/>
                <w:color w:val="20252B"/>
                <w:sz w:val="18"/>
              </w:rPr>
              <w:t>£8.13bn</w:t>
            </w:r>
          </w:p>
        </w:tc>
        <w:tc>
          <w:tcPr>
            <w:tcW w:type="dxa" w:w="2700"/>
            <w:tcMar>
              <w:top w:w="80" w:type="dxa"/>
              <w:start w:w="120" w:type="dxa"/>
              <w:bottom w:w="80" w:type="dxa"/>
              <w:end w:w="120" w:type="dxa"/>
            </w:tcMar>
            <w:vAlign w:val="center"/>
          </w:tcPr>
          <w:p>
            <w:pPr>
              <w:spacing w:after="0" w:line="252" w:lineRule="auto"/>
            </w:pPr>
            <w:r>
              <w:rPr>
                <w:rFonts w:ascii="Calibri" w:hAnsi="Calibri"/>
                <w:color w:val="20252B"/>
                <w:sz w:val="18"/>
              </w:rPr>
              <w:t>2.9 years</w:t>
            </w:r>
          </w:p>
        </w:tc>
      </w:tr>
      <w:tr>
        <w:trPr>
          <w:cantSplit/>
        </w:trPr>
        <w:tc>
          <w:tcPr>
            <w:tcW w:type="dxa" w:w="2160"/>
            <w:tcMar>
              <w:top w:w="80" w:type="dxa"/>
              <w:start w:w="120" w:type="dxa"/>
              <w:bottom w:w="80" w:type="dxa"/>
              <w:end w:w="120" w:type="dxa"/>
            </w:tcMar>
            <w:vAlign w:val="center"/>
          </w:tcPr>
          <w:p>
            <w:pPr>
              <w:spacing w:after="0" w:line="252" w:lineRule="auto"/>
            </w:pPr>
            <w:r>
              <w:rPr>
                <w:rFonts w:ascii="Calibri" w:hAnsi="Calibri"/>
                <w:color w:val="20252B"/>
                <w:sz w:val="18"/>
              </w:rPr>
              <w:t>Central planning case</w:t>
            </w:r>
          </w:p>
        </w:tc>
        <w:tc>
          <w:tcPr>
            <w:tcW w:type="dxa" w:w="2200"/>
            <w:tcMar>
              <w:top w:w="80" w:type="dxa"/>
              <w:start w:w="120" w:type="dxa"/>
              <w:bottom w:w="80" w:type="dxa"/>
              <w:end w:w="120" w:type="dxa"/>
            </w:tcMar>
            <w:vAlign w:val="center"/>
          </w:tcPr>
          <w:p>
            <w:pPr>
              <w:spacing w:after="0" w:line="252" w:lineRule="auto"/>
            </w:pPr>
            <w:r>
              <w:rPr>
                <w:rFonts w:ascii="Calibri" w:hAnsi="Calibri"/>
                <w:color w:val="20252B"/>
                <w:sz w:val="18"/>
              </w:rPr>
              <w:t>£90,000</w:t>
            </w:r>
          </w:p>
        </w:tc>
        <w:tc>
          <w:tcPr>
            <w:tcW w:type="dxa" w:w="2300"/>
            <w:tcMar>
              <w:top w:w="80" w:type="dxa"/>
              <w:start w:w="120" w:type="dxa"/>
              <w:bottom w:w="80" w:type="dxa"/>
              <w:end w:w="120" w:type="dxa"/>
            </w:tcMar>
            <w:vAlign w:val="center"/>
          </w:tcPr>
          <w:p>
            <w:pPr>
              <w:spacing w:after="0" w:line="252" w:lineRule="auto"/>
            </w:pPr>
            <w:r>
              <w:rPr>
                <w:rFonts w:ascii="Calibri" w:hAnsi="Calibri"/>
                <w:color w:val="20252B"/>
                <w:sz w:val="18"/>
              </w:rPr>
              <w:t>£12.20bn</w:t>
            </w:r>
          </w:p>
        </w:tc>
        <w:tc>
          <w:tcPr>
            <w:tcW w:type="dxa" w:w="2700"/>
            <w:tcMar>
              <w:top w:w="80" w:type="dxa"/>
              <w:start w:w="120" w:type="dxa"/>
              <w:bottom w:w="80" w:type="dxa"/>
              <w:end w:w="120" w:type="dxa"/>
            </w:tcMar>
            <w:vAlign w:val="center"/>
          </w:tcPr>
          <w:p>
            <w:pPr>
              <w:spacing w:after="0" w:line="252" w:lineRule="auto"/>
            </w:pPr>
            <w:r>
              <w:rPr>
                <w:rFonts w:ascii="Calibri" w:hAnsi="Calibri"/>
                <w:color w:val="20252B"/>
                <w:sz w:val="18"/>
              </w:rPr>
              <w:t>4.4 years</w:t>
            </w:r>
          </w:p>
        </w:tc>
      </w:tr>
      <w:tr>
        <w:trPr>
          <w:cantSplit/>
        </w:trPr>
        <w:tc>
          <w:tcPr>
            <w:tcW w:type="dxa" w:w="2160"/>
            <w:tcMar>
              <w:top w:w="80" w:type="dxa"/>
              <w:start w:w="120" w:type="dxa"/>
              <w:bottom w:w="80" w:type="dxa"/>
              <w:end w:w="120" w:type="dxa"/>
            </w:tcMar>
            <w:vAlign w:val="center"/>
          </w:tcPr>
          <w:p>
            <w:pPr>
              <w:spacing w:after="0" w:line="252" w:lineRule="auto"/>
            </w:pPr>
            <w:r>
              <w:rPr>
                <w:rFonts w:ascii="Calibri" w:hAnsi="Calibri"/>
                <w:color w:val="20252B"/>
                <w:sz w:val="18"/>
              </w:rPr>
              <w:t>High-cost / complex sites</w:t>
            </w:r>
          </w:p>
        </w:tc>
        <w:tc>
          <w:tcPr>
            <w:tcW w:type="dxa" w:w="2200"/>
            <w:tcMar>
              <w:top w:w="80" w:type="dxa"/>
              <w:start w:w="120" w:type="dxa"/>
              <w:bottom w:w="80" w:type="dxa"/>
              <w:end w:w="120" w:type="dxa"/>
            </w:tcMar>
            <w:vAlign w:val="center"/>
          </w:tcPr>
          <w:p>
            <w:pPr>
              <w:spacing w:after="0" w:line="252" w:lineRule="auto"/>
            </w:pPr>
            <w:r>
              <w:rPr>
                <w:rFonts w:ascii="Calibri" w:hAnsi="Calibri"/>
                <w:color w:val="20252B"/>
                <w:sz w:val="18"/>
              </w:rPr>
              <w:t>£120,000</w:t>
            </w:r>
          </w:p>
        </w:tc>
        <w:tc>
          <w:tcPr>
            <w:tcW w:type="dxa" w:w="2300"/>
            <w:tcMar>
              <w:top w:w="80" w:type="dxa"/>
              <w:start w:w="120" w:type="dxa"/>
              <w:bottom w:w="80" w:type="dxa"/>
              <w:end w:w="120" w:type="dxa"/>
            </w:tcMar>
            <w:vAlign w:val="center"/>
          </w:tcPr>
          <w:p>
            <w:pPr>
              <w:spacing w:after="0" w:line="252" w:lineRule="auto"/>
            </w:pPr>
            <w:r>
              <w:rPr>
                <w:rFonts w:ascii="Calibri" w:hAnsi="Calibri"/>
                <w:color w:val="20252B"/>
                <w:sz w:val="18"/>
              </w:rPr>
              <w:t>£16.27bn</w:t>
            </w:r>
          </w:p>
        </w:tc>
        <w:tc>
          <w:tcPr>
            <w:tcW w:type="dxa" w:w="2700"/>
            <w:tcMar>
              <w:top w:w="80" w:type="dxa"/>
              <w:start w:w="120" w:type="dxa"/>
              <w:bottom w:w="80" w:type="dxa"/>
              <w:end w:w="120" w:type="dxa"/>
            </w:tcMar>
            <w:vAlign w:val="center"/>
          </w:tcPr>
          <w:p>
            <w:pPr>
              <w:spacing w:after="0" w:line="252" w:lineRule="auto"/>
            </w:pPr>
            <w:r>
              <w:rPr>
                <w:rFonts w:ascii="Calibri" w:hAnsi="Calibri"/>
                <w:color w:val="20252B"/>
                <w:sz w:val="18"/>
              </w:rPr>
              <w:t>5.8 years</w:t>
            </w:r>
          </w:p>
        </w:tc>
      </w:tr>
    </w:tbl>
    <w:p>
      <w:pPr>
        <w:pStyle w:val="TableCitation"/>
        <w:widowControl/>
      </w:pPr>
      <w:r>
        <w:t>Assumption: cost includes unit, international or domestic logistics, foundations, ordinary site works and connections, professional fees, compliance, fit-out and contingency. It excludes land purchase, financing, exceptional remediation and major off-site network reinforcement. Gross-spend equivalents are not payback estimates.</w:t>
      </w:r>
    </w:p>
    <w:p>
      <w:pPr>
        <w:widowControl/>
        <w:spacing w:before="160" w:after="80"/>
        <w:jc w:val="center"/>
      </w:pPr>
      <w:r>
        <w:drawing>
          <wp:inline xmlns:a="http://schemas.openxmlformats.org/drawingml/2006/main" xmlns:pic="http://schemas.openxmlformats.org/drawingml/2006/picture">
            <wp:extent cx="5897880" cy="2568640"/>
            <wp:docPr id="1" name="Picture 1" title="Indicative national cost comparison" descr="Horizontal bars compare annual temporary-accommodation spending, three modular-housing cost scenarios for 135,580 dwellings, and the low and high HS2 cost estimates."/>
            <wp:cNvGraphicFramePr>
              <a:graphicFrameLocks noChangeAspect="1"/>
            </wp:cNvGraphicFramePr>
            <a:graphic>
              <a:graphicData uri="http://schemas.openxmlformats.org/drawingml/2006/picture">
                <pic:pic>
                  <pic:nvPicPr>
                    <pic:cNvPr id="0" name="modular_cost_comparison.png"/>
                    <pic:cNvPicPr/>
                  </pic:nvPicPr>
                  <pic:blipFill>
                    <a:blip r:embed="rId11"/>
                    <a:stretch>
                      <a:fillRect/>
                    </a:stretch>
                  </pic:blipFill>
                  <pic:spPr>
                    <a:xfrm>
                      <a:off x="0" y="0"/>
                      <a:ext cx="5897880" cy="2568640"/>
                    </a:xfrm>
                    <a:prstGeom prst="rect"/>
                  </pic:spPr>
                </pic:pic>
              </a:graphicData>
            </a:graphic>
          </wp:inline>
        </w:drawing>
      </w:r>
    </w:p>
    <w:p>
      <w:pPr>
        <w:pStyle w:val="TableCitation"/>
        <w:widowControl/>
        <w:jc w:val="center"/>
      </w:pPr>
      <w:r>
        <w:t>Figure 1. Order-of-magnitude comparison. Housing scenarios are author calculations; temporary-accommodation spending is from [8]; HS2 range is from [23]. These programmes have different purposes and timelines.</w:t>
      </w:r>
    </w:p>
    <w:p>
      <w:pPr>
        <w:widowControl/>
      </w:pPr>
      <w:r>
        <w:rPr>
          <w:rFonts w:ascii="Calibri" w:hAnsi="Calibri"/>
        </w:rPr>
        <w:t>The 2026 Department for Transport estimate for completing HS2 is £87.7–£102.7 billion. [23] On the assumptions above, providing a dwelling for every household currently in temporary accommodation would equal approximately 8%–19% of that estimate. This does not mean HS2 money can or should simply be reassigned. It demonstrates that a national housing intervention of historic scale is financially conceivable within the range Britain already accepts for major infrastructure.</w:t>
      </w:r>
    </w:p>
    <w:p>
      <w:pPr>
        <w:widowControl/>
      </w:pPr>
      <w:r>
        <w:rPr>
          <w:rFonts w:ascii="Calibri" w:hAnsi="Calibri"/>
        </w:rPr>
        <w:t>The central £12.2 billion case is also about 4.4 years of gross temporary-accommodation spending. The comparison understates some future costs—maintenance, management and finance remain—but also excludes benefits: public ownership of long-lived assets, lower energy bills, fewer disruptive moves, improved health and educational continuity, reduced hotel dependence, and land value retained by the public.</w:t>
      </w:r>
    </w:p>
    <w:p>
      <w:pPr>
        <w:widowControl/>
      </w:pPr>
      <w:r>
        <w:rPr>
          <w:rFonts w:ascii="Calibri" w:hAnsi="Calibri"/>
        </w:rPr>
        <w:t>The largest uncontrolled variable is land. A House of Commons committee concluded that land is typically the largest single expense in housing development. [12] A low-cost unit placed on speculative land can become an expensive home. The programme therefore depends on public land, compulsory or negotiated purchase at fair existing-use values, long leases, community land trusts and transparent land-value capture.</w:t>
      </w:r>
    </w:p>
    <w:p>
      <w:pPr>
        <w:pStyle w:val="Heading1"/>
        <w:keepNext/>
        <w:widowControl/>
      </w:pPr>
      <w:r>
        <w:t>8. Trump, tariffs and the politics of scarcity</w:t>
      </w:r>
    </w:p>
    <w:p>
      <w:pPr>
        <w:widowControl/>
      </w:pPr>
      <w:r>
        <w:rPr>
          <w:rFonts w:ascii="Calibri" w:hAnsi="Calibri"/>
        </w:rPr>
        <w:t>It is tempting to write that Donald Trump “does not want China to help anyone.” That states an intention no paper can prove. The documented policy is powerful enough without mind-reading.</w:t>
      </w:r>
    </w:p>
    <w:p>
      <w:pPr>
        <w:widowControl/>
      </w:pPr>
      <w:r>
        <w:rPr>
          <w:rFonts w:ascii="Calibri" w:hAnsi="Calibri"/>
        </w:rPr>
        <w:t>On 20 January 2025, Trump directed the US Government to eliminate what he called the “electric vehicle mandate” and reconsider subsidies and emissions rules favouring EVs. [21] The United States had already raised the Section 301 tariff on Chinese electric vehicles to 100%, alongside higher tariffs on solar cells and other clean-technology inputs. [22] Trump’s broader trade and fossil-energy programme reinforced economic separation and domestic production.</w:t>
      </w:r>
    </w:p>
    <w:p>
      <w:pPr>
        <w:widowControl/>
      </w:pPr>
      <w:r>
        <w:rPr>
          <w:rFonts w:ascii="Calibri" w:hAnsi="Calibri"/>
        </w:rPr>
        <w:t>Supporters describe these measures as protection against unfair subsidy, strategic dependency and industrial decline. Those are legitimate policy concerns. The consumer-side effect is equally real: a 100% tariff prevents Chinese price competition from reaching US households and protects incumbent price structures. It makes the low-cost route to electrification harder.</w:t>
      </w:r>
    </w:p>
    <w:p>
      <w:pPr>
        <w:widowControl/>
      </w:pPr>
      <w:r>
        <w:rPr>
          <w:rFonts w:ascii="Calibri" w:hAnsi="Calibri"/>
        </w:rPr>
        <w:t>Britain should avoid copying either extreme. It should not allow a single foreign supplier to control essential systems; nor should it use security language to preserve scarcity and luxury margins. The superior response to subsidised foreign production is often reciprocal public capacity: negotiate local assembly, demand technology transfer and open repair, invest in British workers, diversify suppliers, and reserve the right to intervene against verified dumping or abuse.</w:t>
      </w:r>
    </w:p>
    <w:p>
      <w:pPr>
        <w:pStyle w:val="Heading1"/>
        <w:keepNext/>
        <w:widowControl/>
      </w:pPr>
      <w:r>
        <w:t>9. Cooperation without naivety: the safeguards</w:t>
      </w:r>
    </w:p>
    <w:p>
      <w:pPr>
        <w:widowControl/>
      </w:pPr>
      <w:r>
        <w:rPr>
          <w:rFonts w:ascii="Calibri" w:hAnsi="Calibri"/>
        </w:rPr>
        <w:t>Cheap procurement can externalise harm if public buyers ignore labour, pollution, biodiversity, animal welfare, cybersecurity or product life. Climate pollution does not remain in the country where it is emitted. Toxic waste, exploitative labour and cruelty do not become morally irrelevant when hidden inside an imported product. The answer is enforceable due diligence, not selective outrage applied only to geopolitical rivals.</w:t>
      </w:r>
    </w:p>
    <w:p>
      <w:pPr>
        <w:widowControl/>
      </w:pPr>
      <w:r>
        <w:rPr>
          <w:rFonts w:ascii="Calibri" w:hAnsi="Calibri"/>
        </w:rPr>
        <w:t>Every framework contract should therefore require:</w:t>
      </w:r>
    </w:p>
    <w:p>
      <w:pPr>
        <w:pStyle w:val="ListBullet"/>
        <w:widowControl/>
      </w:pPr>
      <w:r>
        <w:rPr>
          <w:rFonts w:ascii="Calibri" w:hAnsi="Calibri"/>
        </w:rPr>
        <w:t xml:space="preserve"> independent structural, fire, electrical, battery, acoustic, moisture and energy testing against UK requirements;</w:t>
      </w:r>
    </w:p>
    <w:p>
      <w:pPr>
        <w:pStyle w:val="ListBullet"/>
        <w:widowControl/>
      </w:pPr>
      <w:r>
        <w:rPr>
          <w:rFonts w:ascii="Calibri" w:hAnsi="Calibri"/>
        </w:rPr>
        <w:t xml:space="preserve"> traceability for steel, aluminium, timber, solar polysilicon, battery minerals and high-risk components;</w:t>
      </w:r>
    </w:p>
    <w:p>
      <w:pPr>
        <w:pStyle w:val="ListBullet"/>
        <w:widowControl/>
      </w:pPr>
      <w:r>
        <w:rPr>
          <w:rFonts w:ascii="Calibri" w:hAnsi="Calibri"/>
        </w:rPr>
        <w:t xml:space="preserve"> prohibition of forced labour and credible worker-grievance and remediation routes;</w:t>
      </w:r>
    </w:p>
    <w:p>
      <w:pPr>
        <w:pStyle w:val="ListBullet"/>
        <w:widowControl/>
      </w:pPr>
      <w:r>
        <w:rPr>
          <w:rFonts w:ascii="Calibri" w:hAnsi="Calibri"/>
        </w:rPr>
        <w:t xml:space="preserve"> environmental product declarations, embodied-carbon reporting, pollution controls and take-back or recycling plans;</w:t>
      </w:r>
    </w:p>
    <w:p>
      <w:pPr>
        <w:pStyle w:val="ListBullet"/>
        <w:widowControl/>
      </w:pPr>
      <w:r>
        <w:rPr>
          <w:rFonts w:ascii="Calibri" w:hAnsi="Calibri"/>
        </w:rPr>
        <w:t xml:space="preserve"> animal-welfare and biodiversity conditions where materials or site impacts create relevant risk;</w:t>
      </w:r>
    </w:p>
    <w:p>
      <w:pPr>
        <w:pStyle w:val="ListBullet"/>
        <w:widowControl/>
      </w:pPr>
      <w:r>
        <w:rPr>
          <w:rFonts w:ascii="Calibri" w:hAnsi="Calibri"/>
        </w:rPr>
        <w:t xml:space="preserve"> no mandatory foreign cloud connection for homes, chargers or vehicles; local operation must continue offline;</w:t>
      </w:r>
    </w:p>
    <w:p>
      <w:pPr>
        <w:pStyle w:val="ListBullet"/>
        <w:widowControl/>
      </w:pPr>
      <w:r>
        <w:rPr>
          <w:rFonts w:ascii="Calibri" w:hAnsi="Calibri"/>
        </w:rPr>
        <w:t xml:space="preserve"> published software support periods, security updates, diagnostic access and data-minimisation rules;</w:t>
      </w:r>
    </w:p>
    <w:p>
      <w:pPr>
        <w:pStyle w:val="ListBullet"/>
        <w:widowControl/>
      </w:pPr>
      <w:r>
        <w:rPr>
          <w:rFonts w:ascii="Calibri" w:hAnsi="Calibri"/>
        </w:rPr>
        <w:t xml:space="preserve"> spares, repair manuals, standard connectors and independent-repair rights for the asset’s expected life;</w:t>
      </w:r>
    </w:p>
    <w:p>
      <w:pPr>
        <w:pStyle w:val="ListBullet"/>
        <w:widowControl/>
      </w:pPr>
      <w:r>
        <w:rPr>
          <w:rFonts w:ascii="Calibri" w:hAnsi="Calibri"/>
        </w:rPr>
        <w:t xml:space="preserve"> performance bonds, UK-enforceable warranties and escrow or continuity plans if a supplier fails; and</w:t>
      </w:r>
    </w:p>
    <w:p>
      <w:pPr>
        <w:pStyle w:val="ListBullet"/>
        <w:widowControl/>
      </w:pPr>
      <w:r>
        <w:rPr>
          <w:rFonts w:ascii="Calibri" w:hAnsi="Calibri"/>
        </w:rPr>
        <w:t xml:space="preserve"> multi-supplier designs so that one vendor or country cannot disable the programme.</w:t>
      </w:r>
    </w:p>
    <w:p>
      <w:pPr>
        <w:widowControl/>
      </w:pPr>
      <w:r>
        <w:rPr>
          <w:rFonts w:ascii="Calibri" w:hAnsi="Calibri"/>
        </w:rPr>
        <w:t>The same conditions should apply to British, American, European and Chinese suppliers. Ethical procurement is strongest when it is universal rather than a weapon deployed selectively.</w:t>
      </w:r>
    </w:p>
    <w:p>
      <w:pPr>
        <w:pStyle w:val="Heading1"/>
        <w:keepNext/>
        <w:widowControl/>
      </w:pPr>
      <w:r>
        <w:t>10. A four-stage British programme</w:t>
      </w:r>
    </w:p>
    <w:p>
      <w:pPr>
        <w:pStyle w:val="Heading2"/>
        <w:keepNext/>
        <w:widowControl/>
      </w:pPr>
      <w:r>
        <w:t>Stage 1 — Prove the whole system (0–12 months)</w:t>
      </w:r>
    </w:p>
    <w:p>
      <w:pPr>
        <w:widowControl/>
        <w:numPr>
          <w:ilvl w:val="0"/>
          <w:numId w:val="10"/>
        </w:numPr>
        <w:pStyle w:val="ListNumber"/>
      </w:pPr>
      <w:r>
        <w:rPr>
          <w:rFonts w:ascii="Calibri" w:hAnsi="Calibri"/>
        </w:rPr>
        <w:t>Select three public sites: one urban infill location, one town-edge site and one rural or former-industrial site. Avoid irreplaceable habitat and flood risk.</w:t>
      </w:r>
    </w:p>
    <w:p>
      <w:pPr>
        <w:widowControl/>
        <w:numPr>
          <w:ilvl w:val="0"/>
          <w:numId w:val="10"/>
        </w:numPr>
        <w:pStyle w:val="ListNumber"/>
      </w:pPr>
      <w:r>
        <w:rPr>
          <w:rFonts w:ascii="Calibri" w:hAnsi="Calibri"/>
        </w:rPr>
        <w:t>Run an open international competition for 50–100 units from several suppliers, including Chinese and UK firms. Publish factory price, landed price, installed price and whole-life cost separately.</w:t>
      </w:r>
    </w:p>
    <w:p>
      <w:pPr>
        <w:widowControl/>
        <w:numPr>
          <w:ilvl w:val="0"/>
          <w:numId w:val="10"/>
        </w:numPr>
        <w:pStyle w:val="ListNumber"/>
      </w:pPr>
      <w:r>
        <w:rPr>
          <w:rFonts w:ascii="Calibri" w:hAnsi="Calibri"/>
        </w:rPr>
        <w:t>Test complete units and every critical interface before occupation. Include residents—especially disabled people, families and people with sensory needs—in design review.</w:t>
      </w:r>
    </w:p>
    <w:p>
      <w:pPr>
        <w:widowControl/>
        <w:numPr>
          <w:ilvl w:val="0"/>
          <w:numId w:val="10"/>
        </w:numPr>
        <w:pStyle w:val="ListNumber"/>
      </w:pPr>
      <w:r>
        <w:rPr>
          <w:rFonts w:ascii="Calibri" w:hAnsi="Calibri"/>
        </w:rPr>
        <w:t>Measure installation time, defects, energy use, indoor air quality, noise, maintenance, resident wellbeing and cost for at least one heating season.</w:t>
      </w:r>
    </w:p>
    <w:p>
      <w:pPr>
        <w:pStyle w:val="Heading2"/>
        <w:keepNext/>
        <w:widowControl/>
      </w:pPr>
      <w:r>
        <w:t>Stage 2 — Import kits, create UK assembly (12–30 months)</w:t>
      </w:r>
    </w:p>
    <w:p>
      <w:pPr>
        <w:widowControl/>
      </w:pPr>
      <w:r>
        <w:rPr>
          <w:rFonts w:ascii="Calibri" w:hAnsi="Calibri"/>
        </w:rPr>
        <w:t>Move from importing finished boxes to importing components and tooling where that lowers cost. Establish regional assembly and refurbishment centres near ports and areas of housing need. Require apprenticeships, accessible jobs and partnership with colleges. Keep the design platform open to multiple component suppliers.</w:t>
      </w:r>
    </w:p>
    <w:p>
      <w:pPr>
        <w:pStyle w:val="Heading2"/>
        <w:keepNext/>
        <w:widowControl/>
      </w:pPr>
      <w:r>
        <w:t>Stage 3 — British joint ventures and local materials (24–60 months)</w:t>
      </w:r>
    </w:p>
    <w:p>
      <w:pPr>
        <w:widowControl/>
      </w:pPr>
      <w:r>
        <w:rPr>
          <w:rFonts w:ascii="Calibri" w:hAnsi="Calibri"/>
        </w:rPr>
        <w:t>Use volume commitments to attract joint ventures and license efficient manufacturing methods into Britain. Increase UK content where it improves resilience and whole-life value, not as a symbolic rule that silently raises prices. Retain competitive imported components when domestic alternatives are unavailable or materially worse.</w:t>
      </w:r>
    </w:p>
    <w:p>
      <w:pPr>
        <w:pStyle w:val="Heading2"/>
        <w:keepNext/>
        <w:widowControl/>
      </w:pPr>
      <w:r>
        <w:t>Stage 4 — A permanent public-interest platform</w:t>
      </w:r>
    </w:p>
    <w:p>
      <w:pPr>
        <w:widowControl/>
      </w:pPr>
      <w:r>
        <w:rPr>
          <w:rFonts w:ascii="Calibri" w:hAnsi="Calibri"/>
        </w:rPr>
        <w:t>Create a national catalogue of pre-approved designs and components. Local authorities and housing associations should be able to order from it without redesigning the same home repeatedly. Central government should publish defect rates, energy performance, resident feedback, supplier concentration and whole-life costs. Designs should support relocation, extension, repair and eventual material recovery.</w:t>
      </w:r>
    </w:p>
    <w:p>
      <w:pPr>
        <w:pStyle w:val="Heading1"/>
        <w:keepNext/>
        <w:widowControl/>
      </w:pPr>
      <w:r>
        <w:t>11. Recommended public offer</w:t>
      </w:r>
    </w:p>
    <w:p>
      <w:pPr>
        <w:pStyle w:val="ListBullet"/>
        <w:widowControl/>
      </w:pPr>
      <w:r>
        <w:rPr>
          <w:rFonts w:ascii="Calibri" w:hAnsi="Calibri"/>
        </w:rPr>
        <w:t xml:space="preserve"> Housing first: offer permanent, secure and affordable tenancies. Do not make modular residents a lower legal class.</w:t>
      </w:r>
    </w:p>
    <w:p>
      <w:pPr>
        <w:pStyle w:val="ListBullet"/>
        <w:widowControl/>
      </w:pPr>
      <w:r>
        <w:rPr>
          <w:rFonts w:ascii="Calibri" w:hAnsi="Calibri"/>
        </w:rPr>
        <w:t xml:space="preserve"> A two-bedroom standard: compact but humane, with real storage, natural light, overheating control, acoustic privacy and space for ordinary family life—not “pods.”</w:t>
      </w:r>
    </w:p>
    <w:p>
      <w:pPr>
        <w:pStyle w:val="ListBullet"/>
        <w:widowControl/>
      </w:pPr>
      <w:r>
        <w:rPr>
          <w:rFonts w:ascii="Calibri" w:hAnsi="Calibri"/>
        </w:rPr>
        <w:t xml:space="preserve"> Accessible variants from the first production run: level access, wider circulation, adaptable bathrooms, reachable controls and parking or drop-off where required.</w:t>
      </w:r>
    </w:p>
    <w:p>
      <w:pPr>
        <w:pStyle w:val="ListBullet"/>
        <w:widowControl/>
      </w:pPr>
      <w:r>
        <w:rPr>
          <w:rFonts w:ascii="Calibri" w:hAnsi="Calibri"/>
        </w:rPr>
        <w:t xml:space="preserve"> Energy as part of rent: highly insulated fabric, heat pump, smart but locally controllable energy management, rooftop or shared solar, and a protected basic-energy allowance.</w:t>
      </w:r>
    </w:p>
    <w:p>
      <w:pPr>
        <w:pStyle w:val="ListBullet"/>
        <w:widowControl/>
      </w:pPr>
      <w:r>
        <w:rPr>
          <w:rFonts w:ascii="Calibri" w:hAnsi="Calibri"/>
        </w:rPr>
        <w:t xml:space="preserve"> Low-cost mobility: public leasing of approved light EVs and compact cars, shared accessible vehicles and charging at social tariffs.</w:t>
      </w:r>
    </w:p>
    <w:p>
      <w:pPr>
        <w:pStyle w:val="ListBullet"/>
        <w:widowControl/>
      </w:pPr>
      <w:r>
        <w:rPr>
          <w:rFonts w:ascii="Calibri" w:hAnsi="Calibri"/>
        </w:rPr>
        <w:t xml:space="preserve"> Voluntary camper pathway: certified removable modules and safe short-stay sites for travel, respite, emergency response and transition—not coercive substitute housing.</w:t>
      </w:r>
    </w:p>
    <w:p>
      <w:pPr>
        <w:pStyle w:val="ListBullet"/>
        <w:widowControl/>
      </w:pPr>
      <w:r>
        <w:rPr>
          <w:rFonts w:ascii="Calibri" w:hAnsi="Calibri"/>
        </w:rPr>
        <w:t xml:space="preserve"> Community ownership: public land, community land trusts, housing co-operatives and retained equity so savings are not captured by speculative landlords.</w:t>
      </w:r>
    </w:p>
    <w:p>
      <w:pPr>
        <w:pStyle w:val="Heading1"/>
        <w:keepNext/>
        <w:widowControl/>
      </w:pPr>
      <w:r>
        <w:t>12. What success would look like</w:t>
      </w:r>
    </w:p>
    <w:p>
      <w:pPr>
        <w:widowControl/>
      </w:pPr>
      <w:r>
        <w:rPr>
          <w:rFonts w:ascii="Calibri" w:hAnsi="Calibri"/>
        </w:rPr>
        <w:t>Success is not the number of boxes ordered. It is a measurable reduction in homelessness and living costs without creating unsafe, isolated or disposable communities. The programme should be judged against outcomes published quarterly:</w:t>
      </w:r>
    </w:p>
    <w:p>
      <w:pPr>
        <w:pStyle w:val="ListBullet"/>
        <w:widowControl/>
      </w:pPr>
      <w:r>
        <w:rPr>
          <w:rFonts w:ascii="Calibri" w:hAnsi="Calibri"/>
        </w:rPr>
        <w:t xml:space="preserve"> households moved from temporary accommodation into secure homes;</w:t>
      </w:r>
    </w:p>
    <w:p>
      <w:pPr>
        <w:pStyle w:val="ListBullet"/>
        <w:widowControl/>
      </w:pPr>
      <w:r>
        <w:rPr>
          <w:rFonts w:ascii="Calibri" w:hAnsi="Calibri"/>
        </w:rPr>
        <w:t xml:space="preserve"> all-in capital cost and cost per resident-year;</w:t>
      </w:r>
    </w:p>
    <w:p>
      <w:pPr>
        <w:pStyle w:val="ListBullet"/>
        <w:widowControl/>
      </w:pPr>
      <w:r>
        <w:rPr>
          <w:rFonts w:ascii="Calibri" w:hAnsi="Calibri"/>
        </w:rPr>
        <w:t xml:space="preserve"> time from approved site to occupation, with planning time shown separately from physical installation;</w:t>
      </w:r>
    </w:p>
    <w:p>
      <w:pPr>
        <w:pStyle w:val="ListBullet"/>
        <w:widowControl/>
      </w:pPr>
      <w:r>
        <w:rPr>
          <w:rFonts w:ascii="Calibri" w:hAnsi="Calibri"/>
        </w:rPr>
        <w:t xml:space="preserve"> defect, fire-safety, moisture, overheating and indoor-air-quality performance;</w:t>
      </w:r>
    </w:p>
    <w:p>
      <w:pPr>
        <w:pStyle w:val="ListBullet"/>
        <w:widowControl/>
      </w:pPr>
      <w:r>
        <w:rPr>
          <w:rFonts w:ascii="Calibri" w:hAnsi="Calibri"/>
        </w:rPr>
        <w:t xml:space="preserve"> resident energy bills and transport costs;</w:t>
      </w:r>
    </w:p>
    <w:p>
      <w:pPr>
        <w:pStyle w:val="ListBullet"/>
        <w:widowControl/>
      </w:pPr>
      <w:r>
        <w:rPr>
          <w:rFonts w:ascii="Calibri" w:hAnsi="Calibri"/>
        </w:rPr>
        <w:t xml:space="preserve"> resident satisfaction, health, school continuity and tenancy retention;</w:t>
      </w:r>
    </w:p>
    <w:p>
      <w:pPr>
        <w:pStyle w:val="ListBullet"/>
        <w:widowControl/>
      </w:pPr>
      <w:r>
        <w:rPr>
          <w:rFonts w:ascii="Calibri" w:hAnsi="Calibri"/>
        </w:rPr>
        <w:t xml:space="preserve"> UK jobs, training, repair capacity and domestic value added;</w:t>
      </w:r>
    </w:p>
    <w:p>
      <w:pPr>
        <w:pStyle w:val="ListBullet"/>
        <w:widowControl/>
      </w:pPr>
      <w:r>
        <w:rPr>
          <w:rFonts w:ascii="Calibri" w:hAnsi="Calibri"/>
        </w:rPr>
        <w:t xml:space="preserve"> embodied carbon, operational carbon, waste recovery and biodiversity impact; and</w:t>
      </w:r>
    </w:p>
    <w:p>
      <w:pPr>
        <w:pStyle w:val="ListBullet"/>
        <w:widowControl/>
      </w:pPr>
      <w:r>
        <w:rPr>
          <w:rFonts w:ascii="Calibri" w:hAnsi="Calibri"/>
        </w:rPr>
        <w:t xml:space="preserve"> supplier concentration, data security and continuity of spares and software.</w:t>
      </w:r>
    </w:p>
    <w:p>
      <w:pPr>
        <w:pStyle w:val="Heading1"/>
        <w:keepNext/>
        <w:widowControl/>
      </w:pPr>
      <w:r>
        <w:t>Conclusion</w:t>
      </w:r>
    </w:p>
    <w:p>
      <w:pPr>
        <w:widowControl/>
      </w:pPr>
      <w:r>
        <w:rPr>
          <w:rFonts w:ascii="Calibri" w:hAnsi="Calibri"/>
        </w:rPr>
        <w:t>China is not a saviour, and Britain does not need one. What China has created is a vast manufacturing capability that can make low-carbon technologies cheaper, faster and more widely available. Refusing to use that capability because it emerged in a strategic competitor would not protect poor people or the climate. Accepting it without rules would be equally irresponsible.</w:t>
      </w:r>
    </w:p>
    <w:p>
      <w:pPr>
        <w:widowControl/>
      </w:pPr>
      <w:r>
        <w:rPr>
          <w:rFonts w:ascii="Calibri" w:hAnsi="Calibri"/>
        </w:rPr>
        <w:t>The mature position is cooperation under public control. Britain can import certified units now, assemble and repair them here, build joint ventures, diversify supply, enforce universal labour and environmental conditions, and direct the savings toward people currently paying the highest price for scarcity. It can treat homes, mobility and clean energy as essential infrastructure rather than luxury markets.</w:t>
      </w:r>
    </w:p>
    <w:p>
      <w:pPr>
        <w:widowControl/>
      </w:pPr>
      <w:r>
        <w:rPr>
          <w:rFonts w:ascii="Calibri" w:hAnsi="Calibri"/>
        </w:rPr>
        <w:t>The deepest principle is moral as well as economic: climate change, pollution, habitat destruction and cruelty cross borders. So do knowledge, manufacturing and the capacity to help. National interest is not served by keeping useful solutions out. It is served by bringing them in on fair terms and making sure the first beneficiaries are the people who have been blamed, excluded and overcharged for the longest.</w:t>
      </w:r>
    </w:p>
    <w:p>
      <w:pPr>
        <w:shd w:fill="E9F3F1"/>
        <w:widowControl/>
        <w:pBdr>
          <w:top w:val="single" w:sz="4" w:space="5" w:color="E9F3F1"/>
          <w:left w:val="single" w:sz="4" w:space="5" w:color="E9F3F1"/>
          <w:bottom w:val="single" w:sz="4" w:space="5" w:color="E9F3F1"/>
          <w:right w:val="single" w:sz="4" w:space="5" w:color="E9F3F1"/>
        </w:pBdr>
        <w:spacing w:before="100" w:after="100"/>
      </w:pPr>
      <w:r>
        <w:rPr>
          <w:rFonts w:ascii="Calibri" w:hAnsi="Calibri"/>
          <w:b/>
          <w:color w:val="17365D"/>
          <w:sz w:val="21"/>
        </w:rPr>
        <w:t xml:space="preserve">Final proposition: </w:t>
      </w:r>
      <w:r>
        <w:rPr>
          <w:rFonts w:ascii="Calibri" w:hAnsi="Calibri"/>
          <w:color w:val="20252B"/>
          <w:sz w:val="21"/>
        </w:rPr>
        <w:t>If Britain can deploy high-cost megaprojects over decades, it can deploy safe homes and low-cost clean mobility in months and years. The limiting resource is not technology. It is the political decision to make security and decarbonisation available to everyone.</w:t>
      </w:r>
    </w:p>
    <w:p>
      <w:pPr>
        <w:widowControl/>
        <w:spacing w:after="40"/>
      </w:pPr>
    </w:p>
    <w:p>
      <w:pPr>
        <w:pStyle w:val="Heading1"/>
        <w:keepNext/>
        <w:widowControl/>
      </w:pPr>
      <w:r>
        <w:t>Appendix A — Minimum specification for a two-bedroom platform home</w:t>
      </w:r>
    </w:p>
    <w:tbl>
      <w:tblPr>
        <w:tblStyle w:val="TableGrid"/>
        <w:tblW w:type="dxa" w:w="9360"/>
        <w:jc w:val="center"/>
        <w:tblLayout w:type="fixed"/>
        <w:tblLook w:firstColumn="1" w:firstRow="1" w:lastColumn="0" w:lastRow="0" w:noHBand="0" w:noVBand="1" w:val="04A0"/>
        <w:tblInd w:w="120" w:type="dxa"/>
      </w:tblPr>
      <w:tblGrid>
        <w:gridCol w:w="1900"/>
        <w:gridCol w:w="7460"/>
      </w:tblGrid>
      <w:tr>
        <w:trPr>
          <w:tblHeader w:val="true"/>
          <w:cantSplit/>
        </w:trPr>
        <w:tc>
          <w:tcPr>
            <w:tcW w:type="dxa" w:w="1900"/>
            <w:tcMar>
              <w:top w:w="80" w:type="dxa"/>
              <w:start w:w="120" w:type="dxa"/>
              <w:bottom w:w="80" w:type="dxa"/>
              <w:end w:w="120" w:type="dxa"/>
            </w:tcMar>
            <w:vAlign w:val="center"/>
            <w:shd w:fill="F4F6F9"/>
          </w:tcPr>
          <w:p>
            <w:pPr>
              <w:spacing w:after="0"/>
              <w:jc w:val="left"/>
            </w:pPr>
            <w:r>
              <w:rPr>
                <w:rFonts w:ascii="Calibri" w:hAnsi="Calibri"/>
                <w:b/>
                <w:color w:val="17365D"/>
                <w:sz w:val="17"/>
              </w:rPr>
              <w:t>Domain</w:t>
            </w:r>
          </w:p>
        </w:tc>
        <w:tc>
          <w:tcPr>
            <w:tcW w:type="dxa" w:w="7460"/>
            <w:tcMar>
              <w:top w:w="80" w:type="dxa"/>
              <w:start w:w="120" w:type="dxa"/>
              <w:bottom w:w="80" w:type="dxa"/>
              <w:end w:w="120" w:type="dxa"/>
            </w:tcMar>
            <w:vAlign w:val="center"/>
            <w:shd w:fill="F4F6F9"/>
          </w:tcPr>
          <w:p>
            <w:pPr>
              <w:spacing w:after="0"/>
              <w:jc w:val="left"/>
            </w:pPr>
            <w:r>
              <w:rPr>
                <w:rFonts w:ascii="Calibri" w:hAnsi="Calibri"/>
                <w:b/>
                <w:color w:val="17365D"/>
                <w:sz w:val="17"/>
              </w:rPr>
              <w:t>Minimum procurement requirement</w:t>
            </w:r>
          </w:p>
        </w:tc>
      </w:tr>
      <w:tr>
        <w:trPr>
          <w:cantSplit/>
        </w:trPr>
        <w:tc>
          <w:tcPr>
            <w:tcW w:type="dxa" w:w="1900"/>
            <w:tcMar>
              <w:top w:w="80" w:type="dxa"/>
              <w:start w:w="120" w:type="dxa"/>
              <w:bottom w:w="80" w:type="dxa"/>
              <w:end w:w="120" w:type="dxa"/>
            </w:tcMar>
            <w:vAlign w:val="center"/>
          </w:tcPr>
          <w:p>
            <w:pPr>
              <w:spacing w:after="0" w:line="252" w:lineRule="auto"/>
            </w:pPr>
            <w:r>
              <w:rPr>
                <w:rFonts w:ascii="Calibri" w:hAnsi="Calibri"/>
                <w:color w:val="20252B"/>
                <w:sz w:val="17"/>
              </w:rPr>
              <w:t>Legal and structural</w:t>
            </w:r>
          </w:p>
        </w:tc>
        <w:tc>
          <w:tcPr>
            <w:tcW w:type="dxa" w:w="7460"/>
            <w:tcMar>
              <w:top w:w="80" w:type="dxa"/>
              <w:start w:w="120" w:type="dxa"/>
              <w:bottom w:w="80" w:type="dxa"/>
              <w:end w:w="120" w:type="dxa"/>
            </w:tcMar>
            <w:vAlign w:val="center"/>
          </w:tcPr>
          <w:p>
            <w:pPr>
              <w:spacing w:after="0" w:line="252" w:lineRule="auto"/>
            </w:pPr>
            <w:r>
              <w:rPr>
                <w:rFonts w:ascii="Calibri" w:hAnsi="Calibri"/>
                <w:color w:val="20252B"/>
                <w:sz w:val="17"/>
              </w:rPr>
              <w:t>Full compliance with applicable UK planning, Building Regulations and product requirements; design life and structural assumptions independently certified.</w:t>
            </w:r>
          </w:p>
        </w:tc>
      </w:tr>
      <w:tr>
        <w:trPr>
          <w:cantSplit/>
        </w:trPr>
        <w:tc>
          <w:tcPr>
            <w:tcW w:type="dxa" w:w="1900"/>
            <w:tcMar>
              <w:top w:w="80" w:type="dxa"/>
              <w:start w:w="120" w:type="dxa"/>
              <w:bottom w:w="80" w:type="dxa"/>
              <w:end w:w="120" w:type="dxa"/>
            </w:tcMar>
            <w:vAlign w:val="center"/>
          </w:tcPr>
          <w:p>
            <w:pPr>
              <w:spacing w:after="0" w:line="252" w:lineRule="auto"/>
            </w:pPr>
            <w:r>
              <w:rPr>
                <w:rFonts w:ascii="Calibri" w:hAnsi="Calibri"/>
                <w:color w:val="20252B"/>
                <w:sz w:val="17"/>
              </w:rPr>
              <w:t>Fire</w:t>
            </w:r>
          </w:p>
        </w:tc>
        <w:tc>
          <w:tcPr>
            <w:tcW w:type="dxa" w:w="7460"/>
            <w:tcMar>
              <w:top w:w="80" w:type="dxa"/>
              <w:start w:w="120" w:type="dxa"/>
              <w:bottom w:w="80" w:type="dxa"/>
              <w:end w:w="120" w:type="dxa"/>
            </w:tcMar>
            <w:vAlign w:val="center"/>
          </w:tcPr>
          <w:p>
            <w:pPr>
              <w:spacing w:after="0" w:line="252" w:lineRule="auto"/>
            </w:pPr>
            <w:r>
              <w:rPr>
                <w:rFonts w:ascii="Calibri" w:hAnsi="Calibri"/>
                <w:color w:val="20252B"/>
                <w:sz w:val="17"/>
              </w:rPr>
              <w:t>Tested wall, floor, roof and cavity system; protected escape route; alarms; external-fire-spread assessment; no undocumented material substitution.</w:t>
            </w:r>
          </w:p>
        </w:tc>
      </w:tr>
      <w:tr>
        <w:trPr>
          <w:cantSplit/>
        </w:trPr>
        <w:tc>
          <w:tcPr>
            <w:tcW w:type="dxa" w:w="1900"/>
            <w:tcMar>
              <w:top w:w="80" w:type="dxa"/>
              <w:start w:w="120" w:type="dxa"/>
              <w:bottom w:w="80" w:type="dxa"/>
              <w:end w:w="120" w:type="dxa"/>
            </w:tcMar>
            <w:vAlign w:val="center"/>
          </w:tcPr>
          <w:p>
            <w:pPr>
              <w:spacing w:after="0" w:line="252" w:lineRule="auto"/>
            </w:pPr>
            <w:r>
              <w:rPr>
                <w:rFonts w:ascii="Calibri" w:hAnsi="Calibri"/>
                <w:color w:val="20252B"/>
                <w:sz w:val="17"/>
              </w:rPr>
              <w:t>Energy and comfort</w:t>
            </w:r>
          </w:p>
        </w:tc>
        <w:tc>
          <w:tcPr>
            <w:tcW w:type="dxa" w:w="7460"/>
            <w:tcMar>
              <w:top w:w="80" w:type="dxa"/>
              <w:start w:w="120" w:type="dxa"/>
              <w:bottom w:w="80" w:type="dxa"/>
              <w:end w:w="120" w:type="dxa"/>
            </w:tcMar>
            <w:vAlign w:val="center"/>
          </w:tcPr>
          <w:p>
            <w:pPr>
              <w:spacing w:after="0" w:line="252" w:lineRule="auto"/>
            </w:pPr>
            <w:r>
              <w:rPr>
                <w:rFonts w:ascii="Calibri" w:hAnsi="Calibri"/>
                <w:color w:val="20252B"/>
                <w:sz w:val="17"/>
              </w:rPr>
              <w:t>High-performance fabric; verified airtightness; controlled ventilation; heat pump; overheating analysis; simple local controls; low standby demand.</w:t>
            </w:r>
          </w:p>
        </w:tc>
      </w:tr>
      <w:tr>
        <w:trPr>
          <w:cantSplit/>
        </w:trPr>
        <w:tc>
          <w:tcPr>
            <w:tcW w:type="dxa" w:w="1900"/>
            <w:tcMar>
              <w:top w:w="80" w:type="dxa"/>
              <w:start w:w="120" w:type="dxa"/>
              <w:bottom w:w="80" w:type="dxa"/>
              <w:end w:w="120" w:type="dxa"/>
            </w:tcMar>
            <w:vAlign w:val="center"/>
          </w:tcPr>
          <w:p>
            <w:pPr>
              <w:spacing w:after="0" w:line="252" w:lineRule="auto"/>
            </w:pPr>
            <w:r>
              <w:rPr>
                <w:rFonts w:ascii="Calibri" w:hAnsi="Calibri"/>
                <w:color w:val="20252B"/>
                <w:sz w:val="17"/>
              </w:rPr>
              <w:t>Moisture and air</w:t>
            </w:r>
          </w:p>
        </w:tc>
        <w:tc>
          <w:tcPr>
            <w:tcW w:type="dxa" w:w="7460"/>
            <w:tcMar>
              <w:top w:w="80" w:type="dxa"/>
              <w:start w:w="120" w:type="dxa"/>
              <w:bottom w:w="80" w:type="dxa"/>
              <w:end w:w="120" w:type="dxa"/>
            </w:tcMar>
            <w:vAlign w:val="center"/>
          </w:tcPr>
          <w:p>
            <w:pPr>
              <w:spacing w:after="0" w:line="252" w:lineRule="auto"/>
            </w:pPr>
            <w:r>
              <w:rPr>
                <w:rFonts w:ascii="Calibri" w:hAnsi="Calibri"/>
                <w:color w:val="20252B"/>
                <w:sz w:val="17"/>
              </w:rPr>
              <w:t>Condensation-risk modelling; drainage and junction details; extract ventilation; low-emission finishes; post-completion indoor-air-quality testing.</w:t>
            </w:r>
          </w:p>
        </w:tc>
      </w:tr>
      <w:tr>
        <w:trPr>
          <w:cantSplit/>
        </w:trPr>
        <w:tc>
          <w:tcPr>
            <w:tcW w:type="dxa" w:w="1900"/>
            <w:tcMar>
              <w:top w:w="80" w:type="dxa"/>
              <w:start w:w="120" w:type="dxa"/>
              <w:bottom w:w="80" w:type="dxa"/>
              <w:end w:w="120" w:type="dxa"/>
            </w:tcMar>
            <w:vAlign w:val="center"/>
          </w:tcPr>
          <w:p>
            <w:pPr>
              <w:spacing w:after="0" w:line="252" w:lineRule="auto"/>
            </w:pPr>
            <w:r>
              <w:rPr>
                <w:rFonts w:ascii="Calibri" w:hAnsi="Calibri"/>
                <w:color w:val="20252B"/>
                <w:sz w:val="17"/>
              </w:rPr>
              <w:t>Acoustics</w:t>
            </w:r>
          </w:p>
        </w:tc>
        <w:tc>
          <w:tcPr>
            <w:tcW w:type="dxa" w:w="7460"/>
            <w:tcMar>
              <w:top w:w="80" w:type="dxa"/>
              <w:start w:w="120" w:type="dxa"/>
              <w:bottom w:w="80" w:type="dxa"/>
              <w:end w:w="120" w:type="dxa"/>
            </w:tcMar>
            <w:vAlign w:val="center"/>
          </w:tcPr>
          <w:p>
            <w:pPr>
              <w:spacing w:after="0" w:line="252" w:lineRule="auto"/>
            </w:pPr>
            <w:r>
              <w:rPr>
                <w:rFonts w:ascii="Calibri" w:hAnsi="Calibri"/>
                <w:color w:val="20252B"/>
                <w:sz w:val="17"/>
              </w:rPr>
              <w:t>Performance above minimum where sites are near roads; bedroom privacy; quiet mechanical systems; site layouts that reduce traffic noise.</w:t>
            </w:r>
          </w:p>
        </w:tc>
      </w:tr>
      <w:tr>
        <w:trPr>
          <w:cantSplit/>
        </w:trPr>
        <w:tc>
          <w:tcPr>
            <w:tcW w:type="dxa" w:w="1900"/>
            <w:tcMar>
              <w:top w:w="80" w:type="dxa"/>
              <w:start w:w="120" w:type="dxa"/>
              <w:bottom w:w="80" w:type="dxa"/>
              <w:end w:w="120" w:type="dxa"/>
            </w:tcMar>
            <w:vAlign w:val="center"/>
          </w:tcPr>
          <w:p>
            <w:pPr>
              <w:spacing w:after="0" w:line="252" w:lineRule="auto"/>
            </w:pPr>
            <w:r>
              <w:rPr>
                <w:rFonts w:ascii="Calibri" w:hAnsi="Calibri"/>
                <w:color w:val="20252B"/>
                <w:sz w:val="17"/>
              </w:rPr>
              <w:t>Accessibility</w:t>
            </w:r>
          </w:p>
        </w:tc>
        <w:tc>
          <w:tcPr>
            <w:tcW w:type="dxa" w:w="7460"/>
            <w:tcMar>
              <w:top w:w="80" w:type="dxa"/>
              <w:start w:w="120" w:type="dxa"/>
              <w:bottom w:w="80" w:type="dxa"/>
              <w:end w:w="120" w:type="dxa"/>
            </w:tcMar>
            <w:vAlign w:val="center"/>
          </w:tcPr>
          <w:p>
            <w:pPr>
              <w:spacing w:after="0" w:line="252" w:lineRule="auto"/>
            </w:pPr>
            <w:r>
              <w:rPr>
                <w:rFonts w:ascii="Calibri" w:hAnsi="Calibri"/>
                <w:color w:val="20252B"/>
                <w:sz w:val="17"/>
              </w:rPr>
              <w:t>Step-free variant; adaptable bathroom and kitchen; reinforcement for future aids; reachable controls; sensory-aware lighting and alarms.</w:t>
            </w:r>
          </w:p>
        </w:tc>
      </w:tr>
      <w:tr>
        <w:trPr>
          <w:cantSplit/>
        </w:trPr>
        <w:tc>
          <w:tcPr>
            <w:tcW w:type="dxa" w:w="1900"/>
            <w:tcMar>
              <w:top w:w="80" w:type="dxa"/>
              <w:start w:w="120" w:type="dxa"/>
              <w:bottom w:w="80" w:type="dxa"/>
              <w:end w:w="120" w:type="dxa"/>
            </w:tcMar>
            <w:vAlign w:val="center"/>
          </w:tcPr>
          <w:p>
            <w:pPr>
              <w:spacing w:after="0" w:line="252" w:lineRule="auto"/>
            </w:pPr>
            <w:r>
              <w:rPr>
                <w:rFonts w:ascii="Calibri" w:hAnsi="Calibri"/>
                <w:color w:val="20252B"/>
                <w:sz w:val="17"/>
              </w:rPr>
              <w:t>Repair and life cycle</w:t>
            </w:r>
          </w:p>
        </w:tc>
        <w:tc>
          <w:tcPr>
            <w:tcW w:type="dxa" w:w="7460"/>
            <w:tcMar>
              <w:top w:w="80" w:type="dxa"/>
              <w:start w:w="120" w:type="dxa"/>
              <w:bottom w:w="80" w:type="dxa"/>
              <w:end w:w="120" w:type="dxa"/>
            </w:tcMar>
            <w:vAlign w:val="center"/>
          </w:tcPr>
          <w:p>
            <w:pPr>
              <w:spacing w:after="0" w:line="252" w:lineRule="auto"/>
            </w:pPr>
            <w:r>
              <w:rPr>
                <w:rFonts w:ascii="Calibri" w:hAnsi="Calibri"/>
                <w:color w:val="20252B"/>
                <w:sz w:val="17"/>
              </w:rPr>
              <w:t>Replaceable panels and services; standard fasteners and connectors; manuals; diagnostic access; spare-parts commitment; take-back plan.</w:t>
            </w:r>
          </w:p>
        </w:tc>
      </w:tr>
      <w:tr>
        <w:trPr>
          <w:cantSplit/>
        </w:trPr>
        <w:tc>
          <w:tcPr>
            <w:tcW w:type="dxa" w:w="1900"/>
            <w:tcMar>
              <w:top w:w="80" w:type="dxa"/>
              <w:start w:w="120" w:type="dxa"/>
              <w:bottom w:w="80" w:type="dxa"/>
              <w:end w:w="120" w:type="dxa"/>
            </w:tcMar>
            <w:vAlign w:val="center"/>
          </w:tcPr>
          <w:p>
            <w:pPr>
              <w:spacing w:after="0" w:line="252" w:lineRule="auto"/>
            </w:pPr>
            <w:r>
              <w:rPr>
                <w:rFonts w:ascii="Calibri" w:hAnsi="Calibri"/>
                <w:color w:val="20252B"/>
                <w:sz w:val="17"/>
              </w:rPr>
              <w:t>Data and security</w:t>
            </w:r>
          </w:p>
        </w:tc>
        <w:tc>
          <w:tcPr>
            <w:tcW w:type="dxa" w:w="7460"/>
            <w:tcMar>
              <w:top w:w="80" w:type="dxa"/>
              <w:start w:w="120" w:type="dxa"/>
              <w:bottom w:w="80" w:type="dxa"/>
              <w:end w:w="120" w:type="dxa"/>
            </w:tcMar>
            <w:vAlign w:val="center"/>
          </w:tcPr>
          <w:p>
            <w:pPr>
              <w:spacing w:after="0" w:line="252" w:lineRule="auto"/>
            </w:pPr>
            <w:r>
              <w:rPr>
                <w:rFonts w:ascii="Calibri" w:hAnsi="Calibri"/>
                <w:color w:val="20252B"/>
                <w:sz w:val="17"/>
              </w:rPr>
              <w:t>Offline essential operation; UK-hosting option; no unnecessary telemetry; signed updates; published support period; resident control of data.</w:t>
            </w:r>
          </w:p>
        </w:tc>
      </w:tr>
      <w:tr>
        <w:trPr>
          <w:cantSplit/>
        </w:trPr>
        <w:tc>
          <w:tcPr>
            <w:tcW w:type="dxa" w:w="1900"/>
            <w:tcMar>
              <w:top w:w="80" w:type="dxa"/>
              <w:start w:w="120" w:type="dxa"/>
              <w:bottom w:w="80" w:type="dxa"/>
              <w:end w:w="120" w:type="dxa"/>
            </w:tcMar>
            <w:vAlign w:val="center"/>
          </w:tcPr>
          <w:p>
            <w:pPr>
              <w:spacing w:after="0" w:line="252" w:lineRule="auto"/>
            </w:pPr>
            <w:r>
              <w:rPr>
                <w:rFonts w:ascii="Calibri" w:hAnsi="Calibri"/>
                <w:color w:val="20252B"/>
                <w:sz w:val="17"/>
              </w:rPr>
              <w:t>Resident dignity</w:t>
            </w:r>
          </w:p>
        </w:tc>
        <w:tc>
          <w:tcPr>
            <w:tcW w:type="dxa" w:w="7460"/>
            <w:tcMar>
              <w:top w:w="80" w:type="dxa"/>
              <w:start w:w="120" w:type="dxa"/>
              <w:bottom w:w="80" w:type="dxa"/>
              <w:end w:w="120" w:type="dxa"/>
            </w:tcMar>
            <w:vAlign w:val="center"/>
          </w:tcPr>
          <w:p>
            <w:pPr>
              <w:spacing w:after="0" w:line="252" w:lineRule="auto"/>
            </w:pPr>
            <w:r>
              <w:rPr>
                <w:rFonts w:ascii="Calibri" w:hAnsi="Calibri"/>
                <w:color w:val="20252B"/>
                <w:sz w:val="17"/>
              </w:rPr>
              <w:t>Two genuine bedrooms, storage, daylight, safe cooking, laundry provision, postal address, broadband and secure long-term tenure.</w:t>
            </w:r>
          </w:p>
        </w:tc>
      </w:tr>
    </w:tbl>
    <w:p>
      <w:pPr>
        <w:pStyle w:val="Heading1"/>
        <w:keepNext/>
        <w:widowControl/>
      </w:pPr>
      <w:r>
        <w:t>Appendix B — Cost-model interpretation</w:t>
      </w:r>
    </w:p>
    <w:p>
      <w:pPr>
        <w:widowControl/>
      </w:pPr>
      <w:r>
        <w:rPr>
          <w:rFonts w:ascii="Calibri" w:hAnsi="Calibri"/>
        </w:rPr>
        <w:t>The £60,000, £90,000 and £120,000 figures are scenarios, not supplier quotations. They are intended to prevent a common analytical error: comparing a factory listing with the complete cost of a UK home. A proper pilot should publish the following cost stack for every design:</w:t>
      </w:r>
    </w:p>
    <w:p>
      <w:pPr>
        <w:pStyle w:val="ListBullet"/>
        <w:widowControl/>
      </w:pPr>
      <w:r>
        <w:rPr>
          <w:rFonts w:ascii="Calibri" w:hAnsi="Calibri"/>
        </w:rPr>
        <w:t xml:space="preserve"> factory unit or kit; options and fit-out;</w:t>
      </w:r>
    </w:p>
    <w:p>
      <w:pPr>
        <w:pStyle w:val="ListBullet"/>
        <w:widowControl/>
      </w:pPr>
      <w:r>
        <w:rPr>
          <w:rFonts w:ascii="Calibri" w:hAnsi="Calibri"/>
        </w:rPr>
        <w:t xml:space="preserve"> inspection, certification and prototype testing;</w:t>
      </w:r>
    </w:p>
    <w:p>
      <w:pPr>
        <w:pStyle w:val="ListBullet"/>
        <w:widowControl/>
      </w:pPr>
      <w:r>
        <w:rPr>
          <w:rFonts w:ascii="Calibri" w:hAnsi="Calibri"/>
        </w:rPr>
        <w:t xml:space="preserve"> international freight, port handling, customs duty and VAT where applicable;</w:t>
      </w:r>
    </w:p>
    <w:p>
      <w:pPr>
        <w:pStyle w:val="ListBullet"/>
        <w:widowControl/>
      </w:pPr>
      <w:r>
        <w:rPr>
          <w:rFonts w:ascii="Calibri" w:hAnsi="Calibri"/>
        </w:rPr>
        <w:t xml:space="preserve"> domestic transport and cranage;</w:t>
      </w:r>
    </w:p>
    <w:p>
      <w:pPr>
        <w:pStyle w:val="ListBullet"/>
        <w:widowControl/>
      </w:pPr>
      <w:r>
        <w:rPr>
          <w:rFonts w:ascii="Calibri" w:hAnsi="Calibri"/>
        </w:rPr>
        <w:t xml:space="preserve"> foundations, drainage and site preparation;</w:t>
      </w:r>
    </w:p>
    <w:p>
      <w:pPr>
        <w:pStyle w:val="ListBullet"/>
        <w:widowControl/>
      </w:pPr>
      <w:r>
        <w:rPr>
          <w:rFonts w:ascii="Calibri" w:hAnsi="Calibri"/>
        </w:rPr>
        <w:t xml:space="preserve"> water, sewage, electricity, communications and fire access;</w:t>
      </w:r>
    </w:p>
    <w:p>
      <w:pPr>
        <w:pStyle w:val="ListBullet"/>
        <w:widowControl/>
      </w:pPr>
      <w:r>
        <w:rPr>
          <w:rFonts w:ascii="Calibri" w:hAnsi="Calibri"/>
        </w:rPr>
        <w:t xml:space="preserve"> professional fees, planning, warranties and insurance;</w:t>
      </w:r>
    </w:p>
    <w:p>
      <w:pPr>
        <w:pStyle w:val="ListBullet"/>
        <w:widowControl/>
      </w:pPr>
      <w:r>
        <w:rPr>
          <w:rFonts w:ascii="Calibri" w:hAnsi="Calibri"/>
        </w:rPr>
        <w:t xml:space="preserve"> land, remediation and finance shown separately; and</w:t>
      </w:r>
    </w:p>
    <w:p>
      <w:pPr>
        <w:pStyle w:val="ListBullet"/>
        <w:widowControl/>
      </w:pPr>
      <w:r>
        <w:rPr>
          <w:rFonts w:ascii="Calibri" w:hAnsi="Calibri"/>
        </w:rPr>
        <w:t xml:space="preserve"> contingency, maintenance, management and end-of-life recovery.</w:t>
      </w:r>
    </w:p>
    <w:p>
      <w:pPr>
        <w:widowControl/>
      </w:pPr>
      <w:r>
        <w:rPr>
          <w:rFonts w:ascii="Calibri" w:hAnsi="Calibri"/>
        </w:rPr>
        <w:t>The model also assumes one dwelling for each household in temporary accommodation. It does not estimate the total number of dwellings required to end all forms of homelessness, overcrowding or housing insecurity across the UK. The cited homelessness figure covers England; Scotland, Wales and Northern Ireland require separate datasets and programme design.</w:t>
      </w:r>
    </w:p>
    <w:p>
      <w:pPr>
        <w:pStyle w:val="Heading1"/>
        <w:keepNext/>
        <w:widowControl/>
      </w:pPr>
      <w:r>
        <w:t>References</w:t>
      </w:r>
    </w:p>
    <w:p>
      <w:pPr>
        <w:widowControl/>
        <w:numPr>
          <w:ilvl w:val="0"/>
          <w:numId w:val="11"/>
        </w:numPr>
        <w:pStyle w:val="ListNumber"/>
        <w:ind w:left="547" w:hanging="288"/>
        <w:jc w:val="left"/>
      </w:pPr>
      <w:r>
        <w:rPr>
          <w:rFonts w:ascii="Calibri" w:hAnsi="Calibri"/>
          <w:sz w:val="18"/>
        </w:rPr>
        <w:t xml:space="preserve">International Energy Agency (IEA), Global EV Outlook 2026: Executive summary. </w:t>
      </w:r>
      <w:hyperlink r:id="rId12">
        <w:r>
          <w:rPr>
            <w:rFonts w:ascii="Calibri" w:hAnsi="Calibri"/>
            <w:color w:val="2E74B5"/>
            <w:sz w:val="17"/>
            <w:szCs w:val="17"/>
            <w:u w:val="single"/>
          </w:rPr>
          <w:t>https://www.iea.org/reports/global-ev-outlook-2026/executive-summary</w:t>
        </w:r>
      </w:hyperlink>
    </w:p>
    <w:p>
      <w:pPr>
        <w:widowControl/>
        <w:numPr>
          <w:ilvl w:val="0"/>
          <w:numId w:val="11"/>
        </w:numPr>
        <w:pStyle w:val="ListNumber"/>
        <w:ind w:left="547" w:hanging="288"/>
        <w:jc w:val="left"/>
      </w:pPr>
      <w:r>
        <w:rPr>
          <w:rFonts w:ascii="Calibri" w:hAnsi="Calibri"/>
          <w:sz w:val="18"/>
        </w:rPr>
        <w:t xml:space="preserve">IEA, Global EV Outlook 2026: Electric vehicle batteries. </w:t>
      </w:r>
      <w:hyperlink r:id="rId13">
        <w:r>
          <w:rPr>
            <w:rFonts w:ascii="Calibri" w:hAnsi="Calibri"/>
            <w:color w:val="2E74B5"/>
            <w:sz w:val="17"/>
            <w:szCs w:val="17"/>
            <w:u w:val="single"/>
          </w:rPr>
          <w:t>https://www.iea.org/reports/global-ev-outlook-2026/electric-vehicle-batteries</w:t>
        </w:r>
      </w:hyperlink>
    </w:p>
    <w:p>
      <w:pPr>
        <w:widowControl/>
        <w:numPr>
          <w:ilvl w:val="0"/>
          <w:numId w:val="11"/>
        </w:numPr>
        <w:pStyle w:val="ListNumber"/>
        <w:ind w:left="547" w:hanging="288"/>
        <w:jc w:val="left"/>
      </w:pPr>
      <w:r>
        <w:rPr>
          <w:rFonts w:ascii="Calibri" w:hAnsi="Calibri"/>
          <w:sz w:val="18"/>
        </w:rPr>
        <w:t xml:space="preserve">IEA, Global EV Outlook 2026: Manufacturing and trade. </w:t>
      </w:r>
      <w:hyperlink r:id="rId14">
        <w:r>
          <w:rPr>
            <w:rFonts w:ascii="Calibri" w:hAnsi="Calibri"/>
            <w:color w:val="2E74B5"/>
            <w:sz w:val="17"/>
            <w:szCs w:val="17"/>
            <w:u w:val="single"/>
          </w:rPr>
          <w:t>https://www.iea.org/reports/global-ev-outlook-2026/manufacturing-and-trade</w:t>
        </w:r>
      </w:hyperlink>
    </w:p>
    <w:p>
      <w:pPr>
        <w:widowControl/>
        <w:numPr>
          <w:ilvl w:val="0"/>
          <w:numId w:val="11"/>
        </w:numPr>
        <w:pStyle w:val="ListNumber"/>
        <w:ind w:left="547" w:hanging="288"/>
        <w:jc w:val="left"/>
      </w:pPr>
      <w:r>
        <w:rPr>
          <w:rFonts w:ascii="Calibri" w:hAnsi="Calibri"/>
          <w:sz w:val="18"/>
        </w:rPr>
        <w:t xml:space="preserve">International Renewable Energy Agency (IRENA), Renewable Capacity Highlights 2026. </w:t>
      </w:r>
      <w:hyperlink r:id="rId15">
        <w:r>
          <w:rPr>
            <w:rFonts w:ascii="Calibri" w:hAnsi="Calibri"/>
            <w:color w:val="2E74B5"/>
            <w:sz w:val="17"/>
            <w:szCs w:val="17"/>
            <w:u w:val="single"/>
          </w:rPr>
          <w:t>https://www.irena.org/-/media/Files/IRENA/Agency/Publication/2026/Mar/IRENA_DAT_RE_capacity_highlights_2026.pdf</w:t>
        </w:r>
      </w:hyperlink>
    </w:p>
    <w:p>
      <w:pPr>
        <w:widowControl/>
        <w:numPr>
          <w:ilvl w:val="0"/>
          <w:numId w:val="11"/>
        </w:numPr>
        <w:pStyle w:val="ListNumber"/>
        <w:ind w:left="547" w:hanging="288"/>
        <w:jc w:val="left"/>
      </w:pPr>
      <w:r>
        <w:rPr>
          <w:rFonts w:ascii="Calibri" w:hAnsi="Calibri"/>
          <w:sz w:val="18"/>
        </w:rPr>
        <w:t xml:space="preserve">IEA, Solar PV Global Supply Chains: Executive summary. </w:t>
      </w:r>
      <w:hyperlink r:id="rId16">
        <w:r>
          <w:rPr>
            <w:rFonts w:ascii="Calibri" w:hAnsi="Calibri"/>
            <w:color w:val="2E74B5"/>
            <w:sz w:val="17"/>
            <w:szCs w:val="17"/>
            <w:u w:val="single"/>
          </w:rPr>
          <w:t>https://www.iea.org/reports/solar-pv-global-supply-chains/executive-summary</w:t>
        </w:r>
      </w:hyperlink>
    </w:p>
    <w:p>
      <w:pPr>
        <w:widowControl/>
        <w:numPr>
          <w:ilvl w:val="0"/>
          <w:numId w:val="11"/>
        </w:numPr>
        <w:pStyle w:val="ListNumber"/>
        <w:ind w:left="547" w:hanging="288"/>
        <w:jc w:val="left"/>
      </w:pPr>
      <w:r>
        <w:rPr>
          <w:rFonts w:ascii="Calibri" w:hAnsi="Calibri"/>
          <w:sz w:val="18"/>
        </w:rPr>
        <w:t xml:space="preserve">IEA, World Energy Investment 2025: Executive summary. </w:t>
      </w:r>
      <w:hyperlink r:id="rId17">
        <w:r>
          <w:rPr>
            <w:rFonts w:ascii="Calibri" w:hAnsi="Calibri"/>
            <w:color w:val="2E74B5"/>
            <w:sz w:val="17"/>
            <w:szCs w:val="17"/>
            <w:u w:val="single"/>
          </w:rPr>
          <w:t>https://www.iea.org/reports/world-energy-investment-2025/executive-summary</w:t>
        </w:r>
      </w:hyperlink>
    </w:p>
    <w:p>
      <w:pPr>
        <w:widowControl/>
        <w:numPr>
          <w:ilvl w:val="0"/>
          <w:numId w:val="11"/>
        </w:numPr>
        <w:pStyle w:val="ListNumber"/>
        <w:ind w:left="547" w:hanging="288"/>
        <w:jc w:val="left"/>
      </w:pPr>
      <w:r>
        <w:rPr>
          <w:rFonts w:ascii="Calibri" w:hAnsi="Calibri"/>
          <w:sz w:val="18"/>
        </w:rPr>
        <w:t xml:space="preserve">Ministry of Housing, Communities and Local Government, Statutory homelessness in England: January to March 2026. </w:t>
      </w:r>
      <w:hyperlink r:id="rId18">
        <w:r>
          <w:rPr>
            <w:rFonts w:ascii="Calibri" w:hAnsi="Calibri"/>
            <w:color w:val="2E74B5"/>
            <w:sz w:val="17"/>
            <w:szCs w:val="17"/>
            <w:u w:val="single"/>
          </w:rPr>
          <w:t>https://www.gov.uk/government/statistics/statutory-homelessness-in-england-january-to-march-2026/statutory-homelessness-in-england-january-to-march-2026</w:t>
        </w:r>
      </w:hyperlink>
    </w:p>
    <w:p>
      <w:pPr>
        <w:widowControl/>
        <w:numPr>
          <w:ilvl w:val="0"/>
          <w:numId w:val="11"/>
        </w:numPr>
        <w:pStyle w:val="ListNumber"/>
        <w:ind w:left="547" w:hanging="288"/>
        <w:jc w:val="left"/>
      </w:pPr>
      <w:r>
        <w:rPr>
          <w:rFonts w:ascii="Calibri" w:hAnsi="Calibri"/>
          <w:sz w:val="18"/>
        </w:rPr>
        <w:t xml:space="preserve">UK Government, A National Plan to End Homelessness (2025). </w:t>
      </w:r>
      <w:hyperlink r:id="rId19">
        <w:r>
          <w:rPr>
            <w:rFonts w:ascii="Calibri" w:hAnsi="Calibri"/>
            <w:color w:val="2E74B5"/>
            <w:sz w:val="17"/>
            <w:szCs w:val="17"/>
            <w:u w:val="single"/>
          </w:rPr>
          <w:t>https://www.gov.uk/government/publications/a-national-plan-to-end-homelessness/a-national-plan-to-end-homelessness</w:t>
        </w:r>
      </w:hyperlink>
    </w:p>
    <w:p>
      <w:pPr>
        <w:widowControl/>
        <w:numPr>
          <w:ilvl w:val="0"/>
          <w:numId w:val="11"/>
        </w:numPr>
        <w:pStyle w:val="ListNumber"/>
        <w:ind w:left="547" w:hanging="288"/>
        <w:jc w:val="left"/>
      </w:pPr>
      <w:r>
        <w:rPr>
          <w:rFonts w:ascii="Calibri" w:hAnsi="Calibri"/>
          <w:sz w:val="18"/>
        </w:rPr>
        <w:t xml:space="preserve">House of Commons Housing, Communities and Local Government Committee, Housing Conditions in Temporary Accommodation (2026). </w:t>
      </w:r>
      <w:hyperlink r:id="rId20">
        <w:r>
          <w:rPr>
            <w:rFonts w:ascii="Calibri" w:hAnsi="Calibri"/>
            <w:color w:val="2E74B5"/>
            <w:sz w:val="17"/>
            <w:szCs w:val="17"/>
            <w:u w:val="single"/>
          </w:rPr>
          <w:t>https://publications.parliament.uk/pa/cm5901/cmselect/cmcomloc/1831/report.html</w:t>
        </w:r>
      </w:hyperlink>
    </w:p>
    <w:p>
      <w:pPr>
        <w:widowControl/>
        <w:numPr>
          <w:ilvl w:val="0"/>
          <w:numId w:val="11"/>
        </w:numPr>
        <w:pStyle w:val="ListNumber"/>
        <w:ind w:left="547" w:hanging="288"/>
        <w:jc w:val="left"/>
      </w:pPr>
      <w:r>
        <w:rPr>
          <w:rFonts w:ascii="Calibri" w:hAnsi="Calibri"/>
          <w:sz w:val="18"/>
        </w:rPr>
        <w:t xml:space="preserve">UK Government, Volumetric Modular Construction research. </w:t>
      </w:r>
      <w:hyperlink r:id="rId21">
        <w:r>
          <w:rPr>
            <w:rFonts w:ascii="Calibri" w:hAnsi="Calibri"/>
            <w:color w:val="2E74B5"/>
            <w:sz w:val="17"/>
            <w:szCs w:val="17"/>
            <w:u w:val="single"/>
          </w:rPr>
          <w:t>https://www.gov.uk/government/publications/volumetric-modular-construction-research/volumetric-modular-construction-research</w:t>
        </w:r>
      </w:hyperlink>
    </w:p>
    <w:p>
      <w:pPr>
        <w:widowControl/>
        <w:numPr>
          <w:ilvl w:val="0"/>
          <w:numId w:val="11"/>
        </w:numPr>
        <w:pStyle w:val="ListNumber"/>
        <w:ind w:left="547" w:hanging="288"/>
        <w:jc w:val="left"/>
      </w:pPr>
      <w:r>
        <w:rPr>
          <w:rFonts w:ascii="Calibri" w:hAnsi="Calibri"/>
          <w:sz w:val="18"/>
        </w:rPr>
        <w:t xml:space="preserve">UK Government, Building for 2050: Low cost, low carbon homes. </w:t>
      </w:r>
      <w:hyperlink r:id="rId22">
        <w:r>
          <w:rPr>
            <w:rFonts w:ascii="Calibri" w:hAnsi="Calibri"/>
            <w:color w:val="2E74B5"/>
            <w:sz w:val="17"/>
            <w:szCs w:val="17"/>
            <w:u w:val="single"/>
          </w:rPr>
          <w:t>https://www.gov.uk/government/publications/building-for-2050/building-for-2050-low-cost-low-carbon-homes</w:t>
        </w:r>
      </w:hyperlink>
    </w:p>
    <w:p>
      <w:pPr>
        <w:widowControl/>
        <w:numPr>
          <w:ilvl w:val="0"/>
          <w:numId w:val="11"/>
        </w:numPr>
        <w:pStyle w:val="ListNumber"/>
        <w:ind w:left="547" w:hanging="288"/>
        <w:jc w:val="left"/>
      </w:pPr>
      <w:r>
        <w:rPr>
          <w:rFonts w:ascii="Calibri" w:hAnsi="Calibri"/>
          <w:sz w:val="18"/>
        </w:rPr>
        <w:t xml:space="preserve">House of Commons Committee, Delivering 1.5 Million New Homes: Land Value Capture (2025). </w:t>
      </w:r>
      <w:hyperlink r:id="rId23">
        <w:r>
          <w:rPr>
            <w:rFonts w:ascii="Calibri" w:hAnsi="Calibri"/>
            <w:color w:val="2E74B5"/>
            <w:sz w:val="17"/>
            <w:szCs w:val="17"/>
            <w:u w:val="single"/>
          </w:rPr>
          <w:t>https://publications.parliament.uk/pa/cm5901/cmselect/cmcomloc/672/report.html</w:t>
        </w:r>
      </w:hyperlink>
    </w:p>
    <w:p>
      <w:pPr>
        <w:widowControl/>
        <w:numPr>
          <w:ilvl w:val="0"/>
          <w:numId w:val="11"/>
        </w:numPr>
        <w:pStyle w:val="ListNumber"/>
        <w:ind w:left="547" w:hanging="288"/>
        <w:jc w:val="left"/>
      </w:pPr>
      <w:r>
        <w:rPr>
          <w:rFonts w:ascii="Calibri" w:hAnsi="Calibri"/>
          <w:sz w:val="18"/>
        </w:rPr>
        <w:t xml:space="preserve">Alibaba marketplace, representative ready-made and two-bedroom prefabricated-house listings (accessed 20 August 2026). </w:t>
      </w:r>
      <w:hyperlink r:id="rId24">
        <w:r>
          <w:rPr>
            <w:rFonts w:ascii="Calibri" w:hAnsi="Calibri"/>
            <w:color w:val="2E74B5"/>
            <w:sz w:val="17"/>
            <w:szCs w:val="17"/>
            <w:u w:val="single"/>
          </w:rPr>
          <w:t>https://www.alibaba.com/countrysearch/CN/2-bedroom-portable-cabins.html</w:t>
        </w:r>
      </w:hyperlink>
    </w:p>
    <w:p>
      <w:pPr>
        <w:widowControl/>
        <w:numPr>
          <w:ilvl w:val="0"/>
          <w:numId w:val="11"/>
        </w:numPr>
        <w:pStyle w:val="ListNumber"/>
        <w:ind w:left="547" w:hanging="288"/>
        <w:jc w:val="left"/>
      </w:pPr>
      <w:r>
        <w:rPr>
          <w:rFonts w:ascii="Calibri" w:hAnsi="Calibri"/>
          <w:sz w:val="18"/>
        </w:rPr>
        <w:t xml:space="preserve">Alibaba marketplace, representative China camper-van listings (accessed 20 August 2026). </w:t>
      </w:r>
      <w:hyperlink r:id="rId25">
        <w:r>
          <w:rPr>
            <w:rFonts w:ascii="Calibri" w:hAnsi="Calibri"/>
            <w:color w:val="2E74B5"/>
            <w:sz w:val="17"/>
            <w:szCs w:val="17"/>
            <w:u w:val="single"/>
          </w:rPr>
          <w:t>https://www.alibaba.com/countrysearch/CN/china-camper-van.html</w:t>
        </w:r>
      </w:hyperlink>
    </w:p>
    <w:p>
      <w:pPr>
        <w:widowControl/>
        <w:numPr>
          <w:ilvl w:val="0"/>
          <w:numId w:val="11"/>
        </w:numPr>
        <w:pStyle w:val="ListNumber"/>
        <w:ind w:left="547" w:hanging="288"/>
        <w:jc w:val="left"/>
      </w:pPr>
      <w:r>
        <w:rPr>
          <w:rFonts w:ascii="Calibri" w:hAnsi="Calibri"/>
          <w:sz w:val="18"/>
        </w:rPr>
        <w:t xml:space="preserve">InsideEVs, “World’s Cheapest New Car Is Electric...” (2020), documenting a Changli factory purchase and delivered cost. </w:t>
      </w:r>
      <w:hyperlink r:id="rId26">
        <w:r>
          <w:rPr>
            <w:rFonts w:ascii="Calibri" w:hAnsi="Calibri"/>
            <w:color w:val="2E74B5"/>
            <w:sz w:val="17"/>
            <w:szCs w:val="17"/>
            <w:u w:val="single"/>
          </w:rPr>
          <w:t>https://insideevs.com/news/427175/cheapest-electric-car-china-930-us/</w:t>
        </w:r>
      </w:hyperlink>
    </w:p>
    <w:p>
      <w:pPr>
        <w:widowControl/>
        <w:numPr>
          <w:ilvl w:val="0"/>
          <w:numId w:val="11"/>
        </w:numPr>
        <w:pStyle w:val="ListNumber"/>
        <w:ind w:left="547" w:hanging="288"/>
        <w:jc w:val="left"/>
      </w:pPr>
      <w:r>
        <w:rPr>
          <w:rFonts w:ascii="Calibri" w:hAnsi="Calibri"/>
          <w:sz w:val="18"/>
        </w:rPr>
        <w:t xml:space="preserve">UK Government, Importing vehicles into the UK: vehicle approval. </w:t>
      </w:r>
      <w:hyperlink r:id="rId27">
        <w:r>
          <w:rPr>
            <w:rFonts w:ascii="Calibri" w:hAnsi="Calibri"/>
            <w:color w:val="2E74B5"/>
            <w:sz w:val="17"/>
            <w:szCs w:val="17"/>
            <w:u w:val="single"/>
          </w:rPr>
          <w:t>https://www.gov.uk/importing-vehicles-into-the-uk/getting-vehicle-approval</w:t>
        </w:r>
      </w:hyperlink>
    </w:p>
    <w:p>
      <w:pPr>
        <w:widowControl/>
        <w:numPr>
          <w:ilvl w:val="0"/>
          <w:numId w:val="11"/>
        </w:numPr>
        <w:pStyle w:val="ListNumber"/>
        <w:ind w:left="547" w:hanging="288"/>
        <w:jc w:val="left"/>
      </w:pPr>
      <w:r>
        <w:rPr>
          <w:rFonts w:ascii="Calibri" w:hAnsi="Calibri"/>
          <w:sz w:val="18"/>
        </w:rPr>
        <w:t xml:space="preserve">UK Government, Importing vehicles into the UK: VAT and customs duty. </w:t>
      </w:r>
      <w:hyperlink r:id="rId28">
        <w:r>
          <w:rPr>
            <w:rFonts w:ascii="Calibri" w:hAnsi="Calibri"/>
            <w:color w:val="2E74B5"/>
            <w:sz w:val="17"/>
            <w:szCs w:val="17"/>
            <w:u w:val="single"/>
          </w:rPr>
          <w:t>https://www.gov.uk/importing-vehicles-into-the-uk/paying-vat-and-duty</w:t>
        </w:r>
      </w:hyperlink>
    </w:p>
    <w:p>
      <w:pPr>
        <w:widowControl/>
        <w:numPr>
          <w:ilvl w:val="0"/>
          <w:numId w:val="11"/>
        </w:numPr>
        <w:pStyle w:val="ListNumber"/>
        <w:ind w:left="547" w:hanging="288"/>
        <w:jc w:val="left"/>
      </w:pPr>
      <w:r>
        <w:rPr>
          <w:rFonts w:ascii="Calibri" w:hAnsi="Calibri"/>
          <w:sz w:val="18"/>
        </w:rPr>
        <w:t xml:space="preserve">Climate Change Committee, The Seventh Carbon Budget (2025). </w:t>
      </w:r>
      <w:hyperlink r:id="rId29">
        <w:r>
          <w:rPr>
            <w:rFonts w:ascii="Calibri" w:hAnsi="Calibri"/>
            <w:color w:val="2E74B5"/>
            <w:sz w:val="17"/>
            <w:szCs w:val="17"/>
            <w:u w:val="single"/>
          </w:rPr>
          <w:t>https://www.theccc.org.uk/publication/the-seventh-carbon-budget/</w:t>
        </w:r>
      </w:hyperlink>
    </w:p>
    <w:p>
      <w:pPr>
        <w:widowControl/>
        <w:numPr>
          <w:ilvl w:val="0"/>
          <w:numId w:val="11"/>
        </w:numPr>
        <w:pStyle w:val="ListNumber"/>
        <w:ind w:left="547" w:hanging="288"/>
        <w:jc w:val="left"/>
      </w:pPr>
      <w:r>
        <w:rPr>
          <w:rFonts w:ascii="Calibri" w:hAnsi="Calibri"/>
          <w:sz w:val="18"/>
        </w:rPr>
        <w:t xml:space="preserve">United Nations Environment Programme, Emissions Gap Report 2023. </w:t>
      </w:r>
      <w:hyperlink r:id="rId30">
        <w:r>
          <w:rPr>
            <w:rFonts w:ascii="Calibri" w:hAnsi="Calibri"/>
            <w:color w:val="2E74B5"/>
            <w:sz w:val="17"/>
            <w:szCs w:val="17"/>
            <w:u w:val="single"/>
          </w:rPr>
          <w:t>https://www.unep.org/interactives/emissions-gap-report/2023/</w:t>
        </w:r>
      </w:hyperlink>
    </w:p>
    <w:p>
      <w:pPr>
        <w:widowControl/>
        <w:numPr>
          <w:ilvl w:val="0"/>
          <w:numId w:val="11"/>
        </w:numPr>
        <w:pStyle w:val="ListNumber"/>
        <w:ind w:left="547" w:hanging="288"/>
        <w:jc w:val="left"/>
      </w:pPr>
      <w:r>
        <w:rPr>
          <w:rFonts w:ascii="Calibri" w:hAnsi="Calibri"/>
          <w:sz w:val="18"/>
        </w:rPr>
        <w:t xml:space="preserve">United Nations Environment Programme, Emissions Gap Report 2025. </w:t>
      </w:r>
      <w:hyperlink r:id="rId31">
        <w:r>
          <w:rPr>
            <w:rFonts w:ascii="Calibri" w:hAnsi="Calibri"/>
            <w:color w:val="2E74B5"/>
            <w:sz w:val="17"/>
            <w:szCs w:val="17"/>
            <w:u w:val="single"/>
          </w:rPr>
          <w:t>https://www.unep.org/resources/emissions-gap-report-2025</w:t>
        </w:r>
      </w:hyperlink>
    </w:p>
    <w:p>
      <w:pPr>
        <w:widowControl/>
        <w:numPr>
          <w:ilvl w:val="0"/>
          <w:numId w:val="11"/>
        </w:numPr>
        <w:pStyle w:val="ListNumber"/>
        <w:ind w:left="547" w:hanging="288"/>
        <w:jc w:val="left"/>
      </w:pPr>
      <w:r>
        <w:rPr>
          <w:rFonts w:ascii="Calibri" w:hAnsi="Calibri"/>
          <w:sz w:val="18"/>
        </w:rPr>
        <w:t xml:space="preserve">The White House, Unleashing American Energy (20 January 2025). </w:t>
      </w:r>
      <w:hyperlink r:id="rId32">
        <w:r>
          <w:rPr>
            <w:rFonts w:ascii="Calibri" w:hAnsi="Calibri"/>
            <w:color w:val="2E74B5"/>
            <w:sz w:val="17"/>
            <w:szCs w:val="17"/>
            <w:u w:val="single"/>
          </w:rPr>
          <w:t>https://www.whitehouse.gov/presidential-actions/2025/01/unleashing-american-energy/</w:t>
        </w:r>
      </w:hyperlink>
    </w:p>
    <w:p>
      <w:pPr>
        <w:widowControl/>
        <w:numPr>
          <w:ilvl w:val="0"/>
          <w:numId w:val="11"/>
        </w:numPr>
        <w:pStyle w:val="ListNumber"/>
        <w:ind w:left="547" w:hanging="288"/>
        <w:jc w:val="left"/>
      </w:pPr>
      <w:r>
        <w:rPr>
          <w:rFonts w:ascii="Calibri" w:hAnsi="Calibri"/>
          <w:sz w:val="18"/>
        </w:rPr>
        <w:t xml:space="preserve">Office of the U.S. Trade Representative, Section 301 tariff increases, including 100% tariff on Chinese EVs (2024). </w:t>
      </w:r>
      <w:hyperlink r:id="rId33">
        <w:r>
          <w:rPr>
            <w:rFonts w:ascii="Calibri" w:hAnsi="Calibri"/>
            <w:color w:val="2E74B5"/>
            <w:sz w:val="17"/>
            <w:szCs w:val="17"/>
            <w:u w:val="single"/>
          </w:rPr>
          <w:t>https://ustr.gov/about-us/policy-offices/press-office/press-releases/2024/december/ustr-increases-tariffs-under-section-301-tungsten-products-wafers-and-polysilicon-concluding</w:t>
        </w:r>
      </w:hyperlink>
    </w:p>
    <w:p>
      <w:pPr>
        <w:widowControl/>
        <w:numPr>
          <w:ilvl w:val="0"/>
          <w:numId w:val="11"/>
        </w:numPr>
        <w:pStyle w:val="ListNumber"/>
        <w:ind w:left="547" w:hanging="288"/>
        <w:jc w:val="left"/>
      </w:pPr>
      <w:r>
        <w:rPr>
          <w:rFonts w:ascii="Calibri" w:hAnsi="Calibri"/>
          <w:sz w:val="18"/>
        </w:rPr>
        <w:t xml:space="preserve">National Audit Office, High Speed Two reset (2026). </w:t>
      </w:r>
      <w:hyperlink r:id="rId34">
        <w:r>
          <w:rPr>
            <w:rFonts w:ascii="Calibri" w:hAnsi="Calibri"/>
            <w:color w:val="2E74B5"/>
            <w:sz w:val="17"/>
            <w:szCs w:val="17"/>
            <w:u w:val="single"/>
          </w:rPr>
          <w:t>https://www.nao.org.uk/reports/high-speed-two-reset/</w:t>
        </w:r>
      </w:hyperlink>
    </w:p>
    <w:p>
      <w:pPr>
        <w:widowControl/>
        <w:numPr>
          <w:ilvl w:val="0"/>
          <w:numId w:val="11"/>
        </w:numPr>
        <w:pStyle w:val="ListNumber"/>
        <w:ind w:left="547" w:hanging="288"/>
        <w:jc w:val="left"/>
      </w:pPr>
      <w:r>
        <w:rPr>
          <w:rFonts w:ascii="Calibri" w:hAnsi="Calibri"/>
          <w:sz w:val="18"/>
        </w:rPr>
        <w:t xml:space="preserve">UK Government, “Billions in exports and investment deals secured as PM concludes visit to China” (30 January 2026). </w:t>
      </w:r>
      <w:hyperlink r:id="rId35">
        <w:r>
          <w:rPr>
            <w:rFonts w:ascii="Calibri" w:hAnsi="Calibri"/>
            <w:color w:val="2E74B5"/>
            <w:sz w:val="17"/>
            <w:szCs w:val="17"/>
            <w:u w:val="single"/>
          </w:rPr>
          <w:t>https://www.gov.uk/government/news/billions-in-exports-and-investment-deals-secured-as-pm-concludes-visit-to-china</w:t>
        </w:r>
      </w:hyperlink>
    </w:p>
    <w:p>
      <w:pPr>
        <w:widowControl/>
        <w:numPr>
          <w:ilvl w:val="0"/>
          <w:numId w:val="11"/>
        </w:numPr>
        <w:pStyle w:val="ListNumber"/>
        <w:ind w:left="547" w:hanging="288"/>
        <w:jc w:val="left"/>
      </w:pPr>
      <w:r>
        <w:rPr>
          <w:rFonts w:ascii="Calibri" w:hAnsi="Calibri"/>
          <w:sz w:val="18"/>
        </w:rPr>
        <w:t xml:space="preserve">UK Government, Individual Vehicle Approval. </w:t>
      </w:r>
      <w:hyperlink r:id="rId36">
        <w:r>
          <w:rPr>
            <w:rFonts w:ascii="Calibri" w:hAnsi="Calibri"/>
            <w:color w:val="2E74B5"/>
            <w:sz w:val="17"/>
            <w:szCs w:val="17"/>
            <w:u w:val="single"/>
          </w:rPr>
          <w:t>https://www.gov.uk/vehicle-approval/individual-vehicle-approval</w:t>
        </w:r>
      </w:hyperlink>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Calibri" w:hAnsi="Calibri"/>
        <w:color w:val="667085"/>
        <w:sz w:val="17"/>
      </w:rPr>
      <w:t xml:space="preserve">Alex Anderson  |  August 2026  |  </w:t>
    </w:r>
    <w:r>
      <w:rPr>
        <w:rFonts w:ascii="Calibri" w:hAnsi="Calibri"/>
        <w:color w:val="667085"/>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667085"/>
        <w:sz w:val="17"/>
      </w:rPr>
      <w:t>AFFORDABLE GREEN SECURITY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suff w:val="space"/>
      <w:lvlJc w:val="left"/>
      <w:pPr>
        <w:tabs>
          <w:tab w:val="num" w:pos="540"/>
        </w:tabs>
        <w:ind w:left="540" w:hanging="279"/>
      </w:pPr>
    </w:lvl>
  </w:abstractNum>
  <w:abstractNum w:abstractNumId="8">
    <w:nsid w:val="FFFFFF89"/>
    <w:multiLevelType w:val="singleLevel"/>
    <w:tmpl w:val="29761A62"/>
    <w:lvl w:ilvl="0">
      <w:start w:val="1"/>
      <w:numFmt w:val="bullet"/>
      <w:pStyle w:val="ListBullet"/>
      <w:lvlText w:val=""/>
      <w:suff w:val="space"/>
      <w:lvlJc w:val="left"/>
      <w:pPr>
        <w:tabs>
          <w:tab w:val="num" w:pos="540"/>
        </w:tabs>
        <w:ind w:left="540" w:hanging="279"/>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20" w:lineRule="auto"/>
      <w:jc w:val="both"/>
    </w:pPr>
    <w:rPr>
      <w:rFonts w:ascii="Calibri" w:hAnsi="Calibri"/>
      <w:color w:val="2025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90" w:lineRule="auto"/>
      <w:ind w:left="540" w:hanging="279"/>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90" w:lineRule="auto"/>
      <w:ind w:left="540" w:hanging="279"/>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xecutiveLead">
    <w:name w:val="Executive Lead"/>
    <w:pPr>
      <w:spacing w:after="240" w:line="300" w:lineRule="auto"/>
    </w:pPr>
    <w:rPr>
      <w:rFonts w:ascii="Calibri" w:hAnsi="Calibri"/>
      <w:b/>
      <w:color w:val="17365D"/>
      <w:sz w:val="26"/>
    </w:rPr>
  </w:style>
  <w:style w:type="paragraph" w:customStyle="1" w:styleId="TableCitation">
    <w:name w:val="Table Citation"/>
    <w:pPr>
      <w:spacing w:before="80" w:after="80" w:line="240" w:lineRule="auto"/>
    </w:pPr>
    <w:rPr>
      <w:rFonts w:ascii="Calibri" w:hAnsi="Calibri"/>
      <w:color w:val="667085"/>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iea.org/reports/global-ev-outlook-2026/executive-summary" TargetMode="External"/><Relationship Id="rId13" Type="http://schemas.openxmlformats.org/officeDocument/2006/relationships/hyperlink" Target="https://www.iea.org/reports/global-ev-outlook-2026/electric-vehicle-batteries" TargetMode="External"/><Relationship Id="rId14" Type="http://schemas.openxmlformats.org/officeDocument/2006/relationships/hyperlink" Target="https://www.iea.org/reports/global-ev-outlook-2026/manufacturing-and-trade" TargetMode="External"/><Relationship Id="rId15" Type="http://schemas.openxmlformats.org/officeDocument/2006/relationships/hyperlink" Target="https://www.irena.org/-/media/Files/IRENA/Agency/Publication/2026/Mar/IRENA_DAT_RE_capacity_highlights_2026.pdf" TargetMode="External"/><Relationship Id="rId16" Type="http://schemas.openxmlformats.org/officeDocument/2006/relationships/hyperlink" Target="https://www.iea.org/reports/solar-pv-global-supply-chains/executive-summary" TargetMode="External"/><Relationship Id="rId17" Type="http://schemas.openxmlformats.org/officeDocument/2006/relationships/hyperlink" Target="https://www.iea.org/reports/world-energy-investment-2025/executive-summary" TargetMode="External"/><Relationship Id="rId18" Type="http://schemas.openxmlformats.org/officeDocument/2006/relationships/hyperlink" Target="https://www.gov.uk/government/statistics/statutory-homelessness-in-england-january-to-march-2026/statutory-homelessness-in-england-january-to-march-2026" TargetMode="External"/><Relationship Id="rId19" Type="http://schemas.openxmlformats.org/officeDocument/2006/relationships/hyperlink" Target="https://www.gov.uk/government/publications/a-national-plan-to-end-homelessness/a-national-plan-to-end-homelessness" TargetMode="External"/><Relationship Id="rId20" Type="http://schemas.openxmlformats.org/officeDocument/2006/relationships/hyperlink" Target="https://publications.parliament.uk/pa/cm5901/cmselect/cmcomloc/1831/report.html" TargetMode="External"/><Relationship Id="rId21" Type="http://schemas.openxmlformats.org/officeDocument/2006/relationships/hyperlink" Target="https://www.gov.uk/government/publications/volumetric-modular-construction-research/volumetric-modular-construction-research" TargetMode="External"/><Relationship Id="rId22" Type="http://schemas.openxmlformats.org/officeDocument/2006/relationships/hyperlink" Target="https://www.gov.uk/government/publications/building-for-2050/building-for-2050-low-cost-low-carbon-homes" TargetMode="External"/><Relationship Id="rId23" Type="http://schemas.openxmlformats.org/officeDocument/2006/relationships/hyperlink" Target="https://publications.parliament.uk/pa/cm5901/cmselect/cmcomloc/672/report.html" TargetMode="External"/><Relationship Id="rId24" Type="http://schemas.openxmlformats.org/officeDocument/2006/relationships/hyperlink" Target="https://www.alibaba.com/countrysearch/CN/2-bedroom-portable-cabins.html" TargetMode="External"/><Relationship Id="rId25" Type="http://schemas.openxmlformats.org/officeDocument/2006/relationships/hyperlink" Target="https://www.alibaba.com/countrysearch/CN/china-camper-van.html" TargetMode="External"/><Relationship Id="rId26" Type="http://schemas.openxmlformats.org/officeDocument/2006/relationships/hyperlink" Target="https://insideevs.com/news/427175/cheapest-electric-car-china-930-us/" TargetMode="External"/><Relationship Id="rId27" Type="http://schemas.openxmlformats.org/officeDocument/2006/relationships/hyperlink" Target="https://www.gov.uk/importing-vehicles-into-the-uk/getting-vehicle-approval" TargetMode="External"/><Relationship Id="rId28" Type="http://schemas.openxmlformats.org/officeDocument/2006/relationships/hyperlink" Target="https://www.gov.uk/importing-vehicles-into-the-uk/paying-vat-and-duty" TargetMode="External"/><Relationship Id="rId29" Type="http://schemas.openxmlformats.org/officeDocument/2006/relationships/hyperlink" Target="https://www.theccc.org.uk/publication/the-seventh-carbon-budget/" TargetMode="External"/><Relationship Id="rId30" Type="http://schemas.openxmlformats.org/officeDocument/2006/relationships/hyperlink" Target="https://www.unep.org/interactives/emissions-gap-report/2023/" TargetMode="External"/><Relationship Id="rId31" Type="http://schemas.openxmlformats.org/officeDocument/2006/relationships/hyperlink" Target="https://www.unep.org/resources/emissions-gap-report-2025" TargetMode="External"/><Relationship Id="rId32" Type="http://schemas.openxmlformats.org/officeDocument/2006/relationships/hyperlink" Target="https://www.whitehouse.gov/presidential-actions/2025/01/unleashing-american-energy/" TargetMode="External"/><Relationship Id="rId33" Type="http://schemas.openxmlformats.org/officeDocument/2006/relationships/hyperlink" Target="https://ustr.gov/about-us/policy-offices/press-office/press-releases/2024/december/ustr-increases-tariffs-under-section-301-tungsten-products-wafers-and-polysilicon-concluding" TargetMode="External"/><Relationship Id="rId34" Type="http://schemas.openxmlformats.org/officeDocument/2006/relationships/hyperlink" Target="https://www.nao.org.uk/reports/high-speed-two-reset/" TargetMode="External"/><Relationship Id="rId35" Type="http://schemas.openxmlformats.org/officeDocument/2006/relationships/hyperlink" Target="https://www.gov.uk/government/news/billions-in-exports-and-investment-deals-secured-as-pm-concludes-visit-to-china" TargetMode="External"/><Relationship Id="rId36" Type="http://schemas.openxmlformats.org/officeDocument/2006/relationships/hyperlink" Target="https://www.gov.uk/vehicle-approval/individual-vehicle-appr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Affordable Green Security</dc:title>
  <dc:subject>Chinese clean-technology manufacturing, UK housing, mobility and fair decarbonisation</dc:subject>
  <dc:creator>Alex Anderson</dc:creator>
  <cp:keywords>China, UK, modular housing, electric vehicles, climate justice, affordability, homelessness</cp:keywords>
  <dc:description>Evidence reviewed to 20 August 2026.</dc:description>
  <cp:lastModifiedBy/>
  <cp:revision>1</cp:revision>
  <dcterms:created xsi:type="dcterms:W3CDTF">2013-12-23T23:15:00Z</dcterms:created>
  <dcterms:modified xsi:type="dcterms:W3CDTF">2013-12-23T23:15:00Z</dcterms:modified>
  <cp:category/>
</cp:coreProperties>
</file>