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40"/>
      </w:pPr>
      <w:r>
        <w:rPr>
          <w:rFonts w:ascii="Arial" w:hAnsi="Arial"/>
          <w:b/>
          <w:color w:val="215B45"/>
          <w:sz w:val="22"/>
        </w:rPr>
        <w:t>THE GREEN TANK</w:t>
      </w:r>
    </w:p>
    <w:p>
      <w:pPr>
        <w:spacing w:before="1160"/>
      </w:pPr>
      <w:r>
        <w:rPr>
          <w:rFonts w:ascii="Arial" w:hAnsi="Arial"/>
          <w:b/>
          <w:color w:val="E97052"/>
          <w:sz w:val="20"/>
        </w:rPr>
        <w:t>PART II · REVISED EVIDENCE EDITION</w:t>
      </w:r>
    </w:p>
    <w:p>
      <w:pPr>
        <w:pStyle w:val="Title"/>
      </w:pPr>
      <w:r>
        <w:t>From Prohibition to Regulation</w:t>
      </w:r>
    </w:p>
    <w:p>
      <w:pPr>
        <w:spacing w:after="400"/>
      </w:pPr>
      <w:r>
        <w:rPr>
          <w:rFonts w:ascii="Georgia" w:hAnsi="Georgia"/>
          <w:i/>
          <w:color w:val="215B45"/>
          <w:sz w:val="34"/>
        </w:rPr>
        <w:t>A staged UK legal, regulatory, health and justice-transition procedure</w:t>
      </w:r>
    </w:p>
    <w:tbl>
      <w:tblPr>
        <w:tblW w:type="auto" w:w="0"/>
        <w:jc w:val="center"/>
        <w:tblLook w:firstColumn="1" w:firstRow="1" w:lastColumn="0" w:lastRow="0" w:noHBand="0" w:noVBand="1" w:val="04A0"/>
      </w:tblPr>
      <w:tblGrid>
        <w:gridCol w:w="9922"/>
      </w:tblGrid>
      <w:tr>
        <w:tc>
          <w:tcPr>
            <w:tcW w:type="dxa" w:w="9922"/>
            <w:shd w:fill="DDEEE5"/>
            <w:tcMar>
              <w:top w:w="90" w:type="dxa"/>
              <w:start w:w="100" w:type="dxa"/>
              <w:bottom w:w="90" w:type="dxa"/>
              <w:end w:w="100" w:type="dxa"/>
            </w:tcMar>
            <w:vAlign w:val="center"/>
          </w:tcPr>
          <w:p>
            <w:pPr>
              <w:spacing w:after="0" w:line="252" w:lineRule="auto"/>
            </w:pPr>
            <w:r/>
            <w:r>
              <w:rPr>
                <w:rFonts w:ascii="Arial" w:hAnsi="Arial"/>
                <w:b/>
                <w:color w:val="17332A"/>
                <w:sz w:val="22"/>
              </w:rPr>
              <w:t>Move quickly where existing law permits; use Parliament where durable rights and markets require it; measure every stage; preserve the power to stop, correct or reverse.</w:t>
            </w:r>
          </w:p>
        </w:tc>
      </w:tr>
    </w:tbl>
    <w:p>
      <w:pPr>
        <w:spacing w:before="800"/>
      </w:pPr>
      <w:r>
        <w:rPr>
          <w:b/>
        </w:rPr>
        <w:t>Author: Alex Anderson (Al)</w:t>
        <w:br/>
      </w:r>
      <w:r>
        <w:t>Research and drafting support: OpenAI</w:t>
        <w:br/>
      </w:r>
      <w:r>
        <w:t>Revised evidence edition: 26 August 2026</w:t>
        <w:br/>
      </w:r>
      <w:r>
        <w:t>Public-interest policy paper. Not individual medical or legal advice.</w:t>
      </w:r>
    </w:p>
    <w:p>
      <w:r>
        <w:br w:type="page"/>
      </w:r>
    </w:p>
    <w:p>
      <w:pPr>
        <w:pStyle w:val="Heading1"/>
      </w:pPr>
      <w:r>
        <w:t>Executive summary</w:t>
      </w:r>
    </w:p>
    <w:p>
      <w:r>
        <w:t>Part I explains why reform deserves serious consideration. Part II sets out how the United Kingdom could test and implement it without pretending that ministers can create a permanent non-medical market by guidance alone.</w:t>
      </w:r>
    </w:p>
    <w:p>
      <w:pPr>
        <w:pStyle w:val="ListBullet"/>
      </w:pPr>
      <w:r>
        <w:t>Immediate administrative action can reduce research barriers, improve treatment, commission drug checking and review prosecution priorities within existing legal duties.</w:t>
      </w:r>
    </w:p>
    <w:p>
      <w:pPr>
        <w:pStyle w:val="ListBullet"/>
      </w:pPr>
      <w:r>
        <w:t>Durable adult possession rights, commercial licensing, taxation, conviction repair and an independent regulator require primary legislation.</w:t>
      </w:r>
    </w:p>
    <w:p>
      <w:pPr>
        <w:pStyle w:val="ListBullet"/>
      </w:pPr>
      <w:r>
        <w:t>Article 8 is relevant to bodily integrity and private life but does not automatically invalidate drug controls; proportionality must be argued honestly.</w:t>
      </w:r>
    </w:p>
    <w:p>
      <w:pPr>
        <w:pStyle w:val="ListBullet"/>
      </w:pPr>
      <w:r>
        <w:t>International conventions materially constrain non-medical markets. Parliament should publish the treaty pathway rather than hide it inside secondary legislation.</w:t>
      </w:r>
    </w:p>
    <w:p>
      <w:pPr>
        <w:pStyle w:val="ListBullet"/>
      </w:pPr>
      <w:r>
        <w:t>The recommended market is deliberately restrained: no lifestyle advertising, strong product rules, public-health pricing and higher-risk clinical tiers.</w:t>
      </w:r>
    </w:p>
    <w:tbl>
      <w:tblPr>
        <w:tblW w:type="auto" w:w="0"/>
        <w:jc w:val="center"/>
        <w:tblLook w:firstColumn="1" w:firstRow="1" w:lastColumn="0" w:lastRow="0" w:noHBand="0" w:noVBand="1" w:val="04A0"/>
      </w:tblPr>
      <w:tblGrid>
        <w:gridCol w:w="9922"/>
      </w:tblGrid>
      <w:tr>
        <w:tc>
          <w:tcPr>
            <w:tcW w:type="dxa" w:w="9922"/>
            <w:shd w:fill="E9F56A"/>
            <w:tcMar>
              <w:top w:w="180" w:type="dxa"/>
              <w:start w:w="200" w:type="dxa"/>
              <w:bottom w:w="180" w:type="dxa"/>
              <w:end w:w="200" w:type="dxa"/>
            </w:tcMar>
          </w:tcPr>
          <w:p>
            <w:pPr>
              <w:spacing w:after="80"/>
            </w:pPr>
            <w:r/>
            <w:r>
              <w:rPr>
                <w:rFonts w:ascii="Arial" w:hAnsi="Arial"/>
                <w:b/>
                <w:color w:val="17332A"/>
                <w:sz w:val="22"/>
              </w:rPr>
              <w:t>Legal-status notice</w:t>
            </w:r>
          </w:p>
          <w:p>
            <w:pPr>
              <w:spacing w:after="0" w:line="269" w:lineRule="auto"/>
            </w:pPr>
            <w:r>
              <w:rPr>
                <w:rFonts w:ascii="Arial" w:hAnsi="Arial"/>
                <w:color w:val="17332A"/>
                <w:sz w:val="19"/>
              </w:rPr>
              <w:t>This is a policy architecture, not a formal legal opinion. Before a Bill or statutory instrument is introduced, Parliamentary Counsel and government lawyers should verify competence, treaty effects, devolution, drafting and transitional consequences.</w:t>
            </w:r>
          </w:p>
        </w:tc>
      </w:tr>
    </w:tbl>
    <w:p/>
    <w:p>
      <w:pPr>
        <w:pStyle w:val="Heading1"/>
      </w:pPr>
      <w:r>
        <w:t>1. Legal starting point</w:t>
      </w:r>
    </w:p>
    <w:p>
      <w:r>
        <w:t>The Misuse of Drugs Act 1971 creates the principal offences and classification framework. Section 7 permits regulations that authorise or control production, supply, possession and related activities for defined purposes; the Misuse of Drugs Regulations 2001 implement schedules and authorised routes. The Psychoactive Substances Act 2016 separately regulates production and supply of psychoactive substances subject to exemptions. [L1][L2][L3]</w:t>
      </w:r>
    </w:p>
    <w:p>
      <w:r>
        <w:t>That flexibility is important but finite. Section 7 can support licences, medical/scientific routes and tightly defined pilots where lawful. It should not be stretched into an attempt to manufacture a permanent constitutional settlement that contradicts the central prohibitions Parliament enacted.</w:t>
      </w:r>
    </w:p>
    <w:p>
      <w:pPr>
        <w:pStyle w:val="Heading1"/>
      </w:pPr>
      <w:r>
        <w:t>2. Two legal tracks</w:t>
      </w:r>
    </w:p>
    <w:tbl>
      <w:tblPr>
        <w:tblStyle w:val="TableGrid"/>
        <w:tblW w:type="auto" w:w="0"/>
        <w:jc w:val="center"/>
        <w:tblLayout w:type="fixed"/>
        <w:tblLook w:firstColumn="1" w:firstRow="1" w:lastColumn="0" w:lastRow="0" w:noHBand="0" w:noVBand="1" w:val="04A0"/>
      </w:tblPr>
      <w:tblGrid>
        <w:gridCol w:w="2480"/>
        <w:gridCol w:w="2480"/>
        <w:gridCol w:w="2480"/>
        <w:gridCol w:w="2480"/>
      </w:tblGrid>
      <w:tr>
        <w:trPr>
          <w:tblHeader w:val="true"/>
        </w:trPr>
        <w:tc>
          <w:tcPr>
            <w:tcW w:type="dxa" w:w="1474"/>
            <w:vAlign w:val="center"/>
            <w:tcMar>
              <w:top w:w="90" w:type="dxa"/>
              <w:start w:w="100" w:type="dxa"/>
              <w:bottom w:w="90" w:type="dxa"/>
              <w:end w:w="100" w:type="dxa"/>
            </w:tcMar>
            <w:shd w:fill="215B45"/>
          </w:tcPr>
          <w:p>
            <w:pPr>
              <w:spacing w:after="0" w:line="252" w:lineRule="auto"/>
            </w:pPr>
            <w:r/>
            <w:r>
              <w:rPr>
                <w:rFonts w:ascii="Arial" w:hAnsi="Arial"/>
                <w:b/>
                <w:color w:val="FFFFFF"/>
                <w:sz w:val="16"/>
              </w:rPr>
              <w:t>Track</w:t>
            </w:r>
          </w:p>
        </w:tc>
        <w:tc>
          <w:tcPr>
            <w:tcW w:type="dxa" w:w="2891"/>
            <w:vAlign w:val="center"/>
            <w:tcMar>
              <w:top w:w="90" w:type="dxa"/>
              <w:start w:w="100" w:type="dxa"/>
              <w:bottom w:w="90" w:type="dxa"/>
              <w:end w:w="100" w:type="dxa"/>
            </w:tcMar>
            <w:shd w:fill="215B45"/>
          </w:tcPr>
          <w:p>
            <w:pPr>
              <w:spacing w:after="0" w:line="252" w:lineRule="auto"/>
            </w:pPr>
            <w:r/>
            <w:r>
              <w:rPr>
                <w:rFonts w:ascii="Arial" w:hAnsi="Arial"/>
                <w:b/>
                <w:color w:val="FFFFFF"/>
                <w:sz w:val="16"/>
              </w:rPr>
              <w:t>Use it for</w:t>
            </w:r>
          </w:p>
        </w:tc>
        <w:tc>
          <w:tcPr>
            <w:tcW w:type="dxa" w:w="2948"/>
            <w:vAlign w:val="center"/>
            <w:tcMar>
              <w:top w:w="90" w:type="dxa"/>
              <w:start w:w="100" w:type="dxa"/>
              <w:bottom w:w="90" w:type="dxa"/>
              <w:end w:w="100" w:type="dxa"/>
            </w:tcMar>
            <w:shd w:fill="215B45"/>
          </w:tcPr>
          <w:p>
            <w:pPr>
              <w:spacing w:after="0" w:line="252" w:lineRule="auto"/>
            </w:pPr>
            <w:r/>
            <w:r>
              <w:rPr>
                <w:rFonts w:ascii="Arial" w:hAnsi="Arial"/>
                <w:b/>
                <w:color w:val="FFFFFF"/>
                <w:sz w:val="16"/>
              </w:rPr>
              <w:t>Authority and safeguards</w:t>
            </w:r>
          </w:p>
        </w:tc>
        <w:tc>
          <w:tcPr>
            <w:tcW w:type="dxa" w:w="2268"/>
            <w:vAlign w:val="center"/>
            <w:tcMar>
              <w:top w:w="90" w:type="dxa"/>
              <w:start w:w="100" w:type="dxa"/>
              <w:bottom w:w="90" w:type="dxa"/>
              <w:end w:w="100" w:type="dxa"/>
            </w:tcMar>
            <w:shd w:fill="215B45"/>
          </w:tcPr>
          <w:p>
            <w:pPr>
              <w:spacing w:after="0" w:line="252" w:lineRule="auto"/>
            </w:pPr>
            <w:r/>
            <w:r>
              <w:rPr>
                <w:rFonts w:ascii="Arial" w:hAnsi="Arial"/>
                <w:b/>
                <w:color w:val="FFFFFF"/>
                <w:sz w:val="16"/>
              </w:rPr>
              <w:t>Do not use it to</w:t>
            </w:r>
          </w:p>
        </w:tc>
      </w:tr>
      <w:tr>
        <w:trPr>
          <w:cantSplit/>
        </w:trPr>
        <w:tc>
          <w:tcPr>
            <w:tcW w:type="dxa" w:w="1474"/>
            <w:vAlign w:val="center"/>
            <w:tcMar>
              <w:top w:w="90" w:type="dxa"/>
              <w:start w:w="100" w:type="dxa"/>
              <w:bottom w:w="90" w:type="dxa"/>
              <w:end w:w="100" w:type="dxa"/>
            </w:tcMar>
            <w:shd w:fill="EFF6F1"/>
          </w:tcPr>
          <w:p>
            <w:pPr>
              <w:spacing w:after="0" w:line="252" w:lineRule="auto"/>
            </w:pPr>
            <w:r/>
            <w:r>
              <w:rPr>
                <w:rFonts w:ascii="Arial" w:hAnsi="Arial"/>
                <w:b w:val="0"/>
                <w:color w:val="17332A"/>
                <w:sz w:val="16"/>
              </w:rPr>
              <w:t>A · Existing powers</w:t>
            </w:r>
          </w:p>
        </w:tc>
        <w:tc>
          <w:tcPr>
            <w:tcW w:type="dxa" w:w="2891"/>
            <w:vAlign w:val="center"/>
            <w:tcMar>
              <w:top w:w="90" w:type="dxa"/>
              <w:start w:w="100" w:type="dxa"/>
              <w:bottom w:w="90" w:type="dxa"/>
              <w:end w:w="100" w:type="dxa"/>
            </w:tcMar>
            <w:shd w:fill="EFF6F1"/>
          </w:tcPr>
          <w:p>
            <w:pPr>
              <w:spacing w:after="0" w:line="252" w:lineRule="auto"/>
            </w:pPr>
            <w:r/>
            <w:r>
              <w:rPr>
                <w:rFonts w:ascii="Arial" w:hAnsi="Arial"/>
                <w:b w:val="0"/>
                <w:color w:val="17332A"/>
                <w:sz w:val="16"/>
              </w:rPr>
              <w:t>Research licensing, medical scheduling, treatment expansion, data, drug checking where lawfully structured, independent prosecution-guidance review</w:t>
            </w:r>
          </w:p>
        </w:tc>
        <w:tc>
          <w:tcPr>
            <w:tcW w:type="dxa" w:w="2948"/>
            <w:vAlign w:val="center"/>
            <w:tcMar>
              <w:top w:w="90" w:type="dxa"/>
              <w:start w:w="100" w:type="dxa"/>
              <w:bottom w:w="90" w:type="dxa"/>
              <w:end w:w="100" w:type="dxa"/>
            </w:tcMar>
            <w:shd w:fill="EFF6F1"/>
          </w:tcPr>
          <w:p>
            <w:pPr>
              <w:spacing w:after="0" w:line="252" w:lineRule="auto"/>
            </w:pPr>
            <w:r/>
            <w:r>
              <w:rPr>
                <w:rFonts w:ascii="Arial" w:hAnsi="Arial"/>
                <w:b w:val="0"/>
                <w:color w:val="17332A"/>
                <w:sz w:val="16"/>
              </w:rPr>
              <w:t>MDA regulations/licences, ACMD advice, health commissioning, DPP independence</w:t>
            </w:r>
          </w:p>
        </w:tc>
        <w:tc>
          <w:tcPr>
            <w:tcW w:type="dxa" w:w="2268"/>
            <w:vAlign w:val="center"/>
            <w:tcMar>
              <w:top w:w="90" w:type="dxa"/>
              <w:start w:w="100" w:type="dxa"/>
              <w:bottom w:w="90" w:type="dxa"/>
              <w:end w:w="100" w:type="dxa"/>
            </w:tcMar>
            <w:shd w:fill="EFF6F1"/>
          </w:tcPr>
          <w:p>
            <w:pPr>
              <w:spacing w:after="0" w:line="252" w:lineRule="auto"/>
            </w:pPr>
            <w:r/>
            <w:r>
              <w:rPr>
                <w:rFonts w:ascii="Arial" w:hAnsi="Arial"/>
                <w:b w:val="0"/>
                <w:color w:val="17332A"/>
                <w:sz w:val="16"/>
              </w:rPr>
              <w:t>Create an unrestricted national adult retail market by administrative assertion</w:t>
            </w:r>
          </w:p>
        </w:tc>
      </w:tr>
      <w:tr>
        <w:trPr>
          <w:cantSplit/>
        </w:trPr>
        <w:tc>
          <w:tcPr>
            <w:tcW w:type="dxa" w:w="1474"/>
            <w:vAlign w:val="center"/>
            <w:tcMar>
              <w:top w:w="90" w:type="dxa"/>
              <w:start w:w="100" w:type="dxa"/>
              <w:bottom w:w="90" w:type="dxa"/>
              <w:end w:w="100" w:type="dxa"/>
            </w:tcMar>
          </w:tcPr>
          <w:p>
            <w:pPr>
              <w:spacing w:after="0" w:line="252" w:lineRule="auto"/>
            </w:pPr>
            <w:r/>
            <w:r>
              <w:rPr>
                <w:rFonts w:ascii="Arial" w:hAnsi="Arial"/>
                <w:b w:val="0"/>
                <w:color w:val="17332A"/>
                <w:sz w:val="16"/>
              </w:rPr>
              <w:t>B · Primary legislation</w:t>
            </w:r>
          </w:p>
        </w:tc>
        <w:tc>
          <w:tcPr>
            <w:tcW w:type="dxa" w:w="2891"/>
            <w:vAlign w:val="center"/>
            <w:tcMar>
              <w:top w:w="90" w:type="dxa"/>
              <w:start w:w="100" w:type="dxa"/>
              <w:bottom w:w="90" w:type="dxa"/>
              <w:end w:w="100" w:type="dxa"/>
            </w:tcMar>
          </w:tcPr>
          <w:p>
            <w:pPr>
              <w:spacing w:after="0" w:line="252" w:lineRule="auto"/>
            </w:pPr>
            <w:r/>
            <w:r>
              <w:rPr>
                <w:rFonts w:ascii="Arial" w:hAnsi="Arial"/>
                <w:b w:val="0"/>
                <w:color w:val="17332A"/>
                <w:sz w:val="16"/>
              </w:rPr>
              <w:t>Adult possession rules, durable licensed supply, excise, regulator, justice transition, record repair, sunset and review</w:t>
            </w:r>
          </w:p>
        </w:tc>
        <w:tc>
          <w:tcPr>
            <w:tcW w:type="dxa" w:w="2948"/>
            <w:vAlign w:val="center"/>
            <w:tcMar>
              <w:top w:w="90" w:type="dxa"/>
              <w:start w:w="100" w:type="dxa"/>
              <w:bottom w:w="90" w:type="dxa"/>
              <w:end w:w="100" w:type="dxa"/>
            </w:tcMar>
          </w:tcPr>
          <w:p>
            <w:pPr>
              <w:spacing w:after="0" w:line="252" w:lineRule="auto"/>
            </w:pPr>
            <w:r/>
            <w:r>
              <w:rPr>
                <w:rFonts w:ascii="Arial" w:hAnsi="Arial"/>
                <w:b w:val="0"/>
                <w:color w:val="17332A"/>
                <w:sz w:val="16"/>
              </w:rPr>
              <w:t>Act of Parliament with devolved coordination and published treaty analysis</w:t>
            </w:r>
          </w:p>
        </w:tc>
        <w:tc>
          <w:tcPr>
            <w:tcW w:type="dxa" w:w="2268"/>
            <w:vAlign w:val="center"/>
            <w:tcMar>
              <w:top w:w="90" w:type="dxa"/>
              <w:start w:w="100" w:type="dxa"/>
              <w:bottom w:w="90" w:type="dxa"/>
              <w:end w:w="100" w:type="dxa"/>
            </w:tcMar>
          </w:tcPr>
          <w:p>
            <w:pPr>
              <w:spacing w:after="0" w:line="252" w:lineRule="auto"/>
            </w:pPr>
            <w:r/>
            <w:r>
              <w:rPr>
                <w:rFonts w:ascii="Arial" w:hAnsi="Arial"/>
                <w:b w:val="0"/>
                <w:color w:val="17332A"/>
                <w:sz w:val="16"/>
              </w:rPr>
              <w:t>Avoid scrutiny of rights, market design or international obligations</w:t>
            </w:r>
          </w:p>
        </w:tc>
      </w:tr>
    </w:tbl>
    <w:p/>
    <w:p>
      <w:pPr>
        <w:pStyle w:val="Heading1"/>
      </w:pPr>
      <w:r>
        <w:t>3. Human rights, devolution and treaties</w:t>
      </w:r>
    </w:p>
    <w:p>
      <w:pPr>
        <w:pStyle w:val="Heading2"/>
      </w:pPr>
      <w:r>
        <w:t>Human rights</w:t>
      </w:r>
    </w:p>
    <w:p>
      <w:r>
        <w:t>Article 8 protects private and family life and is relevant to bodily integrity and medical choice. It also permits lawful, necessary and proportionate interference for health, crime prevention and the rights of others. Reform should therefore be framed as a comparative proportionality exercise, not a claim that personal preference defeats regulation. [L4][L5]</w:t>
      </w:r>
    </w:p>
    <w:p>
      <w:pPr>
        <w:pStyle w:val="Heading2"/>
      </w:pPr>
      <w:r>
        <w:t>Devolution</w:t>
      </w:r>
    </w:p>
    <w:p>
      <w:r>
        <w:t>The 1971 Act is UK-wide, while health services, policing structures and justice administration vary. Misuse of and dealing in drugs is reserved in Wales. Implementation must be co-designed with Scotland, Wales and Northern Ireland, with separate operational plans where institutions and legal competence differ. [L13]</w:t>
      </w:r>
    </w:p>
    <w:p>
      <w:pPr>
        <w:pStyle w:val="Heading2"/>
      </w:pPr>
      <w:r>
        <w:t>International treaties</w:t>
      </w:r>
    </w:p>
    <w:p>
      <w:r>
        <w:t>The 1961 and 1971 conventions restrict scheduled substances principally to medical and scientific purposes; the 1988 convention requires offences around illicit production and supply and addresses personal possession subject to domestic constitutional principles. [L10][L11][L12] Decriminalisation, treatment and research can therefore move farther and faster than a national non-medical commercial market. Any broader market needs a published route involving interpretation, coordinated reform, reservations where legally available, or denunciation and re-accession considered openly.</w:t>
      </w:r>
    </w:p>
    <w:p>
      <w:pPr>
        <w:pStyle w:val="Heading1"/>
      </w:pPr>
      <w:r>
        <w:t>4. First 30 days</w:t>
      </w:r>
    </w:p>
    <w:p>
      <w:pPr>
        <w:pStyle w:val="ListNumber"/>
      </w:pPr>
      <w:r>
        <w:t>Create a UK Drug Regulation Transition Commission jointly sponsored by the Home Office, DHSC, Ministry of Justice and Treasury, with devolved-government participation.</w:t>
      </w:r>
    </w:p>
    <w:p>
      <w:pPr>
        <w:pStyle w:val="ListNumber"/>
      </w:pPr>
      <w:r>
        <w:t>Commission the ACMD on research barriers, medical scheduling, personal-possession options, risk tiers, age rules and product standards.</w:t>
      </w:r>
    </w:p>
    <w:p>
      <w:pPr>
        <w:pStyle w:val="ListNumber"/>
      </w:pPr>
      <w:r>
        <w:t>Publish a harm-accounting baseline: deaths, admissions, treatment access, arrests, convictions, prison bed-days, enforcement costs, contamination and illicit-market indicators.</w:t>
      </w:r>
    </w:p>
    <w:p>
      <w:pPr>
        <w:pStyle w:val="ListNumber"/>
      </w:pPr>
      <w:r>
        <w:t>Invite the DPP—without direction—to review low-harm possession and social-supply guidance under the public-interest test; begin equivalent discussions in Scotland and Northern Ireland. [L6]</w:t>
      </w:r>
    </w:p>
    <w:p>
      <w:pPr>
        <w:pStyle w:val="ListNumber"/>
      </w:pPr>
      <w:r>
        <w:t>Begin an HMPPS/MoJ audit of prisoners and historical convictions potentially affected by reform.</w:t>
      </w:r>
    </w:p>
    <w:p>
      <w:pPr>
        <w:pStyle w:val="ListNumber"/>
      </w:pPr>
      <w:r>
        <w:t>Commission publishable legal advice on each proposed tier’s treaty and devolution position.</w:t>
      </w:r>
    </w:p>
    <w:p>
      <w:pPr>
        <w:pStyle w:val="ListNumber"/>
      </w:pPr>
      <w:r>
        <w:t>Fund design work for accredited regional drug-checking and toxicology services.</w:t>
      </w:r>
    </w:p>
    <w:p>
      <w:pPr>
        <w:pStyle w:val="ListNumber"/>
      </w:pPr>
      <w:r>
        <w:t>Pause new possession penalties unless an identified urgent risk justifies them.</w:t>
      </w:r>
    </w:p>
    <w:p>
      <w:pPr>
        <w:pStyle w:val="Heading1"/>
      </w:pPr>
      <w:r>
        <w:t>5. Days 30-120</w:t>
      </w:r>
    </w:p>
    <w:p>
      <w:pPr>
        <w:pStyle w:val="ListNumber"/>
      </w:pPr>
      <w:r>
        <w:t>Implement evidence-based reductions in duplicative Schedule 1 research licensing for appropriately approved institutions. [L7]</w:t>
      </w:r>
    </w:p>
    <w:p>
      <w:pPr>
        <w:pStyle w:val="ListNumber"/>
      </w:pPr>
      <w:r>
        <w:t>Expand evidence-based injectable opioid treatment where local need and clinical governance support it. [L8]</w:t>
      </w:r>
    </w:p>
    <w:p>
      <w:pPr>
        <w:pStyle w:val="ListNumber"/>
      </w:pPr>
      <w:r>
        <w:t>Create only those licensed pilots clearly within section 7 and treaty limits, with independent evaluation from day one.</w:t>
      </w:r>
    </w:p>
    <w:p>
      <w:pPr>
        <w:pStyle w:val="ListNumber"/>
      </w:pPr>
      <w:r>
        <w:t>Launch protected drug-checking services with rapid alerts for dangerous potency or contamination.</w:t>
      </w:r>
    </w:p>
    <w:p>
      <w:pPr>
        <w:pStyle w:val="ListNumber"/>
      </w:pPr>
      <w:r>
        <w:t>Publish draft risk tiers and Treasury sensitivity analysis for tax, compliance cost, illicit-market displacement and health funding.</w:t>
      </w:r>
    </w:p>
    <w:p>
      <w:pPr>
        <w:pStyle w:val="ListNumber"/>
      </w:pPr>
      <w:r>
        <w:t>Publish a Drug Harm, Autonomy and Regulation Bill and a parallel treaty strategy paper.</w:t>
      </w:r>
    </w:p>
    <w:p>
      <w:pPr>
        <w:pStyle w:val="Heading1"/>
      </w:pPr>
      <w:r>
        <w:t>6. Months 4-9: the primary Bill</w:t>
      </w:r>
    </w:p>
    <w:tbl>
      <w:tblPr>
        <w:tblStyle w:val="TableGrid"/>
        <w:tblW w:type="auto" w:w="0"/>
        <w:jc w:val="center"/>
        <w:tblLayout w:type="fixed"/>
        <w:tblLook w:firstColumn="1" w:firstRow="1" w:lastColumn="0" w:lastRow="0" w:noHBand="0" w:noVBand="1" w:val="04A0"/>
      </w:tblPr>
      <w:tblGrid>
        <w:gridCol w:w="4961"/>
        <w:gridCol w:w="4961"/>
      </w:tblGrid>
      <w:tr>
        <w:trPr>
          <w:tblHeader w:val="true"/>
        </w:trPr>
        <w:tc>
          <w:tcPr>
            <w:tcW w:type="dxa" w:w="2324"/>
            <w:vAlign w:val="center"/>
            <w:tcMar>
              <w:top w:w="90" w:type="dxa"/>
              <w:start w:w="100" w:type="dxa"/>
              <w:bottom w:w="90" w:type="dxa"/>
              <w:end w:w="100" w:type="dxa"/>
            </w:tcMar>
            <w:shd w:fill="215B45"/>
          </w:tcPr>
          <w:p>
            <w:pPr>
              <w:spacing w:after="0" w:line="252" w:lineRule="auto"/>
            </w:pPr>
            <w:r/>
            <w:r>
              <w:rPr>
                <w:rFonts w:ascii="Arial" w:hAnsi="Arial"/>
                <w:b/>
                <w:color w:val="FFFFFF"/>
                <w:sz w:val="16"/>
              </w:rPr>
              <w:t>Bill part</w:t>
            </w:r>
          </w:p>
        </w:tc>
        <w:tc>
          <w:tcPr>
            <w:tcW w:type="dxa" w:w="7200"/>
            <w:vAlign w:val="center"/>
            <w:tcMar>
              <w:top w:w="90" w:type="dxa"/>
              <w:start w:w="100" w:type="dxa"/>
              <w:bottom w:w="90" w:type="dxa"/>
              <w:end w:w="100" w:type="dxa"/>
            </w:tcMar>
            <w:shd w:fill="215B45"/>
          </w:tcPr>
          <w:p>
            <w:pPr>
              <w:spacing w:after="0" w:line="252" w:lineRule="auto"/>
            </w:pPr>
            <w:r/>
            <w:r>
              <w:rPr>
                <w:rFonts w:ascii="Arial" w:hAnsi="Arial"/>
                <w:b/>
                <w:color w:val="FFFFFF"/>
                <w:sz w:val="16"/>
              </w:rPr>
              <w:t>Core content</w:t>
            </w:r>
          </w:p>
        </w:tc>
      </w:tr>
      <w:tr>
        <w:trPr>
          <w:cantSplit/>
        </w:trPr>
        <w:tc>
          <w:tcPr>
            <w:tcW w:type="dxa" w:w="2324"/>
            <w:vAlign w:val="center"/>
            <w:tcMar>
              <w:top w:w="90" w:type="dxa"/>
              <w:start w:w="100" w:type="dxa"/>
              <w:bottom w:w="90" w:type="dxa"/>
              <w:end w:w="100" w:type="dxa"/>
            </w:tcMar>
            <w:shd w:fill="EFF6F1"/>
          </w:tcPr>
          <w:p>
            <w:pPr>
              <w:spacing w:after="0" w:line="252" w:lineRule="auto"/>
            </w:pPr>
            <w:r/>
            <w:r>
              <w:rPr>
                <w:rFonts w:ascii="Arial" w:hAnsi="Arial"/>
                <w:b w:val="0"/>
                <w:color w:val="17332A"/>
                <w:sz w:val="16"/>
              </w:rPr>
              <w:t>1 · Principles</w:t>
            </w:r>
          </w:p>
        </w:tc>
        <w:tc>
          <w:tcPr>
            <w:tcW w:type="dxa" w:w="7200"/>
            <w:vAlign w:val="center"/>
            <w:tcMar>
              <w:top w:w="90" w:type="dxa"/>
              <w:start w:w="100" w:type="dxa"/>
              <w:bottom w:w="90" w:type="dxa"/>
              <w:end w:w="100" w:type="dxa"/>
            </w:tcMar>
            <w:shd w:fill="EFF6F1"/>
          </w:tcPr>
          <w:p>
            <w:pPr>
              <w:spacing w:after="0" w:line="252" w:lineRule="auto"/>
            </w:pPr>
            <w:r/>
            <w:r>
              <w:rPr>
                <w:rFonts w:ascii="Arial" w:hAnsi="Arial"/>
                <w:b w:val="0"/>
                <w:color w:val="17332A"/>
                <w:sz w:val="16"/>
              </w:rPr>
              <w:t>Autonomy, harm, child protection, evidence standards, regulated product, dependence, social and commercial supply</w:t>
            </w:r>
          </w:p>
        </w:tc>
      </w:tr>
      <w:tr>
        <w:trPr>
          <w:cantSplit/>
        </w:trPr>
        <w:tc>
          <w:tcPr>
            <w:tcW w:type="dxa" w:w="2324"/>
            <w:vAlign w:val="center"/>
            <w:tcMar>
              <w:top w:w="90" w:type="dxa"/>
              <w:start w:w="100" w:type="dxa"/>
              <w:bottom w:w="90" w:type="dxa"/>
              <w:end w:w="100" w:type="dxa"/>
            </w:tcMar>
          </w:tcPr>
          <w:p>
            <w:pPr>
              <w:spacing w:after="0" w:line="252" w:lineRule="auto"/>
            </w:pPr>
            <w:r/>
            <w:r>
              <w:rPr>
                <w:rFonts w:ascii="Arial" w:hAnsi="Arial"/>
                <w:b w:val="0"/>
                <w:color w:val="17332A"/>
                <w:sz w:val="16"/>
              </w:rPr>
              <w:t>2 · Adult possession</w:t>
            </w:r>
          </w:p>
        </w:tc>
        <w:tc>
          <w:tcPr>
            <w:tcW w:type="dxa" w:w="7200"/>
            <w:vAlign w:val="center"/>
            <w:tcMar>
              <w:top w:w="90" w:type="dxa"/>
              <w:start w:w="100" w:type="dxa"/>
              <w:bottom w:w="90" w:type="dxa"/>
              <w:end w:w="100" w:type="dxa"/>
            </w:tcMar>
          </w:tcPr>
          <w:p>
            <w:pPr>
              <w:spacing w:after="0" w:line="252" w:lineRule="auto"/>
            </w:pPr>
            <w:r/>
            <w:r>
              <w:rPr>
                <w:rFonts w:ascii="Arial" w:hAnsi="Arial"/>
                <w:b w:val="0"/>
                <w:color w:val="17332A"/>
                <w:sz w:val="16"/>
              </w:rPr>
              <w:t>No criminal offence within prescribed personal-use rules; thresholds evidential rather than automatic proof of supply</w:t>
            </w:r>
          </w:p>
        </w:tc>
      </w:tr>
      <w:tr>
        <w:trPr>
          <w:cantSplit/>
        </w:trPr>
        <w:tc>
          <w:tcPr>
            <w:tcW w:type="dxa" w:w="2324"/>
            <w:vAlign w:val="center"/>
            <w:tcMar>
              <w:top w:w="90" w:type="dxa"/>
              <w:start w:w="100" w:type="dxa"/>
              <w:bottom w:w="90" w:type="dxa"/>
              <w:end w:w="100" w:type="dxa"/>
            </w:tcMar>
            <w:shd w:fill="EFF6F1"/>
          </w:tcPr>
          <w:p>
            <w:pPr>
              <w:spacing w:after="0" w:line="252" w:lineRule="auto"/>
            </w:pPr>
            <w:r/>
            <w:r>
              <w:rPr>
                <w:rFonts w:ascii="Arial" w:hAnsi="Arial"/>
                <w:b w:val="0"/>
                <w:color w:val="17332A"/>
                <w:sz w:val="16"/>
              </w:rPr>
              <w:t>3 · Licensing</w:t>
            </w:r>
          </w:p>
        </w:tc>
        <w:tc>
          <w:tcPr>
            <w:tcW w:type="dxa" w:w="7200"/>
            <w:vAlign w:val="center"/>
            <w:tcMar>
              <w:top w:w="90" w:type="dxa"/>
              <w:start w:w="100" w:type="dxa"/>
              <w:bottom w:w="90" w:type="dxa"/>
              <w:end w:w="100" w:type="dxa"/>
            </w:tcMar>
            <w:shd w:fill="EFF6F1"/>
          </w:tcPr>
          <w:p>
            <w:pPr>
              <w:spacing w:after="0" w:line="252" w:lineRule="auto"/>
            </w:pPr>
            <w:r/>
            <w:r>
              <w:rPr>
                <w:rFonts w:ascii="Arial" w:hAnsi="Arial"/>
                <w:b w:val="0"/>
                <w:color w:val="17332A"/>
                <w:sz w:val="16"/>
              </w:rPr>
              <w:t>Retail, specialist, pharmacy, clinical, supervised-use, manufacturing, cultivation, import/export and research licences</w:t>
            </w:r>
          </w:p>
        </w:tc>
      </w:tr>
      <w:tr>
        <w:trPr>
          <w:cantSplit/>
        </w:trPr>
        <w:tc>
          <w:tcPr>
            <w:tcW w:type="dxa" w:w="2324"/>
            <w:vAlign w:val="center"/>
            <w:tcMar>
              <w:top w:w="90" w:type="dxa"/>
              <w:start w:w="100" w:type="dxa"/>
              <w:bottom w:w="90" w:type="dxa"/>
              <w:end w:w="100" w:type="dxa"/>
            </w:tcMar>
          </w:tcPr>
          <w:p>
            <w:pPr>
              <w:spacing w:after="0" w:line="252" w:lineRule="auto"/>
            </w:pPr>
            <w:r/>
            <w:r>
              <w:rPr>
                <w:rFonts w:ascii="Arial" w:hAnsi="Arial"/>
                <w:b w:val="0"/>
                <w:color w:val="17332A"/>
                <w:sz w:val="16"/>
              </w:rPr>
              <w:t>4 · Product standards</w:t>
            </w:r>
          </w:p>
        </w:tc>
        <w:tc>
          <w:tcPr>
            <w:tcW w:type="dxa" w:w="7200"/>
            <w:vAlign w:val="center"/>
            <w:tcMar>
              <w:top w:w="90" w:type="dxa"/>
              <w:start w:w="100" w:type="dxa"/>
              <w:bottom w:w="90" w:type="dxa"/>
              <w:end w:w="100" w:type="dxa"/>
            </w:tcMar>
          </w:tcPr>
          <w:p>
            <w:pPr>
              <w:spacing w:after="0" w:line="252" w:lineRule="auto"/>
            </w:pPr>
            <w:r/>
            <w:r>
              <w:rPr>
                <w:rFonts w:ascii="Arial" w:hAnsi="Arial"/>
                <w:b w:val="0"/>
                <w:color w:val="17332A"/>
                <w:sz w:val="16"/>
              </w:rPr>
              <w:t>Identity, dose, batch tests, contaminants, warnings, packaging, recalls and pharmacovigilance</w:t>
            </w:r>
          </w:p>
        </w:tc>
      </w:tr>
      <w:tr>
        <w:trPr>
          <w:cantSplit/>
        </w:trPr>
        <w:tc>
          <w:tcPr>
            <w:tcW w:type="dxa" w:w="2324"/>
            <w:vAlign w:val="center"/>
            <w:tcMar>
              <w:top w:w="90" w:type="dxa"/>
              <w:start w:w="100" w:type="dxa"/>
              <w:bottom w:w="90" w:type="dxa"/>
              <w:end w:w="100" w:type="dxa"/>
            </w:tcMar>
            <w:shd w:fill="EFF6F1"/>
          </w:tcPr>
          <w:p>
            <w:pPr>
              <w:spacing w:after="0" w:line="252" w:lineRule="auto"/>
            </w:pPr>
            <w:r/>
            <w:r>
              <w:rPr>
                <w:rFonts w:ascii="Arial" w:hAnsi="Arial"/>
                <w:b w:val="0"/>
                <w:color w:val="17332A"/>
                <w:sz w:val="16"/>
              </w:rPr>
              <w:t>5 · High-harm offences</w:t>
            </w:r>
          </w:p>
        </w:tc>
        <w:tc>
          <w:tcPr>
            <w:tcW w:type="dxa" w:w="7200"/>
            <w:vAlign w:val="center"/>
            <w:tcMar>
              <w:top w:w="90" w:type="dxa"/>
              <w:start w:w="100" w:type="dxa"/>
              <w:bottom w:w="90" w:type="dxa"/>
              <w:end w:w="100" w:type="dxa"/>
            </w:tcMar>
            <w:shd w:fill="EFF6F1"/>
          </w:tcPr>
          <w:p>
            <w:pPr>
              <w:spacing w:after="0" w:line="252" w:lineRule="auto"/>
            </w:pPr>
            <w:r/>
            <w:r>
              <w:rPr>
                <w:rFonts w:ascii="Arial" w:hAnsi="Arial"/>
                <w:b w:val="0"/>
                <w:color w:val="17332A"/>
                <w:sz w:val="16"/>
              </w:rPr>
              <w:t>Children, coercion, trafficking of people, spiking, dangerous adulteration, fraud, violent debt enforcement and serious unlicensed supply</w:t>
            </w:r>
          </w:p>
        </w:tc>
      </w:tr>
      <w:tr>
        <w:trPr>
          <w:cantSplit/>
        </w:trPr>
        <w:tc>
          <w:tcPr>
            <w:tcW w:type="dxa" w:w="2324"/>
            <w:vAlign w:val="center"/>
            <w:tcMar>
              <w:top w:w="90" w:type="dxa"/>
              <w:start w:w="100" w:type="dxa"/>
              <w:bottom w:w="90" w:type="dxa"/>
              <w:end w:w="100" w:type="dxa"/>
            </w:tcMar>
          </w:tcPr>
          <w:p>
            <w:pPr>
              <w:spacing w:after="0" w:line="252" w:lineRule="auto"/>
            </w:pPr>
            <w:r/>
            <w:r>
              <w:rPr>
                <w:rFonts w:ascii="Arial" w:hAnsi="Arial"/>
                <w:b w:val="0"/>
                <w:color w:val="17332A"/>
                <w:sz w:val="16"/>
              </w:rPr>
              <w:t>6 · Health and research</w:t>
            </w:r>
          </w:p>
        </w:tc>
        <w:tc>
          <w:tcPr>
            <w:tcW w:type="dxa" w:w="7200"/>
            <w:vAlign w:val="center"/>
            <w:tcMar>
              <w:top w:w="90" w:type="dxa"/>
              <w:start w:w="100" w:type="dxa"/>
              <w:bottom w:w="90" w:type="dxa"/>
              <w:end w:w="100" w:type="dxa"/>
            </w:tcMar>
          </w:tcPr>
          <w:p>
            <w:pPr>
              <w:spacing w:after="0" w:line="252" w:lineRule="auto"/>
            </w:pPr>
            <w:r/>
            <w:r>
              <w:rPr>
                <w:rFonts w:ascii="Arial" w:hAnsi="Arial"/>
                <w:b w:val="0"/>
                <w:color w:val="17332A"/>
                <w:sz w:val="16"/>
              </w:rPr>
              <w:t>Drug checking, Good Samaritan protection, treatment access, research exemptions and specialist pain review</w:t>
            </w:r>
          </w:p>
        </w:tc>
      </w:tr>
      <w:tr>
        <w:trPr>
          <w:cantSplit/>
        </w:trPr>
        <w:tc>
          <w:tcPr>
            <w:tcW w:type="dxa" w:w="2324"/>
            <w:vAlign w:val="center"/>
            <w:tcMar>
              <w:top w:w="90" w:type="dxa"/>
              <w:start w:w="100" w:type="dxa"/>
              <w:bottom w:w="90" w:type="dxa"/>
              <w:end w:w="100" w:type="dxa"/>
            </w:tcMar>
            <w:shd w:fill="EFF6F1"/>
          </w:tcPr>
          <w:p>
            <w:pPr>
              <w:spacing w:after="0" w:line="252" w:lineRule="auto"/>
            </w:pPr>
            <w:r/>
            <w:r>
              <w:rPr>
                <w:rFonts w:ascii="Arial" w:hAnsi="Arial"/>
                <w:b w:val="0"/>
                <w:color w:val="17332A"/>
                <w:sz w:val="16"/>
              </w:rPr>
              <w:t>7 · Justice transition</w:t>
            </w:r>
          </w:p>
        </w:tc>
        <w:tc>
          <w:tcPr>
            <w:tcW w:type="dxa" w:w="7200"/>
            <w:vAlign w:val="center"/>
            <w:tcMar>
              <w:top w:w="90" w:type="dxa"/>
              <w:start w:w="100" w:type="dxa"/>
              <w:bottom w:w="90" w:type="dxa"/>
              <w:end w:w="100" w:type="dxa"/>
            </w:tcMar>
            <w:shd w:fill="EFF6F1"/>
          </w:tcPr>
          <w:p>
            <w:pPr>
              <w:spacing w:after="0" w:line="252" w:lineRule="auto"/>
            </w:pPr>
            <w:r/>
            <w:r>
              <w:rPr>
                <w:rFonts w:ascii="Arial" w:hAnsi="Arial"/>
                <w:b w:val="0"/>
                <w:color w:val="17332A"/>
                <w:sz w:val="16"/>
              </w:rPr>
              <w:t>Prisoner review, resentencing/release, historical disregard and disclosure consequences</w:t>
            </w:r>
          </w:p>
        </w:tc>
      </w:tr>
      <w:tr>
        <w:trPr>
          <w:cantSplit/>
        </w:trPr>
        <w:tc>
          <w:tcPr>
            <w:tcW w:type="dxa" w:w="2324"/>
            <w:vAlign w:val="center"/>
            <w:tcMar>
              <w:top w:w="90" w:type="dxa"/>
              <w:start w:w="100" w:type="dxa"/>
              <w:bottom w:w="90" w:type="dxa"/>
              <w:end w:w="100" w:type="dxa"/>
            </w:tcMar>
          </w:tcPr>
          <w:p>
            <w:pPr>
              <w:spacing w:after="0" w:line="252" w:lineRule="auto"/>
            </w:pPr>
            <w:r/>
            <w:r>
              <w:rPr>
                <w:rFonts w:ascii="Arial" w:hAnsi="Arial"/>
                <w:b w:val="0"/>
                <w:color w:val="17332A"/>
                <w:sz w:val="16"/>
              </w:rPr>
              <w:t>8 · Fiscal</w:t>
            </w:r>
          </w:p>
        </w:tc>
        <w:tc>
          <w:tcPr>
            <w:tcW w:type="dxa" w:w="7200"/>
            <w:vAlign w:val="center"/>
            <w:tcMar>
              <w:top w:w="90" w:type="dxa"/>
              <w:start w:w="100" w:type="dxa"/>
              <w:bottom w:w="90" w:type="dxa"/>
              <w:end w:w="100" w:type="dxa"/>
            </w:tcMar>
          </w:tcPr>
          <w:p>
            <w:pPr>
              <w:spacing w:after="0" w:line="252" w:lineRule="auto"/>
            </w:pPr>
            <w:r/>
            <w:r>
              <w:rPr>
                <w:rFonts w:ascii="Arial" w:hAnsi="Arial"/>
                <w:b w:val="0"/>
                <w:color w:val="17332A"/>
                <w:sz w:val="16"/>
              </w:rPr>
              <w:t>Excise, licence charges, NHS Drug Dividend and transparent accounts</w:t>
            </w:r>
          </w:p>
        </w:tc>
      </w:tr>
      <w:tr>
        <w:trPr>
          <w:cantSplit/>
        </w:trPr>
        <w:tc>
          <w:tcPr>
            <w:tcW w:type="dxa" w:w="2324"/>
            <w:vAlign w:val="center"/>
            <w:tcMar>
              <w:top w:w="90" w:type="dxa"/>
              <w:start w:w="100" w:type="dxa"/>
              <w:bottom w:w="90" w:type="dxa"/>
              <w:end w:w="100" w:type="dxa"/>
            </w:tcMar>
            <w:shd w:fill="EFF6F1"/>
          </w:tcPr>
          <w:p>
            <w:pPr>
              <w:spacing w:after="0" w:line="252" w:lineRule="auto"/>
            </w:pPr>
            <w:r/>
            <w:r>
              <w:rPr>
                <w:rFonts w:ascii="Arial" w:hAnsi="Arial"/>
                <w:b w:val="0"/>
                <w:color w:val="17332A"/>
                <w:sz w:val="16"/>
              </w:rPr>
              <w:t>9 · Regulator</w:t>
            </w:r>
          </w:p>
        </w:tc>
        <w:tc>
          <w:tcPr>
            <w:tcW w:type="dxa" w:w="7200"/>
            <w:vAlign w:val="center"/>
            <w:tcMar>
              <w:top w:w="90" w:type="dxa"/>
              <w:start w:w="100" w:type="dxa"/>
              <w:bottom w:w="90" w:type="dxa"/>
              <w:end w:w="100" w:type="dxa"/>
            </w:tcMar>
            <w:shd w:fill="EFF6F1"/>
          </w:tcPr>
          <w:p>
            <w:pPr>
              <w:spacing w:after="0" w:line="252" w:lineRule="auto"/>
            </w:pPr>
            <w:r/>
            <w:r>
              <w:rPr>
                <w:rFonts w:ascii="Arial" w:hAnsi="Arial"/>
                <w:b w:val="0"/>
                <w:color w:val="17332A"/>
                <w:sz w:val="16"/>
              </w:rPr>
              <w:t>Independent authority, conflicts register, scientific panels and public evidence register</w:t>
            </w:r>
          </w:p>
        </w:tc>
      </w:tr>
      <w:tr>
        <w:trPr>
          <w:cantSplit/>
        </w:trPr>
        <w:tc>
          <w:tcPr>
            <w:tcW w:type="dxa" w:w="2324"/>
            <w:vAlign w:val="center"/>
            <w:tcMar>
              <w:top w:w="90" w:type="dxa"/>
              <w:start w:w="100" w:type="dxa"/>
              <w:bottom w:w="90" w:type="dxa"/>
              <w:end w:w="100" w:type="dxa"/>
            </w:tcMar>
          </w:tcPr>
          <w:p>
            <w:pPr>
              <w:spacing w:after="0" w:line="252" w:lineRule="auto"/>
            </w:pPr>
            <w:r/>
            <w:r>
              <w:rPr>
                <w:rFonts w:ascii="Arial" w:hAnsi="Arial"/>
                <w:b w:val="0"/>
                <w:color w:val="17332A"/>
                <w:sz w:val="16"/>
              </w:rPr>
              <w:t>10 · Review and sunset</w:t>
            </w:r>
          </w:p>
        </w:tc>
        <w:tc>
          <w:tcPr>
            <w:tcW w:type="dxa" w:w="7200"/>
            <w:vAlign w:val="center"/>
            <w:tcMar>
              <w:top w:w="90" w:type="dxa"/>
              <w:start w:w="100" w:type="dxa"/>
              <w:bottom w:w="90" w:type="dxa"/>
              <w:end w:w="100" w:type="dxa"/>
            </w:tcMar>
          </w:tcPr>
          <w:p>
            <w:pPr>
              <w:spacing w:after="0" w:line="252" w:lineRule="auto"/>
            </w:pPr>
            <w:r/>
            <w:r>
              <w:rPr>
                <w:rFonts w:ascii="Arial" w:hAnsi="Arial"/>
                <w:b w:val="0"/>
                <w:color w:val="17332A"/>
                <w:sz w:val="16"/>
              </w:rPr>
              <w:t>12-month, 24-month and five-year reviews; restrictions expire unless renewed on evidence</w:t>
            </w:r>
          </w:p>
        </w:tc>
      </w:tr>
    </w:tbl>
    <w:p/>
    <w:p>
      <w:pPr>
        <w:pStyle w:val="Heading1"/>
      </w:pPr>
      <w:r>
        <w:t>7. Months 9-18: commencement</w:t>
      </w:r>
    </w:p>
    <w:p>
      <w:pPr>
        <w:pStyle w:val="ListNumber"/>
      </w:pPr>
      <w:r>
        <w:t>Establish the regulator in shadow form before Royal Assent so standards and systems are ready.</w:t>
      </w:r>
    </w:p>
    <w:p>
      <w:pPr>
        <w:pStyle w:val="ListNumber"/>
      </w:pPr>
      <w:r>
        <w:t>Open a Drug Conviction Review Tribunal immediately, with automatic identification of potentially eligible prisoners.</w:t>
      </w:r>
    </w:p>
    <w:p>
      <w:pPr>
        <w:pStyle w:val="ListNumber"/>
      </w:pPr>
      <w:r>
        <w:t>Prioritise record repair for simple possession and low-level consensual adult supply without independent violence, coercion or child offences.</w:t>
      </w:r>
    </w:p>
    <w:p>
      <w:pPr>
        <w:pStyle w:val="ListNumber"/>
      </w:pPr>
      <w:r>
        <w:t>Issue first licences only where product standards, testing capacity and treaty position are settled.</w:t>
      </w:r>
    </w:p>
    <w:p>
      <w:pPr>
        <w:pStyle w:val="ListNumber"/>
      </w:pPr>
      <w:r>
        <w:t>Start the NHS Drug Dividend with the first taxable market.</w:t>
      </w:r>
    </w:p>
    <w:p>
      <w:pPr>
        <w:pStyle w:val="ListNumber"/>
      </w:pPr>
      <w:r>
        <w:t>Redeploy enforcement toward violence, exploitation, fraud, corruption, dangerous adulteration, trafficking and impaired driving.</w:t>
      </w:r>
    </w:p>
    <w:p>
      <w:pPr>
        <w:pStyle w:val="Heading1"/>
      </w:pPr>
      <w:r>
        <w:t>8. Product and market design</w:t>
      </w:r>
    </w:p>
    <w:p>
      <w:r>
        <w:t>The objective is not to maximise consumption or tax. It is to displace unsafe supply while preventing a new industry from manufacturing demand.</w:t>
      </w:r>
    </w:p>
    <w:p>
      <w:pPr>
        <w:pStyle w:val="ListBullet"/>
      </w:pPr>
      <w:r>
        <w:t>No broadcast, influencer, sponsorship or lifestyle advertising.</w:t>
      </w:r>
    </w:p>
    <w:p>
      <w:pPr>
        <w:pStyle w:val="ListBullet"/>
      </w:pPr>
      <w:r>
        <w:t>Plain packaging, standard dose units, ingredient and contaminant disclosure, batch identifiers and recall capability.</w:t>
      </w:r>
    </w:p>
    <w:p>
      <w:pPr>
        <w:pStyle w:val="ListBullet"/>
      </w:pPr>
      <w:r>
        <w:t>Potency-linked excise and minimum public-health prices, with monitoring for displacement back to illicit supply.</w:t>
      </w:r>
    </w:p>
    <w:p>
      <w:pPr>
        <w:pStyle w:val="ListBullet"/>
      </w:pPr>
      <w:r>
        <w:t>Ownership transparency, limits on vertical integration and a ban on regulator-to-industry conflicts.</w:t>
      </w:r>
    </w:p>
    <w:p>
      <w:pPr>
        <w:pStyle w:val="ListBullet"/>
      </w:pPr>
      <w:r>
        <w:t>Different channels by risk: licensed retail, pharmacy, specialist service, supervised clinic or research-only.</w:t>
      </w:r>
    </w:p>
    <w:p>
      <w:pPr>
        <w:pStyle w:val="ListBullet"/>
      </w:pPr>
      <w:r>
        <w:t>Criminal and civil liability for dangerous adulteration, fraudulent substitution and supply to children.</w:t>
      </w:r>
    </w:p>
    <w:p>
      <w:pPr>
        <w:pStyle w:val="Heading1"/>
      </w:pPr>
      <w:r>
        <w:t>9. Healthcare and research procedure</w:t>
      </w:r>
    </w:p>
    <w:tbl>
      <w:tblPr>
        <w:tblStyle w:val="TableGrid"/>
        <w:tblW w:type="auto" w:w="0"/>
        <w:jc w:val="center"/>
        <w:tblLayout w:type="fixed"/>
        <w:tblLook w:firstColumn="1" w:firstRow="1" w:lastColumn="0" w:lastRow="0" w:noHBand="0" w:noVBand="1" w:val="04A0"/>
      </w:tblPr>
      <w:tblGrid>
        <w:gridCol w:w="3307"/>
        <w:gridCol w:w="3307"/>
        <w:gridCol w:w="3307"/>
      </w:tblGrid>
      <w:tr>
        <w:trPr>
          <w:tblHeader w:val="true"/>
        </w:trPr>
        <w:tc>
          <w:tcPr>
            <w:tcW w:type="dxa" w:w="1417"/>
            <w:vAlign w:val="center"/>
            <w:tcMar>
              <w:top w:w="90" w:type="dxa"/>
              <w:start w:w="100" w:type="dxa"/>
              <w:bottom w:w="90" w:type="dxa"/>
              <w:end w:w="100" w:type="dxa"/>
            </w:tcMar>
            <w:shd w:fill="215B45"/>
          </w:tcPr>
          <w:p>
            <w:pPr>
              <w:spacing w:after="0" w:line="252" w:lineRule="auto"/>
            </w:pPr>
            <w:r/>
            <w:r>
              <w:rPr>
                <w:rFonts w:ascii="Arial" w:hAnsi="Arial"/>
                <w:b/>
                <w:color w:val="FFFFFF"/>
                <w:sz w:val="16"/>
              </w:rPr>
              <w:t>Stage</w:t>
            </w:r>
          </w:p>
        </w:tc>
        <w:tc>
          <w:tcPr>
            <w:tcW w:type="dxa" w:w="4932"/>
            <w:vAlign w:val="center"/>
            <w:tcMar>
              <w:top w:w="90" w:type="dxa"/>
              <w:start w:w="100" w:type="dxa"/>
              <w:bottom w:w="90" w:type="dxa"/>
              <w:end w:w="100" w:type="dxa"/>
            </w:tcMar>
            <w:shd w:fill="215B45"/>
          </w:tcPr>
          <w:p>
            <w:pPr>
              <w:spacing w:after="0" w:line="252" w:lineRule="auto"/>
            </w:pPr>
            <w:r/>
            <w:r>
              <w:rPr>
                <w:rFonts w:ascii="Arial" w:hAnsi="Arial"/>
                <w:b/>
                <w:color w:val="FFFFFF"/>
                <w:sz w:val="16"/>
              </w:rPr>
              <w:t>Action</w:t>
            </w:r>
          </w:p>
        </w:tc>
        <w:tc>
          <w:tcPr>
            <w:tcW w:type="dxa" w:w="3175"/>
            <w:vAlign w:val="center"/>
            <w:tcMar>
              <w:top w:w="90" w:type="dxa"/>
              <w:start w:w="100" w:type="dxa"/>
              <w:bottom w:w="90" w:type="dxa"/>
              <w:end w:w="100" w:type="dxa"/>
            </w:tcMar>
            <w:shd w:fill="215B45"/>
          </w:tcPr>
          <w:p>
            <w:pPr>
              <w:spacing w:after="0" w:line="252" w:lineRule="auto"/>
            </w:pPr>
            <w:r/>
            <w:r>
              <w:rPr>
                <w:rFonts w:ascii="Arial" w:hAnsi="Arial"/>
                <w:b/>
                <w:color w:val="FFFFFF"/>
                <w:sz w:val="16"/>
              </w:rPr>
              <w:t>Decision gate</w:t>
            </w:r>
          </w:p>
        </w:tc>
      </w:tr>
      <w:tr>
        <w:trPr>
          <w:cantSplit/>
        </w:trPr>
        <w:tc>
          <w:tcPr>
            <w:tcW w:type="dxa" w:w="1417"/>
            <w:vAlign w:val="center"/>
            <w:tcMar>
              <w:top w:w="90" w:type="dxa"/>
              <w:start w:w="100" w:type="dxa"/>
              <w:bottom w:w="90" w:type="dxa"/>
              <w:end w:w="100" w:type="dxa"/>
            </w:tcMar>
            <w:shd w:fill="EFF6F1"/>
          </w:tcPr>
          <w:p>
            <w:pPr>
              <w:spacing w:after="0" w:line="252" w:lineRule="auto"/>
            </w:pPr>
            <w:r/>
            <w:r>
              <w:rPr>
                <w:rFonts w:ascii="Arial" w:hAnsi="Arial"/>
                <w:b w:val="0"/>
                <w:color w:val="17332A"/>
                <w:sz w:val="16"/>
              </w:rPr>
              <w:t>1 · Present</w:t>
            </w:r>
          </w:p>
        </w:tc>
        <w:tc>
          <w:tcPr>
            <w:tcW w:type="dxa" w:w="4932"/>
            <w:vAlign w:val="center"/>
            <w:tcMar>
              <w:top w:w="90" w:type="dxa"/>
              <w:start w:w="100" w:type="dxa"/>
              <w:bottom w:w="90" w:type="dxa"/>
              <w:end w:w="100" w:type="dxa"/>
            </w:tcMar>
            <w:shd w:fill="EFF6F1"/>
          </w:tcPr>
          <w:p>
            <w:pPr>
              <w:spacing w:after="0" w:line="252" w:lineRule="auto"/>
            </w:pPr>
            <w:r/>
            <w:r>
              <w:rPr>
                <w:rFonts w:ascii="Arial" w:hAnsi="Arial"/>
                <w:b w:val="0"/>
                <w:color w:val="17332A"/>
                <w:sz w:val="16"/>
              </w:rPr>
              <w:t>Person states goal: pain, treatment, withdrawal, safer use or information</w:t>
            </w:r>
          </w:p>
        </w:tc>
        <w:tc>
          <w:tcPr>
            <w:tcW w:type="dxa" w:w="3175"/>
            <w:vAlign w:val="center"/>
            <w:tcMar>
              <w:top w:w="90" w:type="dxa"/>
              <w:start w:w="100" w:type="dxa"/>
              <w:bottom w:w="90" w:type="dxa"/>
              <w:end w:w="100" w:type="dxa"/>
            </w:tcMar>
            <w:shd w:fill="EFF6F1"/>
          </w:tcPr>
          <w:p>
            <w:pPr>
              <w:spacing w:after="0" w:line="252" w:lineRule="auto"/>
            </w:pPr>
            <w:r/>
            <w:r>
              <w:rPr>
                <w:rFonts w:ascii="Arial" w:hAnsi="Arial"/>
                <w:b w:val="0"/>
                <w:color w:val="17332A"/>
                <w:sz w:val="16"/>
              </w:rPr>
              <w:t>Urgent medical or safeguarding need?</w:t>
            </w:r>
          </w:p>
        </w:tc>
      </w:tr>
      <w:tr>
        <w:trPr>
          <w:cantSplit/>
        </w:trPr>
        <w:tc>
          <w:tcPr>
            <w:tcW w:type="dxa" w:w="1417"/>
            <w:vAlign w:val="center"/>
            <w:tcMar>
              <w:top w:w="90" w:type="dxa"/>
              <w:start w:w="100" w:type="dxa"/>
              <w:bottom w:w="90" w:type="dxa"/>
              <w:end w:w="100" w:type="dxa"/>
            </w:tcMar>
          </w:tcPr>
          <w:p>
            <w:pPr>
              <w:spacing w:after="0" w:line="252" w:lineRule="auto"/>
            </w:pPr>
            <w:r/>
            <w:r>
              <w:rPr>
                <w:rFonts w:ascii="Arial" w:hAnsi="Arial"/>
                <w:b w:val="0"/>
                <w:color w:val="17332A"/>
                <w:sz w:val="16"/>
              </w:rPr>
              <w:t>2 · Assess</w:t>
            </w:r>
          </w:p>
        </w:tc>
        <w:tc>
          <w:tcPr>
            <w:tcW w:type="dxa" w:w="4932"/>
            <w:vAlign w:val="center"/>
            <w:tcMar>
              <w:top w:w="90" w:type="dxa"/>
              <w:start w:w="100" w:type="dxa"/>
              <w:bottom w:w="90" w:type="dxa"/>
              <w:end w:w="100" w:type="dxa"/>
            </w:tcMar>
          </w:tcPr>
          <w:p>
            <w:pPr>
              <w:spacing w:after="0" w:line="252" w:lineRule="auto"/>
            </w:pPr>
            <w:r/>
            <w:r>
              <w:rPr>
                <w:rFonts w:ascii="Arial" w:hAnsi="Arial"/>
                <w:b w:val="0"/>
                <w:color w:val="17332A"/>
                <w:sz w:val="16"/>
              </w:rPr>
              <w:t>Medication/substance reconciliation, capacity, interactions, dependence and mental/physical health</w:t>
            </w:r>
          </w:p>
        </w:tc>
        <w:tc>
          <w:tcPr>
            <w:tcW w:type="dxa" w:w="3175"/>
            <w:vAlign w:val="center"/>
            <w:tcMar>
              <w:top w:w="90" w:type="dxa"/>
              <w:start w:w="100" w:type="dxa"/>
              <w:bottom w:w="90" w:type="dxa"/>
              <w:end w:w="100" w:type="dxa"/>
            </w:tcMar>
          </w:tcPr>
          <w:p>
            <w:pPr>
              <w:spacing w:after="0" w:line="252" w:lineRule="auto"/>
            </w:pPr>
            <w:r/>
            <w:r>
              <w:rPr>
                <w:rFonts w:ascii="Arial" w:hAnsi="Arial"/>
                <w:b w:val="0"/>
                <w:color w:val="17332A"/>
                <w:sz w:val="16"/>
              </w:rPr>
              <w:t>Can risk be reduced in ordinary care?</w:t>
            </w:r>
          </w:p>
        </w:tc>
      </w:tr>
      <w:tr>
        <w:trPr>
          <w:cantSplit/>
        </w:trPr>
        <w:tc>
          <w:tcPr>
            <w:tcW w:type="dxa" w:w="1417"/>
            <w:vAlign w:val="center"/>
            <w:tcMar>
              <w:top w:w="90" w:type="dxa"/>
              <w:start w:w="100" w:type="dxa"/>
              <w:bottom w:w="90" w:type="dxa"/>
              <w:end w:w="100" w:type="dxa"/>
            </w:tcMar>
            <w:shd w:fill="EFF6F1"/>
          </w:tcPr>
          <w:p>
            <w:pPr>
              <w:spacing w:after="0" w:line="252" w:lineRule="auto"/>
            </w:pPr>
            <w:r/>
            <w:r>
              <w:rPr>
                <w:rFonts w:ascii="Arial" w:hAnsi="Arial"/>
                <w:b w:val="0"/>
                <w:color w:val="17332A"/>
                <w:sz w:val="16"/>
              </w:rPr>
              <w:t>3 · Choose</w:t>
            </w:r>
          </w:p>
        </w:tc>
        <w:tc>
          <w:tcPr>
            <w:tcW w:type="dxa" w:w="4932"/>
            <w:vAlign w:val="center"/>
            <w:tcMar>
              <w:top w:w="90" w:type="dxa"/>
              <w:start w:w="100" w:type="dxa"/>
              <w:bottom w:w="90" w:type="dxa"/>
              <w:end w:w="100" w:type="dxa"/>
            </w:tcMar>
            <w:shd w:fill="EFF6F1"/>
          </w:tcPr>
          <w:p>
            <w:pPr>
              <w:spacing w:after="0" w:line="252" w:lineRule="auto"/>
            </w:pPr>
            <w:r/>
            <w:r>
              <w:rPr>
                <w:rFonts w:ascii="Arial" w:hAnsi="Arial"/>
                <w:b w:val="0"/>
                <w:color w:val="17332A"/>
                <w:sz w:val="16"/>
              </w:rPr>
              <w:t>Shared decision with evidence grade, alternatives and material uncertainty</w:t>
            </w:r>
          </w:p>
        </w:tc>
        <w:tc>
          <w:tcPr>
            <w:tcW w:type="dxa" w:w="3175"/>
            <w:vAlign w:val="center"/>
            <w:tcMar>
              <w:top w:w="90" w:type="dxa"/>
              <w:start w:w="100" w:type="dxa"/>
              <w:bottom w:w="90" w:type="dxa"/>
              <w:end w:w="100" w:type="dxa"/>
            </w:tcMar>
            <w:shd w:fill="EFF6F1"/>
          </w:tcPr>
          <w:p>
            <w:pPr>
              <w:spacing w:after="0" w:line="252" w:lineRule="auto"/>
            </w:pPr>
            <w:r/>
            <w:r>
              <w:rPr>
                <w:rFonts w:ascii="Arial" w:hAnsi="Arial"/>
                <w:b w:val="0"/>
                <w:color w:val="17332A"/>
                <w:sz w:val="16"/>
              </w:rPr>
              <w:t>Clinical, pharmacy, supervised or non-drug route</w:t>
            </w:r>
          </w:p>
        </w:tc>
      </w:tr>
      <w:tr>
        <w:trPr>
          <w:cantSplit/>
        </w:trPr>
        <w:tc>
          <w:tcPr>
            <w:tcW w:type="dxa" w:w="1417"/>
            <w:vAlign w:val="center"/>
            <w:tcMar>
              <w:top w:w="90" w:type="dxa"/>
              <w:start w:w="100" w:type="dxa"/>
              <w:bottom w:w="90" w:type="dxa"/>
              <w:end w:w="100" w:type="dxa"/>
            </w:tcMar>
          </w:tcPr>
          <w:p>
            <w:pPr>
              <w:spacing w:after="0" w:line="252" w:lineRule="auto"/>
            </w:pPr>
            <w:r/>
            <w:r>
              <w:rPr>
                <w:rFonts w:ascii="Arial" w:hAnsi="Arial"/>
                <w:b w:val="0"/>
                <w:color w:val="17332A"/>
                <w:sz w:val="16"/>
              </w:rPr>
              <w:t>4 · Monitor</w:t>
            </w:r>
          </w:p>
        </w:tc>
        <w:tc>
          <w:tcPr>
            <w:tcW w:type="dxa" w:w="4932"/>
            <w:vAlign w:val="center"/>
            <w:tcMar>
              <w:top w:w="90" w:type="dxa"/>
              <w:start w:w="100" w:type="dxa"/>
              <w:bottom w:w="90" w:type="dxa"/>
              <w:end w:w="100" w:type="dxa"/>
            </w:tcMar>
          </w:tcPr>
          <w:p>
            <w:pPr>
              <w:spacing w:after="0" w:line="252" w:lineRule="auto"/>
            </w:pPr>
            <w:r/>
            <w:r>
              <w:rPr>
                <w:rFonts w:ascii="Arial" w:hAnsi="Arial"/>
                <w:b w:val="0"/>
                <w:color w:val="17332A"/>
                <w:sz w:val="16"/>
              </w:rPr>
              <w:t>Outcomes, adverse effects and the person’s own goals</w:t>
            </w:r>
          </w:p>
        </w:tc>
        <w:tc>
          <w:tcPr>
            <w:tcW w:type="dxa" w:w="3175"/>
            <w:vAlign w:val="center"/>
            <w:tcMar>
              <w:top w:w="90" w:type="dxa"/>
              <w:start w:w="100" w:type="dxa"/>
              <w:bottom w:w="90" w:type="dxa"/>
              <w:end w:w="100" w:type="dxa"/>
            </w:tcMar>
          </w:tcPr>
          <w:p>
            <w:pPr>
              <w:spacing w:after="0" w:line="252" w:lineRule="auto"/>
            </w:pPr>
            <w:r/>
            <w:r>
              <w:rPr>
                <w:rFonts w:ascii="Arial" w:hAnsi="Arial"/>
                <w:b w:val="0"/>
                <w:color w:val="17332A"/>
                <w:sz w:val="16"/>
              </w:rPr>
              <w:t>Continue, adjust, taper or stop</w:t>
            </w:r>
          </w:p>
        </w:tc>
      </w:tr>
      <w:tr>
        <w:trPr>
          <w:cantSplit/>
        </w:trPr>
        <w:tc>
          <w:tcPr>
            <w:tcW w:type="dxa" w:w="1417"/>
            <w:vAlign w:val="center"/>
            <w:tcMar>
              <w:top w:w="90" w:type="dxa"/>
              <w:start w:w="100" w:type="dxa"/>
              <w:bottom w:w="90" w:type="dxa"/>
              <w:end w:w="100" w:type="dxa"/>
            </w:tcMar>
            <w:shd w:fill="EFF6F1"/>
          </w:tcPr>
          <w:p>
            <w:pPr>
              <w:spacing w:after="0" w:line="252" w:lineRule="auto"/>
            </w:pPr>
            <w:r/>
            <w:r>
              <w:rPr>
                <w:rFonts w:ascii="Arial" w:hAnsi="Arial"/>
                <w:b w:val="0"/>
                <w:color w:val="17332A"/>
                <w:sz w:val="16"/>
              </w:rPr>
              <w:t>5 · Learn</w:t>
            </w:r>
          </w:p>
        </w:tc>
        <w:tc>
          <w:tcPr>
            <w:tcW w:type="dxa" w:w="4932"/>
            <w:vAlign w:val="center"/>
            <w:tcMar>
              <w:top w:w="90" w:type="dxa"/>
              <w:start w:w="100" w:type="dxa"/>
              <w:bottom w:w="90" w:type="dxa"/>
              <w:end w:w="100" w:type="dxa"/>
            </w:tcMar>
            <w:shd w:fill="EFF6F1"/>
          </w:tcPr>
          <w:p>
            <w:pPr>
              <w:spacing w:after="0" w:line="252" w:lineRule="auto"/>
            </w:pPr>
            <w:r/>
            <w:r>
              <w:rPr>
                <w:rFonts w:ascii="Arial" w:hAnsi="Arial"/>
                <w:b w:val="0"/>
                <w:color w:val="17332A"/>
                <w:sz w:val="16"/>
              </w:rPr>
              <w:t>De-identified outcomes enter the evidence register</w:t>
            </w:r>
          </w:p>
        </w:tc>
        <w:tc>
          <w:tcPr>
            <w:tcW w:type="dxa" w:w="3175"/>
            <w:vAlign w:val="center"/>
            <w:tcMar>
              <w:top w:w="90" w:type="dxa"/>
              <w:start w:w="100" w:type="dxa"/>
              <w:bottom w:w="90" w:type="dxa"/>
              <w:end w:w="100" w:type="dxa"/>
            </w:tcMar>
            <w:shd w:fill="EFF6F1"/>
          </w:tcPr>
          <w:p>
            <w:pPr>
              <w:spacing w:after="0" w:line="252" w:lineRule="auto"/>
            </w:pPr>
            <w:r/>
            <w:r>
              <w:rPr>
                <w:rFonts w:ascii="Arial" w:hAnsi="Arial"/>
                <w:b w:val="0"/>
                <w:color w:val="17332A"/>
                <w:sz w:val="16"/>
              </w:rPr>
              <w:t>Does the tier or guidance need correction?</w:t>
            </w:r>
          </w:p>
        </w:tc>
      </w:tr>
    </w:tbl>
    <w:p/>
    <w:p>
      <w:pPr>
        <w:pStyle w:val="Heading1"/>
      </w:pPr>
      <w:r>
        <w:t>10. Justice transition and record repair</w:t>
      </w:r>
    </w:p>
    <w:p>
      <w:r>
        <w:t>Reform is incomplete if the state permits tomorrow what keeps a person imprisoned or unemployable today. Parliament should create express review powers rather than relying on inconsistent applications. The existing statutory disregard model shows that Parliament can create targeted record-repair architecture, although drug reform requires its own criteria. [L9]</w:t>
      </w:r>
    </w:p>
    <w:p>
      <w:r>
        <w:t>Eligibility should separate the drug conduct from independent wrongs. Violence, coercion, child exploitation, spiking, trafficking of people, dangerous adulteration and fraud remain reviewable as their own offences even where the associated substance conduct changes.</w:t>
      </w:r>
    </w:p>
    <w:p>
      <w:pPr>
        <w:pStyle w:val="Heading1"/>
      </w:pPr>
      <w:r>
        <w:t>11. Workforce and police transition</w:t>
      </w:r>
    </w:p>
    <w:p>
      <w:r>
        <w:t>Licensed workers need training in identification, dose, interactions, safeguarding, refusal of sale, emergency response and record keeping. Police transition should publish the number of hours and specialist resources redeployed from possession toward violence, exploitation, fraud, dangerous supply and impaired driving. Performance measures should reward reduced harm and illicit-market share—not arrest totals.</w:t>
      </w:r>
    </w:p>
    <w:p>
      <w:pPr>
        <w:pStyle w:val="Heading1"/>
      </w:pPr>
      <w:r>
        <w:t>12. NHS Drug Dividend</w:t>
      </w:r>
    </w:p>
    <w:p>
      <w:r>
        <w:t>A starting proposal is to ring-fence 50% of net receipts from excise and licence charges after direct regulatory costs. This percentage is a policy choice, not an evidence finding, and requires Treasury modelling. Funds should be additional, transparent and protected from replacing existing treatment budgets.</w:t>
      </w:r>
    </w:p>
    <w:tbl>
      <w:tblPr>
        <w:tblStyle w:val="TableGrid"/>
        <w:tblW w:type="auto" w:w="0"/>
        <w:jc w:val="center"/>
        <w:tblLayout w:type="fixed"/>
        <w:tblLook w:firstColumn="1" w:firstRow="1" w:lastColumn="0" w:lastRow="0" w:noHBand="0" w:noVBand="1" w:val="04A0"/>
      </w:tblPr>
      <w:tblGrid>
        <w:gridCol w:w="3307"/>
        <w:gridCol w:w="3307"/>
        <w:gridCol w:w="3307"/>
      </w:tblGrid>
      <w:tr>
        <w:trPr>
          <w:tblHeader w:val="true"/>
        </w:trPr>
        <w:tc>
          <w:tcPr>
            <w:tcW w:type="dxa" w:w="2835"/>
            <w:vAlign w:val="center"/>
            <w:tcMar>
              <w:top w:w="90" w:type="dxa"/>
              <w:start w:w="100" w:type="dxa"/>
              <w:bottom w:w="90" w:type="dxa"/>
              <w:end w:w="100" w:type="dxa"/>
            </w:tcMar>
            <w:shd w:fill="215B45"/>
          </w:tcPr>
          <w:p>
            <w:pPr>
              <w:spacing w:after="0" w:line="252" w:lineRule="auto"/>
            </w:pPr>
            <w:r/>
            <w:r>
              <w:rPr>
                <w:rFonts w:ascii="Arial" w:hAnsi="Arial"/>
                <w:b/>
                <w:color w:val="FFFFFF"/>
                <w:sz w:val="16"/>
              </w:rPr>
              <w:t>Illustrative allocation</w:t>
            </w:r>
          </w:p>
        </w:tc>
        <w:tc>
          <w:tcPr>
            <w:tcW w:type="dxa" w:w="1814"/>
            <w:vAlign w:val="center"/>
            <w:tcMar>
              <w:top w:w="90" w:type="dxa"/>
              <w:start w:w="100" w:type="dxa"/>
              <w:bottom w:w="90" w:type="dxa"/>
              <w:end w:w="100" w:type="dxa"/>
            </w:tcMar>
            <w:shd w:fill="215B45"/>
          </w:tcPr>
          <w:p>
            <w:pPr>
              <w:spacing w:after="0" w:line="252" w:lineRule="auto"/>
            </w:pPr>
            <w:r/>
            <w:r>
              <w:rPr>
                <w:rFonts w:ascii="Arial" w:hAnsi="Arial"/>
                <w:b/>
                <w:color w:val="FFFFFF"/>
                <w:sz w:val="16"/>
              </w:rPr>
              <w:t>Share of ring-fenced fund</w:t>
            </w:r>
          </w:p>
        </w:tc>
        <w:tc>
          <w:tcPr>
            <w:tcW w:type="dxa" w:w="4876"/>
            <w:vAlign w:val="center"/>
            <w:tcMar>
              <w:top w:w="90" w:type="dxa"/>
              <w:start w:w="100" w:type="dxa"/>
              <w:bottom w:w="90" w:type="dxa"/>
              <w:end w:w="100" w:type="dxa"/>
            </w:tcMar>
            <w:shd w:fill="215B45"/>
          </w:tcPr>
          <w:p>
            <w:pPr>
              <w:spacing w:after="0" w:line="252" w:lineRule="auto"/>
            </w:pPr>
            <w:r/>
            <w:r>
              <w:rPr>
                <w:rFonts w:ascii="Arial" w:hAnsi="Arial"/>
                <w:b/>
                <w:color w:val="FFFFFF"/>
                <w:sz w:val="16"/>
              </w:rPr>
              <w:t>Purpose</w:t>
            </w:r>
          </w:p>
        </w:tc>
      </w:tr>
      <w:tr>
        <w:trPr>
          <w:cantSplit/>
        </w:trPr>
        <w:tc>
          <w:tcPr>
            <w:tcW w:type="dxa" w:w="2835"/>
            <w:vAlign w:val="center"/>
            <w:tcMar>
              <w:top w:w="90" w:type="dxa"/>
              <w:start w:w="100" w:type="dxa"/>
              <w:bottom w:w="90" w:type="dxa"/>
              <w:end w:w="100" w:type="dxa"/>
            </w:tcMar>
            <w:shd w:fill="EFF6F1"/>
          </w:tcPr>
          <w:p>
            <w:pPr>
              <w:spacing w:after="0" w:line="252" w:lineRule="auto"/>
            </w:pPr>
            <w:r/>
            <w:r>
              <w:rPr>
                <w:rFonts w:ascii="Arial" w:hAnsi="Arial"/>
                <w:b w:val="0"/>
                <w:color w:val="17332A"/>
                <w:sz w:val="16"/>
              </w:rPr>
              <w:t>Treatment and recovery</w:t>
            </w:r>
          </w:p>
        </w:tc>
        <w:tc>
          <w:tcPr>
            <w:tcW w:type="dxa" w:w="1814"/>
            <w:vAlign w:val="center"/>
            <w:tcMar>
              <w:top w:w="90" w:type="dxa"/>
              <w:start w:w="100" w:type="dxa"/>
              <w:bottom w:w="90" w:type="dxa"/>
              <w:end w:w="100" w:type="dxa"/>
            </w:tcMar>
            <w:shd w:fill="EFF6F1"/>
          </w:tcPr>
          <w:p>
            <w:pPr>
              <w:spacing w:after="0" w:line="252" w:lineRule="auto"/>
            </w:pPr>
            <w:r/>
            <w:r>
              <w:rPr>
                <w:rFonts w:ascii="Arial" w:hAnsi="Arial"/>
                <w:b w:val="0"/>
                <w:color w:val="17332A"/>
                <w:sz w:val="16"/>
              </w:rPr>
              <w:t>35%</w:t>
            </w:r>
          </w:p>
        </w:tc>
        <w:tc>
          <w:tcPr>
            <w:tcW w:type="dxa" w:w="4876"/>
            <w:vAlign w:val="center"/>
            <w:tcMar>
              <w:top w:w="90" w:type="dxa"/>
              <w:start w:w="100" w:type="dxa"/>
              <w:bottom w:w="90" w:type="dxa"/>
              <w:end w:w="100" w:type="dxa"/>
            </w:tcMar>
            <w:shd w:fill="EFF6F1"/>
          </w:tcPr>
          <w:p>
            <w:pPr>
              <w:spacing w:after="0" w:line="252" w:lineRule="auto"/>
            </w:pPr>
            <w:r/>
            <w:r>
              <w:rPr>
                <w:rFonts w:ascii="Arial" w:hAnsi="Arial"/>
                <w:b w:val="0"/>
                <w:color w:val="17332A"/>
                <w:sz w:val="16"/>
              </w:rPr>
              <w:t>Rapid access, medication, psychosocial support and continuity of care</w:t>
            </w:r>
          </w:p>
        </w:tc>
      </w:tr>
      <w:tr>
        <w:trPr>
          <w:cantSplit/>
        </w:trPr>
        <w:tc>
          <w:tcPr>
            <w:tcW w:type="dxa" w:w="2835"/>
            <w:vAlign w:val="center"/>
            <w:tcMar>
              <w:top w:w="90" w:type="dxa"/>
              <w:start w:w="100" w:type="dxa"/>
              <w:bottom w:w="90" w:type="dxa"/>
              <w:end w:w="100" w:type="dxa"/>
            </w:tcMar>
          </w:tcPr>
          <w:p>
            <w:pPr>
              <w:spacing w:after="0" w:line="252" w:lineRule="auto"/>
            </w:pPr>
            <w:r/>
            <w:r>
              <w:rPr>
                <w:rFonts w:ascii="Arial" w:hAnsi="Arial"/>
                <w:b w:val="0"/>
                <w:color w:val="17332A"/>
                <w:sz w:val="16"/>
              </w:rPr>
              <w:t>Mental health and pain</w:t>
            </w:r>
          </w:p>
        </w:tc>
        <w:tc>
          <w:tcPr>
            <w:tcW w:type="dxa" w:w="1814"/>
            <w:vAlign w:val="center"/>
            <w:tcMar>
              <w:top w:w="90" w:type="dxa"/>
              <w:start w:w="100" w:type="dxa"/>
              <w:bottom w:w="90" w:type="dxa"/>
              <w:end w:w="100" w:type="dxa"/>
            </w:tcMar>
          </w:tcPr>
          <w:p>
            <w:pPr>
              <w:spacing w:after="0" w:line="252" w:lineRule="auto"/>
            </w:pPr>
            <w:r/>
            <w:r>
              <w:rPr>
                <w:rFonts w:ascii="Arial" w:hAnsi="Arial"/>
                <w:b w:val="0"/>
                <w:color w:val="17332A"/>
                <w:sz w:val="16"/>
              </w:rPr>
              <w:t>20%</w:t>
            </w:r>
          </w:p>
        </w:tc>
        <w:tc>
          <w:tcPr>
            <w:tcW w:type="dxa" w:w="4876"/>
            <w:vAlign w:val="center"/>
            <w:tcMar>
              <w:top w:w="90" w:type="dxa"/>
              <w:start w:w="100" w:type="dxa"/>
              <w:bottom w:w="90" w:type="dxa"/>
              <w:end w:w="100" w:type="dxa"/>
            </w:tcMar>
          </w:tcPr>
          <w:p>
            <w:pPr>
              <w:spacing w:after="0" w:line="252" w:lineRule="auto"/>
            </w:pPr>
            <w:r/>
            <w:r>
              <w:rPr>
                <w:rFonts w:ascii="Arial" w:hAnsi="Arial"/>
                <w:b w:val="0"/>
                <w:color w:val="17332A"/>
                <w:sz w:val="16"/>
              </w:rPr>
              <w:t>Specialist review and alternatives to unsupported prescribing</w:t>
            </w:r>
          </w:p>
        </w:tc>
      </w:tr>
      <w:tr>
        <w:trPr>
          <w:cantSplit/>
        </w:trPr>
        <w:tc>
          <w:tcPr>
            <w:tcW w:type="dxa" w:w="2835"/>
            <w:vAlign w:val="center"/>
            <w:tcMar>
              <w:top w:w="90" w:type="dxa"/>
              <w:start w:w="100" w:type="dxa"/>
              <w:bottom w:w="90" w:type="dxa"/>
              <w:end w:w="100" w:type="dxa"/>
            </w:tcMar>
            <w:shd w:fill="EFF6F1"/>
          </w:tcPr>
          <w:p>
            <w:pPr>
              <w:spacing w:after="0" w:line="252" w:lineRule="auto"/>
            </w:pPr>
            <w:r/>
            <w:r>
              <w:rPr>
                <w:rFonts w:ascii="Arial" w:hAnsi="Arial"/>
                <w:b w:val="0"/>
                <w:color w:val="17332A"/>
                <w:sz w:val="16"/>
              </w:rPr>
              <w:t>Drug checking and toxicology</w:t>
            </w:r>
          </w:p>
        </w:tc>
        <w:tc>
          <w:tcPr>
            <w:tcW w:type="dxa" w:w="1814"/>
            <w:vAlign w:val="center"/>
            <w:tcMar>
              <w:top w:w="90" w:type="dxa"/>
              <w:start w:w="100" w:type="dxa"/>
              <w:bottom w:w="90" w:type="dxa"/>
              <w:end w:w="100" w:type="dxa"/>
            </w:tcMar>
            <w:shd w:fill="EFF6F1"/>
          </w:tcPr>
          <w:p>
            <w:pPr>
              <w:spacing w:after="0" w:line="252" w:lineRule="auto"/>
            </w:pPr>
            <w:r/>
            <w:r>
              <w:rPr>
                <w:rFonts w:ascii="Arial" w:hAnsi="Arial"/>
                <w:b w:val="0"/>
                <w:color w:val="17332A"/>
                <w:sz w:val="16"/>
              </w:rPr>
              <w:t>15%</w:t>
            </w:r>
          </w:p>
        </w:tc>
        <w:tc>
          <w:tcPr>
            <w:tcW w:type="dxa" w:w="4876"/>
            <w:vAlign w:val="center"/>
            <w:tcMar>
              <w:top w:w="90" w:type="dxa"/>
              <w:start w:w="100" w:type="dxa"/>
              <w:bottom w:w="90" w:type="dxa"/>
              <w:end w:w="100" w:type="dxa"/>
            </w:tcMar>
            <w:shd w:fill="EFF6F1"/>
          </w:tcPr>
          <w:p>
            <w:pPr>
              <w:spacing w:after="0" w:line="252" w:lineRule="auto"/>
            </w:pPr>
            <w:r/>
            <w:r>
              <w:rPr>
                <w:rFonts w:ascii="Arial" w:hAnsi="Arial"/>
                <w:b w:val="0"/>
                <w:color w:val="17332A"/>
                <w:sz w:val="16"/>
              </w:rPr>
              <w:t>Regional testing, alerts and surveillance</w:t>
            </w:r>
          </w:p>
        </w:tc>
      </w:tr>
      <w:tr>
        <w:trPr>
          <w:cantSplit/>
        </w:trPr>
        <w:tc>
          <w:tcPr>
            <w:tcW w:type="dxa" w:w="2835"/>
            <w:vAlign w:val="center"/>
            <w:tcMar>
              <w:top w:w="90" w:type="dxa"/>
              <w:start w:w="100" w:type="dxa"/>
              <w:bottom w:w="90" w:type="dxa"/>
              <w:end w:w="100" w:type="dxa"/>
            </w:tcMar>
          </w:tcPr>
          <w:p>
            <w:pPr>
              <w:spacing w:after="0" w:line="252" w:lineRule="auto"/>
            </w:pPr>
            <w:r/>
            <w:r>
              <w:rPr>
                <w:rFonts w:ascii="Arial" w:hAnsi="Arial"/>
                <w:b w:val="0"/>
                <w:color w:val="17332A"/>
                <w:sz w:val="16"/>
              </w:rPr>
              <w:t>Housing and employment</w:t>
            </w:r>
          </w:p>
        </w:tc>
        <w:tc>
          <w:tcPr>
            <w:tcW w:type="dxa" w:w="1814"/>
            <w:vAlign w:val="center"/>
            <w:tcMar>
              <w:top w:w="90" w:type="dxa"/>
              <w:start w:w="100" w:type="dxa"/>
              <w:bottom w:w="90" w:type="dxa"/>
              <w:end w:w="100" w:type="dxa"/>
            </w:tcMar>
          </w:tcPr>
          <w:p>
            <w:pPr>
              <w:spacing w:after="0" w:line="252" w:lineRule="auto"/>
            </w:pPr>
            <w:r/>
            <w:r>
              <w:rPr>
                <w:rFonts w:ascii="Arial" w:hAnsi="Arial"/>
                <w:b w:val="0"/>
                <w:color w:val="17332A"/>
                <w:sz w:val="16"/>
              </w:rPr>
              <w:t>15%</w:t>
            </w:r>
          </w:p>
        </w:tc>
        <w:tc>
          <w:tcPr>
            <w:tcW w:type="dxa" w:w="4876"/>
            <w:vAlign w:val="center"/>
            <w:tcMar>
              <w:top w:w="90" w:type="dxa"/>
              <w:start w:w="100" w:type="dxa"/>
              <w:bottom w:w="90" w:type="dxa"/>
              <w:end w:w="100" w:type="dxa"/>
            </w:tcMar>
          </w:tcPr>
          <w:p>
            <w:pPr>
              <w:spacing w:after="0" w:line="252" w:lineRule="auto"/>
            </w:pPr>
            <w:r/>
            <w:r>
              <w:rPr>
                <w:rFonts w:ascii="Arial" w:hAnsi="Arial"/>
                <w:b w:val="0"/>
                <w:color w:val="17332A"/>
                <w:sz w:val="16"/>
              </w:rPr>
              <w:t>Stability that supports recovery and reduces reoffending</w:t>
            </w:r>
          </w:p>
        </w:tc>
      </w:tr>
      <w:tr>
        <w:trPr>
          <w:cantSplit/>
        </w:trPr>
        <w:tc>
          <w:tcPr>
            <w:tcW w:type="dxa" w:w="2835"/>
            <w:vAlign w:val="center"/>
            <w:tcMar>
              <w:top w:w="90" w:type="dxa"/>
              <w:start w:w="100" w:type="dxa"/>
              <w:bottom w:w="90" w:type="dxa"/>
              <w:end w:w="100" w:type="dxa"/>
            </w:tcMar>
            <w:shd w:fill="EFF6F1"/>
          </w:tcPr>
          <w:p>
            <w:pPr>
              <w:spacing w:after="0" w:line="252" w:lineRule="auto"/>
            </w:pPr>
            <w:r/>
            <w:r>
              <w:rPr>
                <w:rFonts w:ascii="Arial" w:hAnsi="Arial"/>
                <w:b w:val="0"/>
                <w:color w:val="17332A"/>
                <w:sz w:val="16"/>
              </w:rPr>
              <w:t>Research and evaluation</w:t>
            </w:r>
          </w:p>
        </w:tc>
        <w:tc>
          <w:tcPr>
            <w:tcW w:type="dxa" w:w="1814"/>
            <w:vAlign w:val="center"/>
            <w:tcMar>
              <w:top w:w="90" w:type="dxa"/>
              <w:start w:w="100" w:type="dxa"/>
              <w:bottom w:w="90" w:type="dxa"/>
              <w:end w:w="100" w:type="dxa"/>
            </w:tcMar>
            <w:shd w:fill="EFF6F1"/>
          </w:tcPr>
          <w:p>
            <w:pPr>
              <w:spacing w:after="0" w:line="252" w:lineRule="auto"/>
            </w:pPr>
            <w:r/>
            <w:r>
              <w:rPr>
                <w:rFonts w:ascii="Arial" w:hAnsi="Arial"/>
                <w:b w:val="0"/>
                <w:color w:val="17332A"/>
                <w:sz w:val="16"/>
              </w:rPr>
              <w:t>10%</w:t>
            </w:r>
          </w:p>
        </w:tc>
        <w:tc>
          <w:tcPr>
            <w:tcW w:type="dxa" w:w="4876"/>
            <w:vAlign w:val="center"/>
            <w:tcMar>
              <w:top w:w="90" w:type="dxa"/>
              <w:start w:w="100" w:type="dxa"/>
              <w:bottom w:w="90" w:type="dxa"/>
              <w:end w:w="100" w:type="dxa"/>
            </w:tcMar>
            <w:shd w:fill="EFF6F1"/>
          </w:tcPr>
          <w:p>
            <w:pPr>
              <w:spacing w:after="0" w:line="252" w:lineRule="auto"/>
            </w:pPr>
            <w:r/>
            <w:r>
              <w:rPr>
                <w:rFonts w:ascii="Arial" w:hAnsi="Arial"/>
                <w:b w:val="0"/>
                <w:color w:val="17332A"/>
                <w:sz w:val="16"/>
              </w:rPr>
              <w:t>Independent trials, registries and policy evaluation</w:t>
            </w:r>
          </w:p>
        </w:tc>
      </w:tr>
      <w:tr>
        <w:trPr>
          <w:cantSplit/>
        </w:trPr>
        <w:tc>
          <w:tcPr>
            <w:tcW w:type="dxa" w:w="2835"/>
            <w:vAlign w:val="center"/>
            <w:tcMar>
              <w:top w:w="90" w:type="dxa"/>
              <w:start w:w="100" w:type="dxa"/>
              <w:bottom w:w="90" w:type="dxa"/>
              <w:end w:w="100" w:type="dxa"/>
            </w:tcMar>
          </w:tcPr>
          <w:p>
            <w:pPr>
              <w:spacing w:after="0" w:line="252" w:lineRule="auto"/>
            </w:pPr>
            <w:r/>
            <w:r>
              <w:rPr>
                <w:rFonts w:ascii="Arial" w:hAnsi="Arial"/>
                <w:b w:val="0"/>
                <w:color w:val="17332A"/>
                <w:sz w:val="16"/>
              </w:rPr>
              <w:t>Community repair</w:t>
            </w:r>
          </w:p>
        </w:tc>
        <w:tc>
          <w:tcPr>
            <w:tcW w:type="dxa" w:w="1814"/>
            <w:vAlign w:val="center"/>
            <w:tcMar>
              <w:top w:w="90" w:type="dxa"/>
              <w:start w:w="100" w:type="dxa"/>
              <w:bottom w:w="90" w:type="dxa"/>
              <w:end w:w="100" w:type="dxa"/>
            </w:tcMar>
          </w:tcPr>
          <w:p>
            <w:pPr>
              <w:spacing w:after="0" w:line="252" w:lineRule="auto"/>
            </w:pPr>
            <w:r/>
            <w:r>
              <w:rPr>
                <w:rFonts w:ascii="Arial" w:hAnsi="Arial"/>
                <w:b w:val="0"/>
                <w:color w:val="17332A"/>
                <w:sz w:val="16"/>
              </w:rPr>
              <w:t>5%</w:t>
            </w:r>
          </w:p>
        </w:tc>
        <w:tc>
          <w:tcPr>
            <w:tcW w:type="dxa" w:w="4876"/>
            <w:vAlign w:val="center"/>
            <w:tcMar>
              <w:top w:w="90" w:type="dxa"/>
              <w:start w:w="100" w:type="dxa"/>
              <w:bottom w:w="90" w:type="dxa"/>
              <w:end w:w="100" w:type="dxa"/>
            </w:tcMar>
          </w:tcPr>
          <w:p>
            <w:pPr>
              <w:spacing w:after="0" w:line="252" w:lineRule="auto"/>
            </w:pPr>
            <w:r/>
            <w:r>
              <w:rPr>
                <w:rFonts w:ascii="Arial" w:hAnsi="Arial"/>
                <w:b w:val="0"/>
                <w:color w:val="17332A"/>
                <w:sz w:val="16"/>
              </w:rPr>
              <w:t>Areas disproportionately harmed by illicit markets or enforcement</w:t>
            </w:r>
          </w:p>
        </w:tc>
      </w:tr>
    </w:tbl>
    <w:p/>
    <w:p>
      <w:pPr>
        <w:pStyle w:val="Heading1"/>
      </w:pPr>
      <w:r>
        <w:t>13. Independent regulation and anti-corruption</w:t>
      </w:r>
    </w:p>
    <w:p>
      <w:pPr>
        <w:pStyle w:val="ListBullet"/>
      </w:pPr>
      <w:r>
        <w:t>Appointments through an open process with health, science, lived experience, justice and consumer representation.</w:t>
      </w:r>
    </w:p>
    <w:p>
      <w:pPr>
        <w:pStyle w:val="ListBullet"/>
      </w:pPr>
      <w:r>
        <w:t>Published interests, gifts, meetings, lobbying submissions and reasons for decisions.</w:t>
      </w:r>
    </w:p>
    <w:p>
      <w:pPr>
        <w:pStyle w:val="ListBullet"/>
      </w:pPr>
      <w:r>
        <w:t>No industry majority on scientific or licensing committees.</w:t>
      </w:r>
    </w:p>
    <w:p>
      <w:pPr>
        <w:pStyle w:val="ListBullet"/>
      </w:pPr>
      <w:r>
        <w:t>Protected whistleblowing, audit access and parliamentary reporting.</w:t>
      </w:r>
    </w:p>
    <w:p>
      <w:pPr>
        <w:pStyle w:val="ListBullet"/>
      </w:pPr>
      <w:r>
        <w:t>A public evidence register showing claim, source, grade, limitation, decision and next review date.</w:t>
      </w:r>
    </w:p>
    <w:p>
      <w:pPr>
        <w:pStyle w:val="ListBullet"/>
      </w:pPr>
      <w:r>
        <w:t>A corrections log that preserves what changed rather than silently replacing history.</w:t>
      </w:r>
    </w:p>
    <w:p>
      <w:pPr>
        <w:pStyle w:val="Heading1"/>
      </w:pPr>
      <w:r>
        <w:t>14. Monitoring, sunset and emergency correction</w:t>
      </w:r>
    </w:p>
    <w:tbl>
      <w:tblPr>
        <w:tblStyle w:val="TableGrid"/>
        <w:tblW w:type="auto" w:w="0"/>
        <w:jc w:val="center"/>
        <w:tblLayout w:type="fixed"/>
        <w:tblLook w:firstColumn="1" w:firstRow="1" w:lastColumn="0" w:lastRow="0" w:noHBand="0" w:noVBand="1" w:val="04A0"/>
      </w:tblPr>
      <w:tblGrid>
        <w:gridCol w:w="3307"/>
        <w:gridCol w:w="3307"/>
        <w:gridCol w:w="3307"/>
      </w:tblGrid>
      <w:tr>
        <w:trPr>
          <w:tblHeader w:val="true"/>
        </w:trPr>
        <w:tc>
          <w:tcPr>
            <w:tcW w:type="dxa" w:w="1417"/>
            <w:vAlign w:val="center"/>
            <w:tcMar>
              <w:top w:w="90" w:type="dxa"/>
              <w:start w:w="100" w:type="dxa"/>
              <w:bottom w:w="90" w:type="dxa"/>
              <w:end w:w="100" w:type="dxa"/>
            </w:tcMar>
            <w:shd w:fill="215B45"/>
          </w:tcPr>
          <w:p>
            <w:pPr>
              <w:spacing w:after="0" w:line="252" w:lineRule="auto"/>
            </w:pPr>
            <w:r/>
            <w:r>
              <w:rPr>
                <w:rFonts w:ascii="Arial" w:hAnsi="Arial"/>
                <w:b/>
                <w:color w:val="FFFFFF"/>
                <w:sz w:val="16"/>
              </w:rPr>
              <w:t>Domain</w:t>
            </w:r>
          </w:p>
        </w:tc>
        <w:tc>
          <w:tcPr>
            <w:tcW w:type="dxa" w:w="4762"/>
            <w:vAlign w:val="center"/>
            <w:tcMar>
              <w:top w:w="90" w:type="dxa"/>
              <w:start w:w="100" w:type="dxa"/>
              <w:bottom w:w="90" w:type="dxa"/>
              <w:end w:w="100" w:type="dxa"/>
            </w:tcMar>
            <w:shd w:fill="215B45"/>
          </w:tcPr>
          <w:p>
            <w:pPr>
              <w:spacing w:after="0" w:line="252" w:lineRule="auto"/>
            </w:pPr>
            <w:r/>
            <w:r>
              <w:rPr>
                <w:rFonts w:ascii="Arial" w:hAnsi="Arial"/>
                <w:b/>
                <w:color w:val="FFFFFF"/>
                <w:sz w:val="16"/>
              </w:rPr>
              <w:t>Minimum measure</w:t>
            </w:r>
          </w:p>
        </w:tc>
        <w:tc>
          <w:tcPr>
            <w:tcW w:type="dxa" w:w="3345"/>
            <w:vAlign w:val="center"/>
            <w:tcMar>
              <w:top w:w="90" w:type="dxa"/>
              <w:start w:w="100" w:type="dxa"/>
              <w:bottom w:w="90" w:type="dxa"/>
              <w:end w:w="100" w:type="dxa"/>
            </w:tcMar>
            <w:shd w:fill="215B45"/>
          </w:tcPr>
          <w:p>
            <w:pPr>
              <w:spacing w:after="0" w:line="252" w:lineRule="auto"/>
            </w:pPr>
            <w:r/>
            <w:r>
              <w:rPr>
                <w:rFonts w:ascii="Arial" w:hAnsi="Arial"/>
                <w:b/>
                <w:color w:val="FFFFFF"/>
                <w:sz w:val="16"/>
              </w:rPr>
              <w:t>Trigger for review</w:t>
            </w:r>
          </w:p>
        </w:tc>
      </w:tr>
      <w:tr>
        <w:trPr>
          <w:cantSplit/>
        </w:trPr>
        <w:tc>
          <w:tcPr>
            <w:tcW w:type="dxa" w:w="1417"/>
            <w:vAlign w:val="center"/>
            <w:tcMar>
              <w:top w:w="90" w:type="dxa"/>
              <w:start w:w="100" w:type="dxa"/>
              <w:bottom w:w="90" w:type="dxa"/>
              <w:end w:w="100" w:type="dxa"/>
            </w:tcMar>
            <w:shd w:fill="EFF6F1"/>
          </w:tcPr>
          <w:p>
            <w:pPr>
              <w:spacing w:after="0" w:line="252" w:lineRule="auto"/>
            </w:pPr>
            <w:r/>
            <w:r>
              <w:rPr>
                <w:rFonts w:ascii="Arial" w:hAnsi="Arial"/>
                <w:b w:val="0"/>
                <w:color w:val="17332A"/>
                <w:sz w:val="16"/>
              </w:rPr>
              <w:t>Health</w:t>
            </w:r>
          </w:p>
        </w:tc>
        <w:tc>
          <w:tcPr>
            <w:tcW w:type="dxa" w:w="4762"/>
            <w:vAlign w:val="center"/>
            <w:tcMar>
              <w:top w:w="90" w:type="dxa"/>
              <w:start w:w="100" w:type="dxa"/>
              <w:bottom w:w="90" w:type="dxa"/>
              <w:end w:w="100" w:type="dxa"/>
            </w:tcMar>
            <w:shd w:fill="EFF6F1"/>
          </w:tcPr>
          <w:p>
            <w:pPr>
              <w:spacing w:after="0" w:line="252" w:lineRule="auto"/>
            </w:pPr>
            <w:r/>
            <w:r>
              <w:rPr>
                <w:rFonts w:ascii="Arial" w:hAnsi="Arial"/>
                <w:b w:val="0"/>
                <w:color w:val="17332A"/>
                <w:sz w:val="16"/>
              </w:rPr>
              <w:t>Deaths, poisonings, admissions, dependence and treatment access</w:t>
            </w:r>
          </w:p>
        </w:tc>
        <w:tc>
          <w:tcPr>
            <w:tcW w:type="dxa" w:w="3345"/>
            <w:vAlign w:val="center"/>
            <w:tcMar>
              <w:top w:w="90" w:type="dxa"/>
              <w:start w:w="100" w:type="dxa"/>
              <w:bottom w:w="90" w:type="dxa"/>
              <w:end w:w="100" w:type="dxa"/>
            </w:tcMar>
            <w:shd w:fill="EFF6F1"/>
          </w:tcPr>
          <w:p>
            <w:pPr>
              <w:spacing w:after="0" w:line="252" w:lineRule="auto"/>
            </w:pPr>
            <w:r/>
            <w:r>
              <w:rPr>
                <w:rFonts w:ascii="Arial" w:hAnsi="Arial"/>
                <w:b w:val="0"/>
                <w:color w:val="17332A"/>
                <w:sz w:val="16"/>
              </w:rPr>
              <w:t>Predefined statistically and clinically material deterioration</w:t>
            </w:r>
          </w:p>
        </w:tc>
      </w:tr>
      <w:tr>
        <w:trPr>
          <w:cantSplit/>
        </w:trPr>
        <w:tc>
          <w:tcPr>
            <w:tcW w:type="dxa" w:w="1417"/>
            <w:vAlign w:val="center"/>
            <w:tcMar>
              <w:top w:w="90" w:type="dxa"/>
              <w:start w:w="100" w:type="dxa"/>
              <w:bottom w:w="90" w:type="dxa"/>
              <w:end w:w="100" w:type="dxa"/>
            </w:tcMar>
          </w:tcPr>
          <w:p>
            <w:pPr>
              <w:spacing w:after="0" w:line="252" w:lineRule="auto"/>
            </w:pPr>
            <w:r/>
            <w:r>
              <w:rPr>
                <w:rFonts w:ascii="Arial" w:hAnsi="Arial"/>
                <w:b w:val="0"/>
                <w:color w:val="17332A"/>
                <w:sz w:val="16"/>
              </w:rPr>
              <w:t>Children</w:t>
            </w:r>
          </w:p>
        </w:tc>
        <w:tc>
          <w:tcPr>
            <w:tcW w:type="dxa" w:w="4762"/>
            <w:vAlign w:val="center"/>
            <w:tcMar>
              <w:top w:w="90" w:type="dxa"/>
              <w:start w:w="100" w:type="dxa"/>
              <w:bottom w:w="90" w:type="dxa"/>
              <w:end w:w="100" w:type="dxa"/>
            </w:tcMar>
          </w:tcPr>
          <w:p>
            <w:pPr>
              <w:spacing w:after="0" w:line="252" w:lineRule="auto"/>
            </w:pPr>
            <w:r/>
            <w:r>
              <w:rPr>
                <w:rFonts w:ascii="Arial" w:hAnsi="Arial"/>
                <w:b w:val="0"/>
                <w:color w:val="17332A"/>
                <w:sz w:val="16"/>
              </w:rPr>
              <w:t>Use, school harms, accidental exposure and illegal supply</w:t>
            </w:r>
          </w:p>
        </w:tc>
        <w:tc>
          <w:tcPr>
            <w:tcW w:type="dxa" w:w="3345"/>
            <w:vAlign w:val="center"/>
            <w:tcMar>
              <w:top w:w="90" w:type="dxa"/>
              <w:start w:w="100" w:type="dxa"/>
              <w:bottom w:w="90" w:type="dxa"/>
              <w:end w:w="100" w:type="dxa"/>
            </w:tcMar>
          </w:tcPr>
          <w:p>
            <w:pPr>
              <w:spacing w:after="0" w:line="252" w:lineRule="auto"/>
            </w:pPr>
            <w:r/>
            <w:r>
              <w:rPr>
                <w:rFonts w:ascii="Arial" w:hAnsi="Arial"/>
                <w:b w:val="0"/>
                <w:color w:val="17332A"/>
                <w:sz w:val="16"/>
              </w:rPr>
              <w:t>Any sustained worsening beyond agreed tolerance</w:t>
            </w:r>
          </w:p>
        </w:tc>
      </w:tr>
      <w:tr>
        <w:trPr>
          <w:cantSplit/>
        </w:trPr>
        <w:tc>
          <w:tcPr>
            <w:tcW w:type="dxa" w:w="1417"/>
            <w:vAlign w:val="center"/>
            <w:tcMar>
              <w:top w:w="90" w:type="dxa"/>
              <w:start w:w="100" w:type="dxa"/>
              <w:bottom w:w="90" w:type="dxa"/>
              <w:end w:w="100" w:type="dxa"/>
            </w:tcMar>
            <w:shd w:fill="EFF6F1"/>
          </w:tcPr>
          <w:p>
            <w:pPr>
              <w:spacing w:after="0" w:line="252" w:lineRule="auto"/>
            </w:pPr>
            <w:r/>
            <w:r>
              <w:rPr>
                <w:rFonts w:ascii="Arial" w:hAnsi="Arial"/>
                <w:b w:val="0"/>
                <w:color w:val="17332A"/>
                <w:sz w:val="16"/>
              </w:rPr>
              <w:t>Market</w:t>
            </w:r>
          </w:p>
        </w:tc>
        <w:tc>
          <w:tcPr>
            <w:tcW w:type="dxa" w:w="4762"/>
            <w:vAlign w:val="center"/>
            <w:tcMar>
              <w:top w:w="90" w:type="dxa"/>
              <w:start w:w="100" w:type="dxa"/>
              <w:bottom w:w="90" w:type="dxa"/>
              <w:end w:w="100" w:type="dxa"/>
            </w:tcMar>
            <w:shd w:fill="EFF6F1"/>
          </w:tcPr>
          <w:p>
            <w:pPr>
              <w:spacing w:after="0" w:line="252" w:lineRule="auto"/>
            </w:pPr>
            <w:r/>
            <w:r>
              <w:rPr>
                <w:rFonts w:ascii="Arial" w:hAnsi="Arial"/>
                <w:b w:val="0"/>
                <w:color w:val="17332A"/>
                <w:sz w:val="16"/>
              </w:rPr>
              <w:t>Price, potency, licensed share, illicit share and contamination</w:t>
            </w:r>
          </w:p>
        </w:tc>
        <w:tc>
          <w:tcPr>
            <w:tcW w:type="dxa" w:w="3345"/>
            <w:vAlign w:val="center"/>
            <w:tcMar>
              <w:top w:w="90" w:type="dxa"/>
              <w:start w:w="100" w:type="dxa"/>
              <w:bottom w:w="90" w:type="dxa"/>
              <w:end w:w="100" w:type="dxa"/>
            </w:tcMar>
            <w:shd w:fill="EFF6F1"/>
          </w:tcPr>
          <w:p>
            <w:pPr>
              <w:spacing w:after="0" w:line="252" w:lineRule="auto"/>
            </w:pPr>
            <w:r/>
            <w:r>
              <w:rPr>
                <w:rFonts w:ascii="Arial" w:hAnsi="Arial"/>
                <w:b w:val="0"/>
                <w:color w:val="17332A"/>
                <w:sz w:val="16"/>
              </w:rPr>
              <w:t>Illicit displacement stalls or licensed market promotes demand</w:t>
            </w:r>
          </w:p>
        </w:tc>
      </w:tr>
      <w:tr>
        <w:trPr>
          <w:cantSplit/>
        </w:trPr>
        <w:tc>
          <w:tcPr>
            <w:tcW w:type="dxa" w:w="1417"/>
            <w:vAlign w:val="center"/>
            <w:tcMar>
              <w:top w:w="90" w:type="dxa"/>
              <w:start w:w="100" w:type="dxa"/>
              <w:bottom w:w="90" w:type="dxa"/>
              <w:end w:w="100" w:type="dxa"/>
            </w:tcMar>
          </w:tcPr>
          <w:p>
            <w:pPr>
              <w:spacing w:after="0" w:line="252" w:lineRule="auto"/>
            </w:pPr>
            <w:r/>
            <w:r>
              <w:rPr>
                <w:rFonts w:ascii="Arial" w:hAnsi="Arial"/>
                <w:b w:val="0"/>
                <w:color w:val="17332A"/>
                <w:sz w:val="16"/>
              </w:rPr>
              <w:t>Justice</w:t>
            </w:r>
          </w:p>
        </w:tc>
        <w:tc>
          <w:tcPr>
            <w:tcW w:type="dxa" w:w="4762"/>
            <w:vAlign w:val="center"/>
            <w:tcMar>
              <w:top w:w="90" w:type="dxa"/>
              <w:start w:w="100" w:type="dxa"/>
              <w:bottom w:w="90" w:type="dxa"/>
              <w:end w:w="100" w:type="dxa"/>
            </w:tcMar>
          </w:tcPr>
          <w:p>
            <w:pPr>
              <w:spacing w:after="0" w:line="252" w:lineRule="auto"/>
            </w:pPr>
            <w:r/>
            <w:r>
              <w:rPr>
                <w:rFonts w:ascii="Arial" w:hAnsi="Arial"/>
                <w:b w:val="0"/>
                <w:color w:val="17332A"/>
                <w:sz w:val="16"/>
              </w:rPr>
              <w:t>Arrests, convictions, prison bed-days and disproportionality</w:t>
            </w:r>
          </w:p>
        </w:tc>
        <w:tc>
          <w:tcPr>
            <w:tcW w:type="dxa" w:w="3345"/>
            <w:vAlign w:val="center"/>
            <w:tcMar>
              <w:top w:w="90" w:type="dxa"/>
              <w:start w:w="100" w:type="dxa"/>
              <w:bottom w:w="90" w:type="dxa"/>
              <w:end w:w="100" w:type="dxa"/>
            </w:tcMar>
          </w:tcPr>
          <w:p>
            <w:pPr>
              <w:spacing w:after="0" w:line="252" w:lineRule="auto"/>
            </w:pPr>
            <w:r/>
            <w:r>
              <w:rPr>
                <w:rFonts w:ascii="Arial" w:hAnsi="Arial"/>
                <w:b w:val="0"/>
                <w:color w:val="17332A"/>
                <w:sz w:val="16"/>
              </w:rPr>
              <w:t>Conduct-based enforcement drifts back into status offences</w:t>
            </w:r>
          </w:p>
        </w:tc>
      </w:tr>
      <w:tr>
        <w:trPr>
          <w:cantSplit/>
        </w:trPr>
        <w:tc>
          <w:tcPr>
            <w:tcW w:type="dxa" w:w="1417"/>
            <w:vAlign w:val="center"/>
            <w:tcMar>
              <w:top w:w="90" w:type="dxa"/>
              <w:start w:w="100" w:type="dxa"/>
              <w:bottom w:w="90" w:type="dxa"/>
              <w:end w:w="100" w:type="dxa"/>
            </w:tcMar>
            <w:shd w:fill="EFF6F1"/>
          </w:tcPr>
          <w:p>
            <w:pPr>
              <w:spacing w:after="0" w:line="252" w:lineRule="auto"/>
            </w:pPr>
            <w:r/>
            <w:r>
              <w:rPr>
                <w:rFonts w:ascii="Arial" w:hAnsi="Arial"/>
                <w:b w:val="0"/>
                <w:color w:val="17332A"/>
                <w:sz w:val="16"/>
              </w:rPr>
              <w:t>Economy</w:t>
            </w:r>
          </w:p>
        </w:tc>
        <w:tc>
          <w:tcPr>
            <w:tcW w:type="dxa" w:w="4762"/>
            <w:vAlign w:val="center"/>
            <w:tcMar>
              <w:top w:w="90" w:type="dxa"/>
              <w:start w:w="100" w:type="dxa"/>
              <w:bottom w:w="90" w:type="dxa"/>
              <w:end w:w="100" w:type="dxa"/>
            </w:tcMar>
            <w:shd w:fill="EFF6F1"/>
          </w:tcPr>
          <w:p>
            <w:pPr>
              <w:spacing w:after="0" w:line="252" w:lineRule="auto"/>
            </w:pPr>
            <w:r/>
            <w:r>
              <w:rPr>
                <w:rFonts w:ascii="Arial" w:hAnsi="Arial"/>
                <w:b w:val="0"/>
                <w:color w:val="17332A"/>
                <w:sz w:val="16"/>
              </w:rPr>
              <w:t>Regulatory cost, receipts, health allocation and organised-crime indicators</w:t>
            </w:r>
          </w:p>
        </w:tc>
        <w:tc>
          <w:tcPr>
            <w:tcW w:type="dxa" w:w="3345"/>
            <w:vAlign w:val="center"/>
            <w:tcMar>
              <w:top w:w="90" w:type="dxa"/>
              <w:start w:w="100" w:type="dxa"/>
              <w:bottom w:w="90" w:type="dxa"/>
              <w:end w:w="100" w:type="dxa"/>
            </w:tcMar>
            <w:shd w:fill="EFF6F1"/>
          </w:tcPr>
          <w:p>
            <w:pPr>
              <w:spacing w:after="0" w:line="252" w:lineRule="auto"/>
            </w:pPr>
            <w:r/>
            <w:r>
              <w:rPr>
                <w:rFonts w:ascii="Arial" w:hAnsi="Arial"/>
                <w:b w:val="0"/>
                <w:color w:val="17332A"/>
                <w:sz w:val="16"/>
              </w:rPr>
              <w:t>Receipts used to justify growth or promised savings fail</w:t>
            </w:r>
          </w:p>
        </w:tc>
      </w:tr>
      <w:tr>
        <w:trPr>
          <w:cantSplit/>
        </w:trPr>
        <w:tc>
          <w:tcPr>
            <w:tcW w:type="dxa" w:w="1417"/>
            <w:vAlign w:val="center"/>
            <w:tcMar>
              <w:top w:w="90" w:type="dxa"/>
              <w:start w:w="100" w:type="dxa"/>
              <w:bottom w:w="90" w:type="dxa"/>
              <w:end w:w="100" w:type="dxa"/>
            </w:tcMar>
          </w:tcPr>
          <w:p>
            <w:pPr>
              <w:spacing w:after="0" w:line="252" w:lineRule="auto"/>
            </w:pPr>
            <w:r/>
            <w:r>
              <w:rPr>
                <w:rFonts w:ascii="Arial" w:hAnsi="Arial"/>
                <w:b w:val="0"/>
                <w:color w:val="17332A"/>
                <w:sz w:val="16"/>
              </w:rPr>
              <w:t>Trust</w:t>
            </w:r>
          </w:p>
        </w:tc>
        <w:tc>
          <w:tcPr>
            <w:tcW w:type="dxa" w:w="4762"/>
            <w:vAlign w:val="center"/>
            <w:tcMar>
              <w:top w:w="90" w:type="dxa"/>
              <w:start w:w="100" w:type="dxa"/>
              <w:bottom w:w="90" w:type="dxa"/>
              <w:end w:w="100" w:type="dxa"/>
            </w:tcMar>
          </w:tcPr>
          <w:p>
            <w:pPr>
              <w:spacing w:after="0" w:line="252" w:lineRule="auto"/>
            </w:pPr>
            <w:r/>
            <w:r>
              <w:rPr>
                <w:rFonts w:ascii="Arial" w:hAnsi="Arial"/>
                <w:b w:val="0"/>
                <w:color w:val="17332A"/>
                <w:sz w:val="16"/>
              </w:rPr>
              <w:t>Complaints, conflicts, corrections and public comprehension</w:t>
            </w:r>
          </w:p>
        </w:tc>
        <w:tc>
          <w:tcPr>
            <w:tcW w:type="dxa" w:w="3345"/>
            <w:vAlign w:val="center"/>
            <w:tcMar>
              <w:top w:w="90" w:type="dxa"/>
              <w:start w:w="100" w:type="dxa"/>
              <w:bottom w:w="90" w:type="dxa"/>
              <w:end w:w="100" w:type="dxa"/>
            </w:tcMar>
          </w:tcPr>
          <w:p>
            <w:pPr>
              <w:spacing w:after="0" w:line="252" w:lineRule="auto"/>
            </w:pPr>
            <w:r/>
            <w:r>
              <w:rPr>
                <w:rFonts w:ascii="Arial" w:hAnsi="Arial"/>
                <w:b w:val="0"/>
                <w:color w:val="17332A"/>
                <w:sz w:val="16"/>
              </w:rPr>
              <w:t>Undisclosed influence or repeated unsupported claims</w:t>
            </w:r>
          </w:p>
        </w:tc>
      </w:tr>
    </w:tbl>
    <w:p/>
    <w:p>
      <w:r>
        <w:t>Emergency restrictions should be time-limited, publicly reasoned and reviewable. A restriction imposed urgently expires unless confirmed through the ordinary evidence process. The regulator must be able to tighten, pause or reopen a tier—and must also remove a restriction when evidence no longer supports it.</w:t>
      </w:r>
    </w:p>
    <w:p>
      <w:pPr>
        <w:pStyle w:val="Heading1"/>
      </w:pPr>
      <w:r>
        <w:t>15. Evidence register</w:t>
      </w:r>
    </w:p>
    <w:tbl>
      <w:tblPr>
        <w:tblStyle w:val="TableGrid"/>
        <w:tblW w:type="auto" w:w="0"/>
        <w:jc w:val="center"/>
        <w:tblLayout w:type="fixed"/>
        <w:tblLook w:firstColumn="1" w:firstRow="1" w:lastColumn="0" w:lastRow="0" w:noHBand="0" w:noVBand="1" w:val="04A0"/>
      </w:tblPr>
      <w:tblGrid>
        <w:gridCol w:w="1654"/>
        <w:gridCol w:w="1654"/>
        <w:gridCol w:w="1654"/>
        <w:gridCol w:w="1654"/>
        <w:gridCol w:w="1654"/>
        <w:gridCol w:w="1654"/>
      </w:tblGrid>
      <w:tr>
        <w:trPr>
          <w:tblHeader w:val="true"/>
        </w:trPr>
        <w:tc>
          <w:tcPr>
            <w:tcW w:type="dxa" w:w="624"/>
            <w:vAlign w:val="center"/>
            <w:tcMar>
              <w:top w:w="90" w:type="dxa"/>
              <w:start w:w="100" w:type="dxa"/>
              <w:bottom w:w="90" w:type="dxa"/>
              <w:end w:w="100" w:type="dxa"/>
            </w:tcMar>
            <w:shd w:fill="215B45"/>
          </w:tcPr>
          <w:p>
            <w:pPr>
              <w:spacing w:after="0" w:line="252" w:lineRule="auto"/>
            </w:pPr>
            <w:r/>
            <w:r>
              <w:rPr>
                <w:rFonts w:ascii="Arial" w:hAnsi="Arial"/>
                <w:b/>
                <w:color w:val="FFFFFF"/>
                <w:sz w:val="16"/>
              </w:rPr>
              <w:t>ID</w:t>
            </w:r>
          </w:p>
        </w:tc>
        <w:tc>
          <w:tcPr>
            <w:tcW w:type="dxa" w:w="2268"/>
            <w:vAlign w:val="center"/>
            <w:tcMar>
              <w:top w:w="90" w:type="dxa"/>
              <w:start w:w="100" w:type="dxa"/>
              <w:bottom w:w="90" w:type="dxa"/>
              <w:end w:w="100" w:type="dxa"/>
            </w:tcMar>
            <w:shd w:fill="215B45"/>
          </w:tcPr>
          <w:p>
            <w:pPr>
              <w:spacing w:after="0" w:line="252" w:lineRule="auto"/>
            </w:pPr>
            <w:r/>
            <w:r>
              <w:rPr>
                <w:rFonts w:ascii="Arial" w:hAnsi="Arial"/>
                <w:b/>
                <w:color w:val="FFFFFF"/>
                <w:sz w:val="16"/>
              </w:rPr>
              <w:t>Claim</w:t>
            </w:r>
          </w:p>
        </w:tc>
        <w:tc>
          <w:tcPr>
            <w:tcW w:type="dxa" w:w="1814"/>
            <w:vAlign w:val="center"/>
            <w:tcMar>
              <w:top w:w="90" w:type="dxa"/>
              <w:start w:w="100" w:type="dxa"/>
              <w:bottom w:w="90" w:type="dxa"/>
              <w:end w:w="100" w:type="dxa"/>
            </w:tcMar>
            <w:shd w:fill="215B45"/>
          </w:tcPr>
          <w:p>
            <w:pPr>
              <w:spacing w:after="0" w:line="252" w:lineRule="auto"/>
            </w:pPr>
            <w:r/>
            <w:r>
              <w:rPr>
                <w:rFonts w:ascii="Arial" w:hAnsi="Arial"/>
                <w:b/>
                <w:color w:val="FFFFFF"/>
                <w:sz w:val="16"/>
              </w:rPr>
              <w:t>Basis</w:t>
            </w:r>
          </w:p>
        </w:tc>
        <w:tc>
          <w:tcPr>
            <w:tcW w:type="dxa" w:w="2381"/>
            <w:vAlign w:val="center"/>
            <w:tcMar>
              <w:top w:w="90" w:type="dxa"/>
              <w:start w:w="100" w:type="dxa"/>
              <w:bottom w:w="90" w:type="dxa"/>
              <w:end w:w="100" w:type="dxa"/>
            </w:tcMar>
            <w:shd w:fill="215B45"/>
          </w:tcPr>
          <w:p>
            <w:pPr>
              <w:spacing w:after="0" w:line="252" w:lineRule="auto"/>
            </w:pPr>
            <w:r/>
            <w:r>
              <w:rPr>
                <w:rFonts w:ascii="Arial" w:hAnsi="Arial"/>
                <w:b/>
                <w:color w:val="FFFFFF"/>
                <w:sz w:val="16"/>
              </w:rPr>
              <w:t>Status / limitation</w:t>
            </w:r>
          </w:p>
        </w:tc>
        <w:tc>
          <w:tcPr>
            <w:tcW w:type="dxa" w:w="1020"/>
            <w:vAlign w:val="center"/>
            <w:tcMar>
              <w:top w:w="90" w:type="dxa"/>
              <w:start w:w="100" w:type="dxa"/>
              <w:bottom w:w="90" w:type="dxa"/>
              <w:end w:w="100" w:type="dxa"/>
            </w:tcMar>
            <w:shd w:fill="215B45"/>
          </w:tcPr>
          <w:p>
            <w:pPr>
              <w:spacing w:after="0" w:line="252" w:lineRule="auto"/>
            </w:pPr>
            <w:r/>
            <w:r>
              <w:rPr>
                <w:rFonts w:ascii="Arial" w:hAnsi="Arial"/>
                <w:b/>
                <w:color w:val="FFFFFF"/>
                <w:sz w:val="16"/>
              </w:rPr>
              <w:t>Sources</w:t>
            </w:r>
          </w:p>
        </w:tc>
        <w:tc>
          <w:tcPr>
            <w:tcW w:type="dxa" w:w="1701"/>
            <w:vAlign w:val="center"/>
            <w:tcMar>
              <w:top w:w="90" w:type="dxa"/>
              <w:start w:w="100" w:type="dxa"/>
              <w:bottom w:w="90" w:type="dxa"/>
              <w:end w:w="100" w:type="dxa"/>
            </w:tcMar>
            <w:shd w:fill="215B45"/>
          </w:tcPr>
          <w:p>
            <w:pPr>
              <w:spacing w:after="0" w:line="252" w:lineRule="auto"/>
            </w:pPr>
            <w:r/>
            <w:r>
              <w:rPr>
                <w:rFonts w:ascii="Arial" w:hAnsi="Arial"/>
                <w:b/>
                <w:color w:val="FFFFFF"/>
                <w:sz w:val="16"/>
              </w:rPr>
              <w:t>Correction rule</w:t>
            </w:r>
          </w:p>
        </w:tc>
      </w:tr>
      <w:tr>
        <w:trPr>
          <w:cantSplit/>
        </w:trPr>
        <w:tc>
          <w:tcPr>
            <w:tcW w:type="dxa" w:w="624"/>
            <w:vAlign w:val="center"/>
            <w:tcMar>
              <w:top w:w="90" w:type="dxa"/>
              <w:start w:w="100" w:type="dxa"/>
              <w:bottom w:w="90" w:type="dxa"/>
              <w:end w:w="100" w:type="dxa"/>
            </w:tcMar>
            <w:shd w:fill="EFF6F1"/>
          </w:tcPr>
          <w:p>
            <w:pPr>
              <w:spacing w:after="0" w:line="252" w:lineRule="auto"/>
            </w:pPr>
            <w:r/>
            <w:r>
              <w:rPr>
                <w:rFonts w:ascii="Arial" w:hAnsi="Arial"/>
                <w:b w:val="0"/>
                <w:color w:val="17332A"/>
                <w:sz w:val="14"/>
              </w:rPr>
              <w:t>L-E1</w:t>
            </w:r>
          </w:p>
        </w:tc>
        <w:tc>
          <w:tcPr>
            <w:tcW w:type="dxa" w:w="2268"/>
            <w:vAlign w:val="center"/>
            <w:tcMar>
              <w:top w:w="90" w:type="dxa"/>
              <w:start w:w="100" w:type="dxa"/>
              <w:bottom w:w="90" w:type="dxa"/>
              <w:end w:w="100" w:type="dxa"/>
            </w:tcMar>
            <w:shd w:fill="EFF6F1"/>
          </w:tcPr>
          <w:p>
            <w:pPr>
              <w:spacing w:after="0" w:line="252" w:lineRule="auto"/>
            </w:pPr>
            <w:r/>
            <w:r>
              <w:rPr>
                <w:rFonts w:ascii="Arial" w:hAnsi="Arial"/>
                <w:b w:val="0"/>
                <w:color w:val="17332A"/>
                <w:sz w:val="14"/>
              </w:rPr>
              <w:t>Current UK offences and schedules</w:t>
            </w:r>
          </w:p>
        </w:tc>
        <w:tc>
          <w:tcPr>
            <w:tcW w:type="dxa" w:w="1814"/>
            <w:vAlign w:val="center"/>
            <w:tcMar>
              <w:top w:w="90" w:type="dxa"/>
              <w:start w:w="100" w:type="dxa"/>
              <w:bottom w:w="90" w:type="dxa"/>
              <w:end w:w="100" w:type="dxa"/>
            </w:tcMar>
            <w:shd w:fill="EFF6F1"/>
          </w:tcPr>
          <w:p>
            <w:pPr>
              <w:spacing w:after="0" w:line="252" w:lineRule="auto"/>
            </w:pPr>
            <w:r/>
            <w:r>
              <w:rPr>
                <w:rFonts w:ascii="Arial" w:hAnsi="Arial"/>
                <w:b w:val="0"/>
                <w:color w:val="17332A"/>
                <w:sz w:val="14"/>
              </w:rPr>
              <w:t>Primary legislation and regulations</w:t>
            </w:r>
          </w:p>
        </w:tc>
        <w:tc>
          <w:tcPr>
            <w:tcW w:type="dxa" w:w="2381"/>
            <w:vAlign w:val="center"/>
            <w:tcMar>
              <w:top w:w="90" w:type="dxa"/>
              <w:start w:w="100" w:type="dxa"/>
              <w:bottom w:w="90" w:type="dxa"/>
              <w:end w:w="100" w:type="dxa"/>
            </w:tcMar>
            <w:shd w:fill="EFF6F1"/>
          </w:tcPr>
          <w:p>
            <w:pPr>
              <w:spacing w:after="0" w:line="252" w:lineRule="auto"/>
            </w:pPr>
            <w:r/>
            <w:r>
              <w:rPr>
                <w:rFonts w:ascii="Arial" w:hAnsi="Arial"/>
                <w:b w:val="0"/>
                <w:color w:val="17332A"/>
                <w:sz w:val="14"/>
              </w:rPr>
              <w:t>High</w:t>
            </w:r>
          </w:p>
        </w:tc>
        <w:tc>
          <w:tcPr>
            <w:tcW w:type="dxa" w:w="1020"/>
            <w:vAlign w:val="center"/>
            <w:tcMar>
              <w:top w:w="90" w:type="dxa"/>
              <w:start w:w="100" w:type="dxa"/>
              <w:bottom w:w="90" w:type="dxa"/>
              <w:end w:w="100" w:type="dxa"/>
            </w:tcMar>
            <w:shd w:fill="EFF6F1"/>
          </w:tcPr>
          <w:p>
            <w:pPr>
              <w:spacing w:after="0" w:line="252" w:lineRule="auto"/>
            </w:pPr>
            <w:r/>
            <w:r>
              <w:rPr>
                <w:rFonts w:ascii="Arial" w:hAnsi="Arial"/>
                <w:b w:val="0"/>
                <w:color w:val="17332A"/>
                <w:sz w:val="14"/>
              </w:rPr>
              <w:t>L1-L3,L17,L18</w:t>
            </w:r>
          </w:p>
        </w:tc>
        <w:tc>
          <w:tcPr>
            <w:tcW w:type="dxa" w:w="1701"/>
            <w:vAlign w:val="center"/>
            <w:tcMar>
              <w:top w:w="90" w:type="dxa"/>
              <w:start w:w="100" w:type="dxa"/>
              <w:bottom w:w="90" w:type="dxa"/>
              <w:end w:w="100" w:type="dxa"/>
            </w:tcMar>
            <w:shd w:fill="EFF6F1"/>
          </w:tcPr>
          <w:p>
            <w:pPr>
              <w:spacing w:after="0" w:line="252" w:lineRule="auto"/>
            </w:pPr>
            <w:r/>
            <w:r>
              <w:rPr>
                <w:rFonts w:ascii="Arial" w:hAnsi="Arial"/>
                <w:b w:val="0"/>
                <w:color w:val="17332A"/>
                <w:sz w:val="14"/>
              </w:rPr>
              <w:t>Update after every statutory change</w:t>
            </w:r>
          </w:p>
        </w:tc>
      </w:tr>
      <w:tr>
        <w:trPr>
          <w:cantSplit/>
        </w:trPr>
        <w:tc>
          <w:tcPr>
            <w:tcW w:type="dxa" w:w="624"/>
            <w:vAlign w:val="center"/>
            <w:tcMar>
              <w:top w:w="90" w:type="dxa"/>
              <w:start w:w="100" w:type="dxa"/>
              <w:bottom w:w="90" w:type="dxa"/>
              <w:end w:w="100" w:type="dxa"/>
            </w:tcMar>
          </w:tcPr>
          <w:p>
            <w:pPr>
              <w:spacing w:after="0" w:line="252" w:lineRule="auto"/>
            </w:pPr>
            <w:r/>
            <w:r>
              <w:rPr>
                <w:rFonts w:ascii="Arial" w:hAnsi="Arial"/>
                <w:b w:val="0"/>
                <w:color w:val="17332A"/>
                <w:sz w:val="14"/>
              </w:rPr>
              <w:t>L-E2</w:t>
            </w:r>
          </w:p>
        </w:tc>
        <w:tc>
          <w:tcPr>
            <w:tcW w:type="dxa" w:w="2268"/>
            <w:vAlign w:val="center"/>
            <w:tcMar>
              <w:top w:w="90" w:type="dxa"/>
              <w:start w:w="100" w:type="dxa"/>
              <w:bottom w:w="90" w:type="dxa"/>
              <w:end w:w="100" w:type="dxa"/>
            </w:tcMar>
          </w:tcPr>
          <w:p>
            <w:pPr>
              <w:spacing w:after="0" w:line="252" w:lineRule="auto"/>
            </w:pPr>
            <w:r/>
            <w:r>
              <w:rPr>
                <w:rFonts w:ascii="Arial" w:hAnsi="Arial"/>
                <w:b w:val="0"/>
                <w:color w:val="17332A"/>
                <w:sz w:val="14"/>
              </w:rPr>
              <w:t>Section 7 can support defined authorisations</w:t>
            </w:r>
          </w:p>
        </w:tc>
        <w:tc>
          <w:tcPr>
            <w:tcW w:type="dxa" w:w="1814"/>
            <w:vAlign w:val="center"/>
            <w:tcMar>
              <w:top w:w="90" w:type="dxa"/>
              <w:start w:w="100" w:type="dxa"/>
              <w:bottom w:w="90" w:type="dxa"/>
              <w:end w:w="100" w:type="dxa"/>
            </w:tcMar>
          </w:tcPr>
          <w:p>
            <w:pPr>
              <w:spacing w:after="0" w:line="252" w:lineRule="auto"/>
            </w:pPr>
            <w:r/>
            <w:r>
              <w:rPr>
                <w:rFonts w:ascii="Arial" w:hAnsi="Arial"/>
                <w:b w:val="0"/>
                <w:color w:val="17332A"/>
                <w:sz w:val="14"/>
              </w:rPr>
              <w:t>Text and operation of MDA framework</w:t>
            </w:r>
          </w:p>
        </w:tc>
        <w:tc>
          <w:tcPr>
            <w:tcW w:type="dxa" w:w="2381"/>
            <w:vAlign w:val="center"/>
            <w:tcMar>
              <w:top w:w="90" w:type="dxa"/>
              <w:start w:w="100" w:type="dxa"/>
              <w:bottom w:w="90" w:type="dxa"/>
              <w:end w:w="100" w:type="dxa"/>
            </w:tcMar>
          </w:tcPr>
          <w:p>
            <w:pPr>
              <w:spacing w:after="0" w:line="252" w:lineRule="auto"/>
            </w:pPr>
            <w:r/>
            <w:r>
              <w:rPr>
                <w:rFonts w:ascii="Arial" w:hAnsi="Arial"/>
                <w:b w:val="0"/>
                <w:color w:val="17332A"/>
                <w:sz w:val="14"/>
              </w:rPr>
              <w:t>High for medical/scientific licensing; legal advice needed for each pilot</w:t>
            </w:r>
          </w:p>
        </w:tc>
        <w:tc>
          <w:tcPr>
            <w:tcW w:type="dxa" w:w="1020"/>
            <w:vAlign w:val="center"/>
            <w:tcMar>
              <w:top w:w="90" w:type="dxa"/>
              <w:start w:w="100" w:type="dxa"/>
              <w:bottom w:w="90" w:type="dxa"/>
              <w:end w:w="100" w:type="dxa"/>
            </w:tcMar>
          </w:tcPr>
          <w:p>
            <w:pPr>
              <w:spacing w:after="0" w:line="252" w:lineRule="auto"/>
            </w:pPr>
            <w:r/>
            <w:r>
              <w:rPr>
                <w:rFonts w:ascii="Arial" w:hAnsi="Arial"/>
                <w:b w:val="0"/>
                <w:color w:val="17332A"/>
                <w:sz w:val="14"/>
              </w:rPr>
              <w:t>L1,L2</w:t>
            </w:r>
          </w:p>
        </w:tc>
        <w:tc>
          <w:tcPr>
            <w:tcW w:type="dxa" w:w="1701"/>
            <w:vAlign w:val="center"/>
            <w:tcMar>
              <w:top w:w="90" w:type="dxa"/>
              <w:start w:w="100" w:type="dxa"/>
              <w:bottom w:w="90" w:type="dxa"/>
              <w:end w:w="100" w:type="dxa"/>
            </w:tcMar>
          </w:tcPr>
          <w:p>
            <w:pPr>
              <w:spacing w:after="0" w:line="252" w:lineRule="auto"/>
            </w:pPr>
            <w:r/>
            <w:r>
              <w:rPr>
                <w:rFonts w:ascii="Arial" w:hAnsi="Arial"/>
                <w:b w:val="0"/>
                <w:color w:val="17332A"/>
                <w:sz w:val="14"/>
              </w:rPr>
              <w:t>Publish pilot-specific vires opinion</w:t>
            </w:r>
          </w:p>
        </w:tc>
      </w:tr>
      <w:tr>
        <w:trPr>
          <w:cantSplit/>
        </w:trPr>
        <w:tc>
          <w:tcPr>
            <w:tcW w:type="dxa" w:w="624"/>
            <w:vAlign w:val="center"/>
            <w:tcMar>
              <w:top w:w="90" w:type="dxa"/>
              <w:start w:w="100" w:type="dxa"/>
              <w:bottom w:w="90" w:type="dxa"/>
              <w:end w:w="100" w:type="dxa"/>
            </w:tcMar>
            <w:shd w:fill="EFF6F1"/>
          </w:tcPr>
          <w:p>
            <w:pPr>
              <w:spacing w:after="0" w:line="252" w:lineRule="auto"/>
            </w:pPr>
            <w:r/>
            <w:r>
              <w:rPr>
                <w:rFonts w:ascii="Arial" w:hAnsi="Arial"/>
                <w:b w:val="0"/>
                <w:color w:val="17332A"/>
                <w:sz w:val="14"/>
              </w:rPr>
              <w:t>L-E3</w:t>
            </w:r>
          </w:p>
        </w:tc>
        <w:tc>
          <w:tcPr>
            <w:tcW w:type="dxa" w:w="2268"/>
            <w:vAlign w:val="center"/>
            <w:tcMar>
              <w:top w:w="90" w:type="dxa"/>
              <w:start w:w="100" w:type="dxa"/>
              <w:bottom w:w="90" w:type="dxa"/>
              <w:end w:w="100" w:type="dxa"/>
            </w:tcMar>
            <w:shd w:fill="EFF6F1"/>
          </w:tcPr>
          <w:p>
            <w:pPr>
              <w:spacing w:after="0" w:line="252" w:lineRule="auto"/>
            </w:pPr>
            <w:r/>
            <w:r>
              <w:rPr>
                <w:rFonts w:ascii="Arial" w:hAnsi="Arial"/>
                <w:b w:val="0"/>
                <w:color w:val="17332A"/>
                <w:sz w:val="14"/>
              </w:rPr>
              <w:t>Durable adult market requires primary legislation</w:t>
            </w:r>
          </w:p>
        </w:tc>
        <w:tc>
          <w:tcPr>
            <w:tcW w:type="dxa" w:w="1814"/>
            <w:vAlign w:val="center"/>
            <w:tcMar>
              <w:top w:w="90" w:type="dxa"/>
              <w:start w:w="100" w:type="dxa"/>
              <w:bottom w:w="90" w:type="dxa"/>
              <w:end w:w="100" w:type="dxa"/>
            </w:tcMar>
            <w:shd w:fill="EFF6F1"/>
          </w:tcPr>
          <w:p>
            <w:pPr>
              <w:spacing w:after="0" w:line="252" w:lineRule="auto"/>
            </w:pPr>
            <w:r/>
            <w:r>
              <w:rPr>
                <w:rFonts w:ascii="Arial" w:hAnsi="Arial"/>
                <w:b w:val="0"/>
                <w:color w:val="17332A"/>
                <w:sz w:val="14"/>
              </w:rPr>
              <w:t>Constitutional/legal inference</w:t>
            </w:r>
          </w:p>
        </w:tc>
        <w:tc>
          <w:tcPr>
            <w:tcW w:type="dxa" w:w="2381"/>
            <w:vAlign w:val="center"/>
            <w:tcMar>
              <w:top w:w="90" w:type="dxa"/>
              <w:start w:w="100" w:type="dxa"/>
              <w:bottom w:w="90" w:type="dxa"/>
              <w:end w:w="100" w:type="dxa"/>
            </w:tcMar>
            <w:shd w:fill="EFF6F1"/>
          </w:tcPr>
          <w:p>
            <w:pPr>
              <w:spacing w:after="0" w:line="252" w:lineRule="auto"/>
            </w:pPr>
            <w:r/>
            <w:r>
              <w:rPr>
                <w:rFonts w:ascii="Arial" w:hAnsi="Arial"/>
                <w:b w:val="0"/>
                <w:color w:val="17332A"/>
                <w:sz w:val="14"/>
              </w:rPr>
              <w:t>Strong but must be settled by counsel</w:t>
            </w:r>
          </w:p>
        </w:tc>
        <w:tc>
          <w:tcPr>
            <w:tcW w:type="dxa" w:w="1020"/>
            <w:vAlign w:val="center"/>
            <w:tcMar>
              <w:top w:w="90" w:type="dxa"/>
              <w:start w:w="100" w:type="dxa"/>
              <w:bottom w:w="90" w:type="dxa"/>
              <w:end w:w="100" w:type="dxa"/>
            </w:tcMar>
            <w:shd w:fill="EFF6F1"/>
          </w:tcPr>
          <w:p>
            <w:pPr>
              <w:spacing w:after="0" w:line="252" w:lineRule="auto"/>
            </w:pPr>
            <w:r/>
            <w:r>
              <w:rPr>
                <w:rFonts w:ascii="Arial" w:hAnsi="Arial"/>
                <w:b w:val="0"/>
                <w:color w:val="17332A"/>
                <w:sz w:val="14"/>
              </w:rPr>
              <w:t>L1-L3</w:t>
            </w:r>
          </w:p>
        </w:tc>
        <w:tc>
          <w:tcPr>
            <w:tcW w:type="dxa" w:w="1701"/>
            <w:vAlign w:val="center"/>
            <w:tcMar>
              <w:top w:w="90" w:type="dxa"/>
              <w:start w:w="100" w:type="dxa"/>
              <w:bottom w:w="90" w:type="dxa"/>
              <w:end w:w="100" w:type="dxa"/>
            </w:tcMar>
            <w:shd w:fill="EFF6F1"/>
          </w:tcPr>
          <w:p>
            <w:pPr>
              <w:spacing w:after="0" w:line="252" w:lineRule="auto"/>
            </w:pPr>
            <w:r/>
            <w:r>
              <w:rPr>
                <w:rFonts w:ascii="Arial" w:hAnsi="Arial"/>
                <w:b w:val="0"/>
                <w:color w:val="17332A"/>
                <w:sz w:val="14"/>
              </w:rPr>
              <w:t>Record contrary advice openly</w:t>
            </w:r>
          </w:p>
        </w:tc>
      </w:tr>
      <w:tr>
        <w:trPr>
          <w:cantSplit/>
        </w:trPr>
        <w:tc>
          <w:tcPr>
            <w:tcW w:type="dxa" w:w="624"/>
            <w:vAlign w:val="center"/>
            <w:tcMar>
              <w:top w:w="90" w:type="dxa"/>
              <w:start w:w="100" w:type="dxa"/>
              <w:bottom w:w="90" w:type="dxa"/>
              <w:end w:w="100" w:type="dxa"/>
            </w:tcMar>
          </w:tcPr>
          <w:p>
            <w:pPr>
              <w:spacing w:after="0" w:line="252" w:lineRule="auto"/>
            </w:pPr>
            <w:r/>
            <w:r>
              <w:rPr>
                <w:rFonts w:ascii="Arial" w:hAnsi="Arial"/>
                <w:b w:val="0"/>
                <w:color w:val="17332A"/>
                <w:sz w:val="14"/>
              </w:rPr>
              <w:t>L-E4</w:t>
            </w:r>
          </w:p>
        </w:tc>
        <w:tc>
          <w:tcPr>
            <w:tcW w:type="dxa" w:w="2268"/>
            <w:vAlign w:val="center"/>
            <w:tcMar>
              <w:top w:w="90" w:type="dxa"/>
              <w:start w:w="100" w:type="dxa"/>
              <w:bottom w:w="90" w:type="dxa"/>
              <w:end w:w="100" w:type="dxa"/>
            </w:tcMar>
          </w:tcPr>
          <w:p>
            <w:pPr>
              <w:spacing w:after="0" w:line="252" w:lineRule="auto"/>
            </w:pPr>
            <w:r/>
            <w:r>
              <w:rPr>
                <w:rFonts w:ascii="Arial" w:hAnsi="Arial"/>
                <w:b w:val="0"/>
                <w:color w:val="17332A"/>
                <w:sz w:val="14"/>
              </w:rPr>
              <w:t>Article 8 requires proportionality, not automatic invalidity</w:t>
            </w:r>
          </w:p>
        </w:tc>
        <w:tc>
          <w:tcPr>
            <w:tcW w:type="dxa" w:w="1814"/>
            <w:vAlign w:val="center"/>
            <w:tcMar>
              <w:top w:w="90" w:type="dxa"/>
              <w:start w:w="100" w:type="dxa"/>
              <w:bottom w:w="90" w:type="dxa"/>
              <w:end w:w="100" w:type="dxa"/>
            </w:tcMar>
          </w:tcPr>
          <w:p>
            <w:pPr>
              <w:spacing w:after="0" w:line="252" w:lineRule="auto"/>
            </w:pPr>
            <w:r/>
            <w:r>
              <w:rPr>
                <w:rFonts w:ascii="Arial" w:hAnsi="Arial"/>
                <w:b w:val="0"/>
                <w:color w:val="17332A"/>
                <w:sz w:val="14"/>
              </w:rPr>
              <w:t>Statute and ECtHR guide</w:t>
            </w:r>
          </w:p>
        </w:tc>
        <w:tc>
          <w:tcPr>
            <w:tcW w:type="dxa" w:w="2381"/>
            <w:vAlign w:val="center"/>
            <w:tcMar>
              <w:top w:w="90" w:type="dxa"/>
              <w:start w:w="100" w:type="dxa"/>
              <w:bottom w:w="90" w:type="dxa"/>
              <w:end w:w="100" w:type="dxa"/>
            </w:tcMar>
          </w:tcPr>
          <w:p>
            <w:pPr>
              <w:spacing w:after="0" w:line="252" w:lineRule="auto"/>
            </w:pPr>
            <w:r/>
            <w:r>
              <w:rPr>
                <w:rFonts w:ascii="Arial" w:hAnsi="Arial"/>
                <w:b w:val="0"/>
                <w:color w:val="17332A"/>
                <w:sz w:val="14"/>
              </w:rPr>
              <w:t>High</w:t>
            </w:r>
          </w:p>
        </w:tc>
        <w:tc>
          <w:tcPr>
            <w:tcW w:type="dxa" w:w="1020"/>
            <w:vAlign w:val="center"/>
            <w:tcMar>
              <w:top w:w="90" w:type="dxa"/>
              <w:start w:w="100" w:type="dxa"/>
              <w:bottom w:w="90" w:type="dxa"/>
              <w:end w:w="100" w:type="dxa"/>
            </w:tcMar>
          </w:tcPr>
          <w:p>
            <w:pPr>
              <w:spacing w:after="0" w:line="252" w:lineRule="auto"/>
            </w:pPr>
            <w:r/>
            <w:r>
              <w:rPr>
                <w:rFonts w:ascii="Arial" w:hAnsi="Arial"/>
                <w:b w:val="0"/>
                <w:color w:val="17332A"/>
                <w:sz w:val="14"/>
              </w:rPr>
              <w:t>L4,L5</w:t>
            </w:r>
          </w:p>
        </w:tc>
        <w:tc>
          <w:tcPr>
            <w:tcW w:type="dxa" w:w="1701"/>
            <w:vAlign w:val="center"/>
            <w:tcMar>
              <w:top w:w="90" w:type="dxa"/>
              <w:start w:w="100" w:type="dxa"/>
              <w:bottom w:w="90" w:type="dxa"/>
              <w:end w:w="100" w:type="dxa"/>
            </w:tcMar>
          </w:tcPr>
          <w:p>
            <w:pPr>
              <w:spacing w:after="0" w:line="252" w:lineRule="auto"/>
            </w:pPr>
            <w:r/>
            <w:r>
              <w:rPr>
                <w:rFonts w:ascii="Arial" w:hAnsi="Arial"/>
                <w:b w:val="0"/>
                <w:color w:val="17332A"/>
                <w:sz w:val="14"/>
              </w:rPr>
              <w:t>Update with relevant case law</w:t>
            </w:r>
          </w:p>
        </w:tc>
      </w:tr>
      <w:tr>
        <w:trPr>
          <w:cantSplit/>
        </w:trPr>
        <w:tc>
          <w:tcPr>
            <w:tcW w:type="dxa" w:w="624"/>
            <w:vAlign w:val="center"/>
            <w:tcMar>
              <w:top w:w="90" w:type="dxa"/>
              <w:start w:w="100" w:type="dxa"/>
              <w:bottom w:w="90" w:type="dxa"/>
              <w:end w:w="100" w:type="dxa"/>
            </w:tcMar>
            <w:shd w:fill="EFF6F1"/>
          </w:tcPr>
          <w:p>
            <w:pPr>
              <w:spacing w:after="0" w:line="252" w:lineRule="auto"/>
            </w:pPr>
            <w:r/>
            <w:r>
              <w:rPr>
                <w:rFonts w:ascii="Arial" w:hAnsi="Arial"/>
                <w:b w:val="0"/>
                <w:color w:val="17332A"/>
                <w:sz w:val="14"/>
              </w:rPr>
              <w:t>L-E5</w:t>
            </w:r>
          </w:p>
        </w:tc>
        <w:tc>
          <w:tcPr>
            <w:tcW w:type="dxa" w:w="2268"/>
            <w:vAlign w:val="center"/>
            <w:tcMar>
              <w:top w:w="90" w:type="dxa"/>
              <w:start w:w="100" w:type="dxa"/>
              <w:bottom w:w="90" w:type="dxa"/>
              <w:end w:w="100" w:type="dxa"/>
            </w:tcMar>
            <w:shd w:fill="EFF6F1"/>
          </w:tcPr>
          <w:p>
            <w:pPr>
              <w:spacing w:after="0" w:line="252" w:lineRule="auto"/>
            </w:pPr>
            <w:r/>
            <w:r>
              <w:rPr>
                <w:rFonts w:ascii="Arial" w:hAnsi="Arial"/>
                <w:b w:val="0"/>
                <w:color w:val="17332A"/>
                <w:sz w:val="14"/>
              </w:rPr>
              <w:t>Treaties constrain non-medical markets</w:t>
            </w:r>
          </w:p>
        </w:tc>
        <w:tc>
          <w:tcPr>
            <w:tcW w:type="dxa" w:w="1814"/>
            <w:vAlign w:val="center"/>
            <w:tcMar>
              <w:top w:w="90" w:type="dxa"/>
              <w:start w:w="100" w:type="dxa"/>
              <w:bottom w:w="90" w:type="dxa"/>
              <w:end w:w="100" w:type="dxa"/>
            </w:tcMar>
            <w:shd w:fill="EFF6F1"/>
          </w:tcPr>
          <w:p>
            <w:pPr>
              <w:spacing w:after="0" w:line="252" w:lineRule="auto"/>
            </w:pPr>
            <w:r/>
            <w:r>
              <w:rPr>
                <w:rFonts w:ascii="Arial" w:hAnsi="Arial"/>
                <w:b w:val="0"/>
                <w:color w:val="17332A"/>
                <w:sz w:val="14"/>
              </w:rPr>
              <w:t>Treaty text</w:t>
            </w:r>
          </w:p>
        </w:tc>
        <w:tc>
          <w:tcPr>
            <w:tcW w:type="dxa" w:w="2381"/>
            <w:vAlign w:val="center"/>
            <w:tcMar>
              <w:top w:w="90" w:type="dxa"/>
              <w:start w:w="100" w:type="dxa"/>
              <w:bottom w:w="90" w:type="dxa"/>
              <w:end w:w="100" w:type="dxa"/>
            </w:tcMar>
            <w:shd w:fill="EFF6F1"/>
          </w:tcPr>
          <w:p>
            <w:pPr>
              <w:spacing w:after="0" w:line="252" w:lineRule="auto"/>
            </w:pPr>
            <w:r/>
            <w:r>
              <w:rPr>
                <w:rFonts w:ascii="Arial" w:hAnsi="Arial"/>
                <w:b w:val="0"/>
                <w:color w:val="17332A"/>
                <w:sz w:val="14"/>
              </w:rPr>
              <w:t>High; route options require specialist advice</w:t>
            </w:r>
          </w:p>
        </w:tc>
        <w:tc>
          <w:tcPr>
            <w:tcW w:type="dxa" w:w="1020"/>
            <w:vAlign w:val="center"/>
            <w:tcMar>
              <w:top w:w="90" w:type="dxa"/>
              <w:start w:w="100" w:type="dxa"/>
              <w:bottom w:w="90" w:type="dxa"/>
              <w:end w:w="100" w:type="dxa"/>
            </w:tcMar>
            <w:shd w:fill="EFF6F1"/>
          </w:tcPr>
          <w:p>
            <w:pPr>
              <w:spacing w:after="0" w:line="252" w:lineRule="auto"/>
            </w:pPr>
            <w:r/>
            <w:r>
              <w:rPr>
                <w:rFonts w:ascii="Arial" w:hAnsi="Arial"/>
                <w:b w:val="0"/>
                <w:color w:val="17332A"/>
                <w:sz w:val="14"/>
              </w:rPr>
              <w:t>L10-L12</w:t>
            </w:r>
          </w:p>
        </w:tc>
        <w:tc>
          <w:tcPr>
            <w:tcW w:type="dxa" w:w="1701"/>
            <w:vAlign w:val="center"/>
            <w:tcMar>
              <w:top w:w="90" w:type="dxa"/>
              <w:start w:w="100" w:type="dxa"/>
              <w:bottom w:w="90" w:type="dxa"/>
              <w:end w:w="100" w:type="dxa"/>
            </w:tcMar>
            <w:shd w:fill="EFF6F1"/>
          </w:tcPr>
          <w:p>
            <w:pPr>
              <w:spacing w:after="0" w:line="252" w:lineRule="auto"/>
            </w:pPr>
            <w:r/>
            <w:r>
              <w:rPr>
                <w:rFonts w:ascii="Arial" w:hAnsi="Arial"/>
                <w:b w:val="0"/>
                <w:color w:val="17332A"/>
                <w:sz w:val="14"/>
              </w:rPr>
              <w:t>Publish substance-tier treaty table</w:t>
            </w:r>
          </w:p>
        </w:tc>
      </w:tr>
      <w:tr>
        <w:trPr>
          <w:cantSplit/>
        </w:trPr>
        <w:tc>
          <w:tcPr>
            <w:tcW w:type="dxa" w:w="624"/>
            <w:vAlign w:val="center"/>
            <w:tcMar>
              <w:top w:w="90" w:type="dxa"/>
              <w:start w:w="100" w:type="dxa"/>
              <w:bottom w:w="90" w:type="dxa"/>
              <w:end w:w="100" w:type="dxa"/>
            </w:tcMar>
          </w:tcPr>
          <w:p>
            <w:pPr>
              <w:spacing w:after="0" w:line="252" w:lineRule="auto"/>
            </w:pPr>
            <w:r/>
            <w:r>
              <w:rPr>
                <w:rFonts w:ascii="Arial" w:hAnsi="Arial"/>
                <w:b w:val="0"/>
                <w:color w:val="17332A"/>
                <w:sz w:val="14"/>
              </w:rPr>
              <w:t>L-E6</w:t>
            </w:r>
          </w:p>
        </w:tc>
        <w:tc>
          <w:tcPr>
            <w:tcW w:type="dxa" w:w="2268"/>
            <w:vAlign w:val="center"/>
            <w:tcMar>
              <w:top w:w="90" w:type="dxa"/>
              <w:start w:w="100" w:type="dxa"/>
              <w:bottom w:w="90" w:type="dxa"/>
              <w:end w:w="100" w:type="dxa"/>
            </w:tcMar>
          </w:tcPr>
          <w:p>
            <w:pPr>
              <w:spacing w:after="0" w:line="252" w:lineRule="auto"/>
            </w:pPr>
            <w:r/>
            <w:r>
              <w:rPr>
                <w:rFonts w:ascii="Arial" w:hAnsi="Arial"/>
                <w:b w:val="0"/>
                <w:color w:val="17332A"/>
                <w:sz w:val="14"/>
              </w:rPr>
              <w:t>Record repair can be legislated</w:t>
            </w:r>
          </w:p>
        </w:tc>
        <w:tc>
          <w:tcPr>
            <w:tcW w:type="dxa" w:w="1814"/>
            <w:vAlign w:val="center"/>
            <w:tcMar>
              <w:top w:w="90" w:type="dxa"/>
              <w:start w:w="100" w:type="dxa"/>
              <w:bottom w:w="90" w:type="dxa"/>
              <w:end w:w="100" w:type="dxa"/>
            </w:tcMar>
          </w:tcPr>
          <w:p>
            <w:pPr>
              <w:spacing w:after="0" w:line="252" w:lineRule="auto"/>
            </w:pPr>
            <w:r/>
            <w:r>
              <w:rPr>
                <w:rFonts w:ascii="Arial" w:hAnsi="Arial"/>
                <w:b w:val="0"/>
                <w:color w:val="17332A"/>
                <w:sz w:val="14"/>
              </w:rPr>
              <w:t>UK statutory analogy</w:t>
            </w:r>
          </w:p>
        </w:tc>
        <w:tc>
          <w:tcPr>
            <w:tcW w:type="dxa" w:w="2381"/>
            <w:vAlign w:val="center"/>
            <w:tcMar>
              <w:top w:w="90" w:type="dxa"/>
              <w:start w:w="100" w:type="dxa"/>
              <w:bottom w:w="90" w:type="dxa"/>
              <w:end w:w="100" w:type="dxa"/>
            </w:tcMar>
          </w:tcPr>
          <w:p>
            <w:pPr>
              <w:spacing w:after="0" w:line="252" w:lineRule="auto"/>
            </w:pPr>
            <w:r/>
            <w:r>
              <w:rPr>
                <w:rFonts w:ascii="Arial" w:hAnsi="Arial"/>
                <w:b w:val="0"/>
                <w:color w:val="17332A"/>
                <w:sz w:val="14"/>
              </w:rPr>
              <w:t>High as an architectural precedent</w:t>
            </w:r>
          </w:p>
        </w:tc>
        <w:tc>
          <w:tcPr>
            <w:tcW w:type="dxa" w:w="1020"/>
            <w:vAlign w:val="center"/>
            <w:tcMar>
              <w:top w:w="90" w:type="dxa"/>
              <w:start w:w="100" w:type="dxa"/>
              <w:bottom w:w="90" w:type="dxa"/>
              <w:end w:w="100" w:type="dxa"/>
            </w:tcMar>
          </w:tcPr>
          <w:p>
            <w:pPr>
              <w:spacing w:after="0" w:line="252" w:lineRule="auto"/>
            </w:pPr>
            <w:r/>
            <w:r>
              <w:rPr>
                <w:rFonts w:ascii="Arial" w:hAnsi="Arial"/>
                <w:b w:val="0"/>
                <w:color w:val="17332A"/>
                <w:sz w:val="14"/>
              </w:rPr>
              <w:t>L9</w:t>
            </w:r>
          </w:p>
        </w:tc>
        <w:tc>
          <w:tcPr>
            <w:tcW w:type="dxa" w:w="1701"/>
            <w:vAlign w:val="center"/>
            <w:tcMar>
              <w:top w:w="90" w:type="dxa"/>
              <w:start w:w="100" w:type="dxa"/>
              <w:bottom w:w="90" w:type="dxa"/>
              <w:end w:w="100" w:type="dxa"/>
            </w:tcMar>
          </w:tcPr>
          <w:p>
            <w:pPr>
              <w:spacing w:after="0" w:line="252" w:lineRule="auto"/>
            </w:pPr>
            <w:r/>
            <w:r>
              <w:rPr>
                <w:rFonts w:ascii="Arial" w:hAnsi="Arial"/>
                <w:b w:val="0"/>
                <w:color w:val="17332A"/>
                <w:sz w:val="14"/>
              </w:rPr>
              <w:t>Do not imply identical eligibility</w:t>
            </w:r>
          </w:p>
        </w:tc>
      </w:tr>
      <w:tr>
        <w:trPr>
          <w:cantSplit/>
        </w:trPr>
        <w:tc>
          <w:tcPr>
            <w:tcW w:type="dxa" w:w="624"/>
            <w:vAlign w:val="center"/>
            <w:tcMar>
              <w:top w:w="90" w:type="dxa"/>
              <w:start w:w="100" w:type="dxa"/>
              <w:bottom w:w="90" w:type="dxa"/>
              <w:end w:w="100" w:type="dxa"/>
            </w:tcMar>
            <w:shd w:fill="EFF6F1"/>
          </w:tcPr>
          <w:p>
            <w:pPr>
              <w:spacing w:after="0" w:line="252" w:lineRule="auto"/>
            </w:pPr>
            <w:r/>
            <w:r>
              <w:rPr>
                <w:rFonts w:ascii="Arial" w:hAnsi="Arial"/>
                <w:b w:val="0"/>
                <w:color w:val="17332A"/>
                <w:sz w:val="14"/>
              </w:rPr>
              <w:t>L-E7</w:t>
            </w:r>
          </w:p>
        </w:tc>
        <w:tc>
          <w:tcPr>
            <w:tcW w:type="dxa" w:w="2268"/>
            <w:vAlign w:val="center"/>
            <w:tcMar>
              <w:top w:w="90" w:type="dxa"/>
              <w:start w:w="100" w:type="dxa"/>
              <w:bottom w:w="90" w:type="dxa"/>
              <w:end w:w="100" w:type="dxa"/>
            </w:tcMar>
            <w:shd w:fill="EFF6F1"/>
          </w:tcPr>
          <w:p>
            <w:pPr>
              <w:spacing w:after="0" w:line="252" w:lineRule="auto"/>
            </w:pPr>
            <w:r/>
            <w:r>
              <w:rPr>
                <w:rFonts w:ascii="Arial" w:hAnsi="Arial"/>
                <w:b w:val="0"/>
                <w:color w:val="17332A"/>
                <w:sz w:val="14"/>
              </w:rPr>
              <w:t>The 30-day/18-month timetable is achievable</w:t>
            </w:r>
          </w:p>
        </w:tc>
        <w:tc>
          <w:tcPr>
            <w:tcW w:type="dxa" w:w="1814"/>
            <w:vAlign w:val="center"/>
            <w:tcMar>
              <w:top w:w="90" w:type="dxa"/>
              <w:start w:w="100" w:type="dxa"/>
              <w:bottom w:w="90" w:type="dxa"/>
              <w:end w:w="100" w:type="dxa"/>
            </w:tcMar>
            <w:shd w:fill="EFF6F1"/>
          </w:tcPr>
          <w:p>
            <w:pPr>
              <w:spacing w:after="0" w:line="252" w:lineRule="auto"/>
            </w:pPr>
            <w:r/>
            <w:r>
              <w:rPr>
                <w:rFonts w:ascii="Arial" w:hAnsi="Arial"/>
                <w:b w:val="0"/>
                <w:color w:val="17332A"/>
                <w:sz w:val="14"/>
              </w:rPr>
              <w:t>Implementation proposal</w:t>
            </w:r>
          </w:p>
        </w:tc>
        <w:tc>
          <w:tcPr>
            <w:tcW w:type="dxa" w:w="2381"/>
            <w:vAlign w:val="center"/>
            <w:tcMar>
              <w:top w:w="90" w:type="dxa"/>
              <w:start w:w="100" w:type="dxa"/>
              <w:bottom w:w="90" w:type="dxa"/>
              <w:end w:w="100" w:type="dxa"/>
            </w:tcMar>
            <w:shd w:fill="EFF6F1"/>
          </w:tcPr>
          <w:p>
            <w:pPr>
              <w:spacing w:after="0" w:line="252" w:lineRule="auto"/>
            </w:pPr>
            <w:r/>
            <w:r>
              <w:rPr>
                <w:rFonts w:ascii="Arial" w:hAnsi="Arial"/>
                <w:b w:val="0"/>
                <w:color w:val="17332A"/>
                <w:sz w:val="14"/>
              </w:rPr>
              <w:t>Unproven</w:t>
            </w:r>
          </w:p>
        </w:tc>
        <w:tc>
          <w:tcPr>
            <w:tcW w:type="dxa" w:w="1020"/>
            <w:vAlign w:val="center"/>
            <w:tcMar>
              <w:top w:w="90" w:type="dxa"/>
              <w:start w:w="100" w:type="dxa"/>
              <w:bottom w:w="90" w:type="dxa"/>
              <w:end w:w="100" w:type="dxa"/>
            </w:tcMar>
            <w:shd w:fill="EFF6F1"/>
          </w:tcPr>
          <w:p>
            <w:pPr>
              <w:spacing w:after="0" w:line="252" w:lineRule="auto"/>
            </w:pPr>
            <w:r/>
            <w:r>
              <w:rPr>
                <w:rFonts w:ascii="Arial" w:hAnsi="Arial"/>
                <w:b w:val="0"/>
                <w:color w:val="17332A"/>
                <w:sz w:val="14"/>
              </w:rPr>
              <w:t>This paper</w:t>
            </w:r>
          </w:p>
        </w:tc>
        <w:tc>
          <w:tcPr>
            <w:tcW w:type="dxa" w:w="1701"/>
            <w:vAlign w:val="center"/>
            <w:tcMar>
              <w:top w:w="90" w:type="dxa"/>
              <w:start w:w="100" w:type="dxa"/>
              <w:bottom w:w="90" w:type="dxa"/>
              <w:end w:w="100" w:type="dxa"/>
            </w:tcMar>
            <w:shd w:fill="EFF6F1"/>
          </w:tcPr>
          <w:p>
            <w:pPr>
              <w:spacing w:after="0" w:line="252" w:lineRule="auto"/>
            </w:pPr>
            <w:r/>
            <w:r>
              <w:rPr>
                <w:rFonts w:ascii="Arial" w:hAnsi="Arial"/>
                <w:b w:val="0"/>
                <w:color w:val="17332A"/>
                <w:sz w:val="14"/>
              </w:rPr>
              <w:t>Publish critical path and delay reasons</w:t>
            </w:r>
          </w:p>
        </w:tc>
      </w:tr>
      <w:tr>
        <w:trPr>
          <w:cantSplit/>
        </w:trPr>
        <w:tc>
          <w:tcPr>
            <w:tcW w:type="dxa" w:w="624"/>
            <w:vAlign w:val="center"/>
            <w:tcMar>
              <w:top w:w="90" w:type="dxa"/>
              <w:start w:w="100" w:type="dxa"/>
              <w:bottom w:w="90" w:type="dxa"/>
              <w:end w:w="100" w:type="dxa"/>
            </w:tcMar>
          </w:tcPr>
          <w:p>
            <w:pPr>
              <w:spacing w:after="0" w:line="252" w:lineRule="auto"/>
            </w:pPr>
            <w:r/>
            <w:r>
              <w:rPr>
                <w:rFonts w:ascii="Arial" w:hAnsi="Arial"/>
                <w:b w:val="0"/>
                <w:color w:val="17332A"/>
                <w:sz w:val="14"/>
              </w:rPr>
              <w:t>L-E8</w:t>
            </w:r>
          </w:p>
        </w:tc>
        <w:tc>
          <w:tcPr>
            <w:tcW w:type="dxa" w:w="2268"/>
            <w:vAlign w:val="center"/>
            <w:tcMar>
              <w:top w:w="90" w:type="dxa"/>
              <w:start w:w="100" w:type="dxa"/>
              <w:bottom w:w="90" w:type="dxa"/>
              <w:end w:w="100" w:type="dxa"/>
            </w:tcMar>
          </w:tcPr>
          <w:p>
            <w:pPr>
              <w:spacing w:after="0" w:line="252" w:lineRule="auto"/>
            </w:pPr>
            <w:r/>
            <w:r>
              <w:rPr>
                <w:rFonts w:ascii="Arial" w:hAnsi="Arial"/>
                <w:b w:val="0"/>
                <w:color w:val="17332A"/>
                <w:sz w:val="14"/>
              </w:rPr>
              <w:t>A regulated model will reduce total harm</w:t>
            </w:r>
          </w:p>
        </w:tc>
        <w:tc>
          <w:tcPr>
            <w:tcW w:type="dxa" w:w="1814"/>
            <w:vAlign w:val="center"/>
            <w:tcMar>
              <w:top w:w="90" w:type="dxa"/>
              <w:start w:w="100" w:type="dxa"/>
              <w:bottom w:w="90" w:type="dxa"/>
              <w:end w:w="100" w:type="dxa"/>
            </w:tcMar>
          </w:tcPr>
          <w:p>
            <w:pPr>
              <w:spacing w:after="0" w:line="252" w:lineRule="auto"/>
            </w:pPr>
            <w:r/>
            <w:r>
              <w:rPr>
                <w:rFonts w:ascii="Arial" w:hAnsi="Arial"/>
                <w:b w:val="0"/>
                <w:color w:val="17332A"/>
                <w:sz w:val="14"/>
              </w:rPr>
              <w:t>Policy hypothesis</w:t>
            </w:r>
          </w:p>
        </w:tc>
        <w:tc>
          <w:tcPr>
            <w:tcW w:type="dxa" w:w="2381"/>
            <w:vAlign w:val="center"/>
            <w:tcMar>
              <w:top w:w="90" w:type="dxa"/>
              <w:start w:w="100" w:type="dxa"/>
              <w:bottom w:w="90" w:type="dxa"/>
              <w:end w:w="100" w:type="dxa"/>
            </w:tcMar>
          </w:tcPr>
          <w:p>
            <w:pPr>
              <w:spacing w:after="0" w:line="252" w:lineRule="auto"/>
            </w:pPr>
            <w:r/>
            <w:r>
              <w:rPr>
                <w:rFonts w:ascii="Arial" w:hAnsi="Arial"/>
                <w:b w:val="0"/>
                <w:color w:val="17332A"/>
                <w:sz w:val="14"/>
              </w:rPr>
              <w:t>Uncertain and testable</w:t>
            </w:r>
          </w:p>
        </w:tc>
        <w:tc>
          <w:tcPr>
            <w:tcW w:type="dxa" w:w="1020"/>
            <w:vAlign w:val="center"/>
            <w:tcMar>
              <w:top w:w="90" w:type="dxa"/>
              <w:start w:w="100" w:type="dxa"/>
              <w:bottom w:w="90" w:type="dxa"/>
              <w:end w:w="100" w:type="dxa"/>
            </w:tcMar>
          </w:tcPr>
          <w:p>
            <w:pPr>
              <w:spacing w:after="0" w:line="252" w:lineRule="auto"/>
            </w:pPr>
            <w:r/>
            <w:r>
              <w:rPr>
                <w:rFonts w:ascii="Arial" w:hAnsi="Arial"/>
                <w:b w:val="0"/>
                <w:color w:val="17332A"/>
                <w:sz w:val="14"/>
              </w:rPr>
              <w:t>Part I; L14-L16</w:t>
            </w:r>
          </w:p>
        </w:tc>
        <w:tc>
          <w:tcPr>
            <w:tcW w:type="dxa" w:w="1701"/>
            <w:vAlign w:val="center"/>
            <w:tcMar>
              <w:top w:w="90" w:type="dxa"/>
              <w:start w:w="100" w:type="dxa"/>
              <w:bottom w:w="90" w:type="dxa"/>
              <w:end w:w="100" w:type="dxa"/>
            </w:tcMar>
          </w:tcPr>
          <w:p>
            <w:pPr>
              <w:spacing w:after="0" w:line="252" w:lineRule="auto"/>
            </w:pPr>
            <w:r/>
            <w:r>
              <w:rPr>
                <w:rFonts w:ascii="Arial" w:hAnsi="Arial"/>
                <w:b w:val="0"/>
                <w:color w:val="17332A"/>
                <w:sz w:val="14"/>
              </w:rPr>
              <w:t>Apply stopping rules and publish negative outcomes</w:t>
            </w:r>
          </w:p>
        </w:tc>
      </w:tr>
    </w:tbl>
    <w:p/>
    <w:p>
      <w:pPr>
        <w:pStyle w:val="Heading1"/>
      </w:pPr>
      <w:r>
        <w:t>16. Implementation checklist</w:t>
      </w:r>
    </w:p>
    <w:p>
      <w:pPr>
        <w:pStyle w:val="ListBullet"/>
      </w:pPr>
      <w:r>
        <w:t>Baseline harms and costs published before reform.</w:t>
      </w:r>
    </w:p>
    <w:p>
      <w:pPr>
        <w:pStyle w:val="ListBullet"/>
      </w:pPr>
      <w:r>
        <w:t>ACMD commission and independent treaty advice published.</w:t>
      </w:r>
    </w:p>
    <w:p>
      <w:pPr>
        <w:pStyle w:val="ListBullet"/>
      </w:pPr>
      <w:r>
        <w:t>Bill contains child, coercion, spiking, adulteration, fraud and impaired-driving protections.</w:t>
      </w:r>
    </w:p>
    <w:p>
      <w:pPr>
        <w:pStyle w:val="ListBullet"/>
      </w:pPr>
      <w:r>
        <w:t>Testing, treatment and recall capacity exists before first licence.</w:t>
      </w:r>
    </w:p>
    <w:p>
      <w:pPr>
        <w:pStyle w:val="ListBullet"/>
      </w:pPr>
      <w:r>
        <w:t>Justice-transition tribunal ready at commencement.</w:t>
      </w:r>
    </w:p>
    <w:p>
      <w:pPr>
        <w:pStyle w:val="ListBullet"/>
      </w:pPr>
      <w:r>
        <w:t>Police and workforce transition plans funded.</w:t>
      </w:r>
    </w:p>
    <w:p>
      <w:pPr>
        <w:pStyle w:val="ListBullet"/>
      </w:pPr>
      <w:r>
        <w:t>Evidence register, conflict register and correction log live.</w:t>
      </w:r>
    </w:p>
    <w:p>
      <w:pPr>
        <w:pStyle w:val="ListBullet"/>
      </w:pPr>
      <w:r>
        <w:t>Review thresholds, sunset dates and emergency-expiry rules written into law.</w:t>
      </w:r>
    </w:p>
    <w:p>
      <w:pPr>
        <w:pStyle w:val="ListBullet"/>
      </w:pPr>
      <w:r>
        <w:t>Public reporting distinguishes facts, forecasts and political choices.</w:t>
      </w:r>
    </w:p>
    <w:p>
      <w:pPr>
        <w:pStyle w:val="Heading1"/>
      </w:pPr>
      <w:r>
        <w:t>Conclusion</w:t>
      </w:r>
    </w:p>
    <w:p>
      <w:r>
        <w:t>The choice is not between punishment and permissiveness. It is between systems of control. Prohibition controls through criminal status and illicit scarcity; regulation can control identity, dose, channel, age, conduct and accountability. The latter will deserve public trust only if it remains cautious, transparent, reversible and willing to admit when evidence contradicts its hopes.</w:t>
      </w:r>
    </w:p>
    <w:p>
      <w:pPr>
        <w:pStyle w:val="Heading1"/>
      </w:pPr>
      <w:r>
        <w:t>References</w:t>
      </w:r>
    </w:p>
    <w:p>
      <w:pPr>
        <w:spacing w:after="80"/>
        <w:ind w:left="255" w:hanging="255"/>
      </w:pPr>
      <w:r>
        <w:rPr>
          <w:b/>
        </w:rPr>
        <w:t xml:space="preserve">[L1] Misuse of Drugs Act 1971. </w:t>
      </w:r>
      <w:r>
        <w:t>https://www.legislation.gov.uk/ukpga/1971/38/contents</w:t>
      </w:r>
    </w:p>
    <w:p>
      <w:pPr>
        <w:spacing w:after="80"/>
        <w:ind w:left="255" w:hanging="255"/>
      </w:pPr>
      <w:r>
        <w:rPr>
          <w:b/>
        </w:rPr>
        <w:t xml:space="preserve">[L2] Misuse of Drugs Regulations 2001. </w:t>
      </w:r>
      <w:r>
        <w:t>https://www.legislation.gov.uk/uksi/2001/3998/contents</w:t>
      </w:r>
    </w:p>
    <w:p>
      <w:pPr>
        <w:spacing w:after="80"/>
        <w:ind w:left="255" w:hanging="255"/>
      </w:pPr>
      <w:r>
        <w:rPr>
          <w:b/>
        </w:rPr>
        <w:t xml:space="preserve">[L3] Psychoactive Substances Act 2016. </w:t>
      </w:r>
      <w:r>
        <w:t>https://www.legislation.gov.uk/ukpga/2016/2/contents</w:t>
      </w:r>
    </w:p>
    <w:p>
      <w:pPr>
        <w:spacing w:after="80"/>
        <w:ind w:left="255" w:hanging="255"/>
      </w:pPr>
      <w:r>
        <w:rPr>
          <w:b/>
        </w:rPr>
        <w:t xml:space="preserve">[L4] Human Rights Act 1998, Schedule 1, Article 8. </w:t>
      </w:r>
      <w:r>
        <w:t>https://www.legislation.gov.uk/ukpga/1998/42/schedule/1</w:t>
      </w:r>
    </w:p>
    <w:p>
      <w:pPr>
        <w:spacing w:after="80"/>
        <w:ind w:left="255" w:hanging="255"/>
      </w:pPr>
      <w:r>
        <w:rPr>
          <w:b/>
        </w:rPr>
        <w:t xml:space="preserve">[L5] European Court of Human Rights, Guide on Article 8, updated 2026. </w:t>
      </w:r>
      <w:r>
        <w:t>https://ks.echr.coe.int/documents/d/echr-ks/guide_art_8_eng</w:t>
      </w:r>
    </w:p>
    <w:p>
      <w:pPr>
        <w:spacing w:after="80"/>
        <w:ind w:left="255" w:hanging="255"/>
      </w:pPr>
      <w:r>
        <w:rPr>
          <w:b/>
        </w:rPr>
        <w:t xml:space="preserve">[L6] Crown Prosecution Service, Code for Crown Prosecutors. </w:t>
      </w:r>
      <w:r>
        <w:t>https://www.cps.gov.uk/publication/code-crown-prosecutors</w:t>
      </w:r>
    </w:p>
    <w:p>
      <w:pPr>
        <w:spacing w:after="80"/>
        <w:ind w:left="255" w:hanging="255"/>
      </w:pPr>
      <w:r>
        <w:rPr>
          <w:b/>
        </w:rPr>
        <w:t xml:space="preserve">[L7] ACMD, Consideration of Barriers to Research Part 2: Schedule 1 Controlled Drugs. </w:t>
      </w:r>
      <w:r>
        <w:t>https://www.gov.uk/government/publications/consideration-of-barriers-to-research-part-2</w:t>
      </w:r>
    </w:p>
    <w:p>
      <w:pPr>
        <w:spacing w:after="80"/>
        <w:ind w:left="255" w:hanging="255"/>
      </w:pPr>
      <w:r>
        <w:rPr>
          <w:b/>
        </w:rPr>
        <w:t xml:space="preserve">[L8] Public Health England, Injectable opioid treatment guidance. </w:t>
      </w:r>
      <w:r>
        <w:t>https://www.gov.uk/government/publications/injectable-opioid-treatment-commissioning-and-providing-services</w:t>
      </w:r>
    </w:p>
    <w:p>
      <w:pPr>
        <w:spacing w:after="80"/>
        <w:ind w:left="255" w:hanging="255"/>
      </w:pPr>
      <w:r>
        <w:rPr>
          <w:b/>
        </w:rPr>
        <w:t xml:space="preserve">[L9] Protection of Freedoms Act 2012, Part 5 Chapter 4. </w:t>
      </w:r>
      <w:r>
        <w:t>https://www.legislation.gov.uk/ukpga/2012/9/part/5/chapter/4</w:t>
      </w:r>
    </w:p>
    <w:p>
      <w:pPr>
        <w:spacing w:after="80"/>
        <w:ind w:left="255" w:hanging="255"/>
      </w:pPr>
      <w:r>
        <w:rPr>
          <w:b/>
        </w:rPr>
        <w:t xml:space="preserve">[L10] UN Single Convention on Narcotic Drugs 1961, as amended. </w:t>
      </w:r>
      <w:r>
        <w:t>https://www.unodc.org/pdf/convention_1961_en.pdf</w:t>
      </w:r>
    </w:p>
    <w:p>
      <w:pPr>
        <w:spacing w:after="80"/>
        <w:ind w:left="255" w:hanging="255"/>
      </w:pPr>
      <w:r>
        <w:rPr>
          <w:b/>
        </w:rPr>
        <w:t xml:space="preserve">[L11] UN Convention on Psychotropic Substances 1971. </w:t>
      </w:r>
      <w:r>
        <w:t>https://www.unodc.org/pdf/convention_1971_en.pdf</w:t>
      </w:r>
    </w:p>
    <w:p>
      <w:pPr>
        <w:spacing w:after="80"/>
        <w:ind w:left="255" w:hanging="255"/>
      </w:pPr>
      <w:r>
        <w:rPr>
          <w:b/>
        </w:rPr>
        <w:t xml:space="preserve">[L12] UN Convention against Illicit Traffic 1988. </w:t>
      </w:r>
      <w:r>
        <w:t>https://www.unodc.org/pdf/convention_1988_en.pdf</w:t>
      </w:r>
    </w:p>
    <w:p>
      <w:pPr>
        <w:spacing w:after="80"/>
        <w:ind w:left="255" w:hanging="255"/>
      </w:pPr>
      <w:r>
        <w:rPr>
          <w:b/>
        </w:rPr>
        <w:t xml:space="preserve">[L13] Wales Act 2017 explanatory notes: reserved drug matters. </w:t>
      </w:r>
      <w:r>
        <w:t>https://www.legislation.gov.uk/ukpga/2017/4/notes/division/6/index.htm</w:t>
      </w:r>
    </w:p>
    <w:p>
      <w:pPr>
        <w:spacing w:after="80"/>
        <w:ind w:left="255" w:hanging="255"/>
      </w:pPr>
      <w:r>
        <w:rPr>
          <w:b/>
        </w:rPr>
        <w:t xml:space="preserve">[L14] Swiss Federal Office of Public Health, diacetylmorphine-assisted treatment. </w:t>
      </w:r>
      <w:r>
        <w:t>https://www.bag.admin.ch/en/diacetylmorphine-assisted-heroin-assisted-treatment</w:t>
      </w:r>
    </w:p>
    <w:p>
      <w:pPr>
        <w:spacing w:after="80"/>
        <w:ind w:left="255" w:hanging="255"/>
      </w:pPr>
      <w:r>
        <w:rPr>
          <w:b/>
        </w:rPr>
        <w:t xml:space="preserve">[L15] Health Canada, Legislative Review of the Cannabis Act, 2024. </w:t>
      </w:r>
      <w:r>
        <w:t>https://www.canada.ca/en/health-canada/services/publications/drugs-health-products/legislative-review-cannabis-act-final-report-expert-panel.html</w:t>
      </w:r>
    </w:p>
    <w:p>
      <w:pPr>
        <w:spacing w:after="80"/>
        <w:ind w:left="255" w:hanging="255"/>
      </w:pPr>
      <w:r>
        <w:rPr>
          <w:b/>
        </w:rPr>
        <w:t xml:space="preserve">[L16] EUDA, Drug policy profile: Portugal. </w:t>
      </w:r>
      <w:r>
        <w:t>https://www.euda.europa.eu/publications/drug-policy-profiles/portugal_en</w:t>
      </w:r>
    </w:p>
    <w:p>
      <w:pPr>
        <w:spacing w:after="80"/>
        <w:ind w:left="255" w:hanging="255"/>
      </w:pPr>
      <w:r>
        <w:rPr>
          <w:b/>
        </w:rPr>
        <w:t xml:space="preserve">[L17] Home Office, Controlled drugs list. </w:t>
      </w:r>
      <w:r>
        <w:t>https://www.gov.uk/government/publications/controlled-drugs-list--2</w:t>
      </w:r>
    </w:p>
    <w:p>
      <w:pPr>
        <w:spacing w:after="80"/>
        <w:ind w:left="255" w:hanging="255"/>
      </w:pPr>
      <w:r>
        <w:rPr>
          <w:b/>
        </w:rPr>
        <w:t xml:space="preserve">[L18] Crown Prosecution Service, Drug offences guidance. </w:t>
      </w:r>
      <w:r>
        <w:t>https://www.cps.gov.uk/prosecution-guidance/drug-offences</w:t>
      </w:r>
    </w:p>
    <w:sectPr w:rsidR="00FC693F" w:rsidRPr="0006063C" w:rsidSect="00034616">
      <w:headerReference w:type="default" r:id="rId9"/>
      <w:footerReference w:type="default" r:id="rId10"/>
      <w:pgSz w:w="11906" w:h="16838"/>
      <w:pgMar w:top="1020" w:right="992" w:bottom="964" w:left="992"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215B45"/>
        <w:sz w:val="15"/>
      </w:rPr>
      <w:t xml:space="preserve">Open research · Revised evidence edition · 26 August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215B45"/>
        <w:sz w:val="15"/>
      </w:rPr>
      <w:t>THE GREEN TANK  /  PART II · FROM PROHIBITION TO REGULATION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rial" w:hAnsi="Arial"/>
      <w:color w:val="17332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215B45"/>
      <w:sz w:val="46"/>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32A"/>
      <w:sz w:val="30"/>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215B45"/>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0"/>
      <w:contextualSpacing/>
    </w:pPr>
    <w:rPr>
      <w:rFonts w:asciiTheme="majorHAnsi" w:eastAsiaTheme="majorEastAsia" w:hAnsiTheme="majorHAnsi" w:cstheme="majorBidi" w:ascii="Arial" w:hAnsi="Arial"/>
      <w:b/>
      <w:color w:val="17332A"/>
      <w:spacing w:val="5"/>
      <w:kern w:val="28"/>
      <w:sz w:val="6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