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40"/>
      </w:pPr>
      <w:r>
        <w:rPr>
          <w:rFonts w:ascii="Arial" w:hAnsi="Arial"/>
          <w:b/>
          <w:color w:val="215B45"/>
          <w:sz w:val="22"/>
        </w:rPr>
        <w:t>THE GREEN TANK</w:t>
      </w:r>
    </w:p>
    <w:p>
      <w:pPr>
        <w:spacing w:before="1160"/>
      </w:pPr>
      <w:r>
        <w:rPr>
          <w:rFonts w:ascii="Arial" w:hAnsi="Arial"/>
          <w:b/>
          <w:color w:val="E97052"/>
          <w:sz w:val="20"/>
        </w:rPr>
        <w:t>PART I · REVISED EVIDENCE EDITION</w:t>
      </w:r>
    </w:p>
    <w:p>
      <w:pPr>
        <w:pStyle w:val="Title"/>
      </w:pPr>
      <w:r>
        <w:t>From Punishment to Care</w:t>
      </w:r>
    </w:p>
    <w:p>
      <w:pPr>
        <w:spacing w:after="400"/>
      </w:pPr>
      <w:r>
        <w:rPr>
          <w:rFonts w:ascii="Georgia" w:hAnsi="Georgia"/>
          <w:i/>
          <w:color w:val="215B45"/>
          <w:sz w:val="34"/>
        </w:rPr>
        <w:t>A harm-reduction, autonomy and public-health case for replacing moral labels with accountable regulation</w:t>
      </w:r>
    </w:p>
    <w:tbl>
      <w:tblPr>
        <w:tblW w:type="auto" w:w="0"/>
        <w:jc w:val="center"/>
        <w:tblLook w:firstColumn="1" w:firstRow="1" w:lastColumn="0" w:lastRow="0" w:noHBand="0" w:noVBand="1" w:val="04A0"/>
      </w:tblPr>
      <w:tblGrid>
        <w:gridCol w:w="9922"/>
      </w:tblGrid>
      <w:tr>
        <w:tc>
          <w:tcPr>
            <w:tcW w:type="dxa" w:w="9922"/>
            <w:shd w:fill="DDEEE5"/>
            <w:tcMar>
              <w:top w:w="90" w:type="dxa"/>
              <w:start w:w="100" w:type="dxa"/>
              <w:bottom w:w="90" w:type="dxa"/>
              <w:end w:w="100" w:type="dxa"/>
            </w:tcMar>
            <w:vAlign w:val="center"/>
          </w:tcPr>
          <w:p>
            <w:pPr>
              <w:spacing w:after="0" w:line="252" w:lineRule="auto"/>
            </w:pPr>
            <w:r/>
            <w:r>
              <w:rPr>
                <w:rFonts w:ascii="Arial" w:hAnsi="Arial"/>
                <w:b/>
                <w:color w:val="17332A"/>
                <w:sz w:val="22"/>
              </w:rPr>
              <w:t>A proposal to judge psychoactive substances by evidence, context and actual harm—not by whether history first placed them inside a medicine cabinet or a criminal statute.</w:t>
            </w:r>
          </w:p>
        </w:tc>
      </w:tr>
    </w:tbl>
    <w:p>
      <w:pPr>
        <w:spacing w:before="800"/>
      </w:pPr>
      <w:r>
        <w:rPr>
          <w:b/>
        </w:rPr>
        <w:t>Author: Alex Anderson (Al)</w:t>
        <w:br/>
      </w:r>
      <w:r>
        <w:t>Research and drafting support: OpenAI</w:t>
        <w:br/>
      </w:r>
      <w:r>
        <w:t>Revised evidence edition: 26 August 2026</w:t>
        <w:br/>
      </w:r>
      <w:r>
        <w:t>Public-interest policy paper. Not individual medical or legal advice.</w:t>
      </w:r>
    </w:p>
    <w:p>
      <w:r>
        <w:br w:type="page"/>
      </w:r>
    </w:p>
    <w:p>
      <w:pPr>
        <w:pStyle w:val="Heading1"/>
      </w:pPr>
      <w:r>
        <w:t>Reader’s orientation</w:t>
      </w:r>
    </w:p>
    <w:p>
      <w:r>
        <w:t>This paper does not claim that every drug is safe, that every use is wise, or that intoxication excuses harm. It asks a narrower question: when an adult’s conduct does not harm or materially endanger another person, is criminal punishment the least harmful and most effective response?</w:t>
      </w:r>
    </w:p>
    <w:tbl>
      <w:tblPr>
        <w:tblW w:type="auto" w:w="0"/>
        <w:jc w:val="center"/>
        <w:tblLook w:firstColumn="1" w:firstRow="1" w:lastColumn="0" w:lastRow="0" w:noHBand="0" w:noVBand="1" w:val="04A0"/>
      </w:tblPr>
      <w:tblGrid>
        <w:gridCol w:w="9922"/>
      </w:tblGrid>
      <w:tr>
        <w:tc>
          <w:tcPr>
            <w:tcW w:type="dxa" w:w="9922"/>
            <w:shd w:fill="E9F56A"/>
            <w:tcMar>
              <w:top w:w="180" w:type="dxa"/>
              <w:start w:w="200" w:type="dxa"/>
              <w:bottom w:w="180" w:type="dxa"/>
              <w:end w:w="200" w:type="dxa"/>
            </w:tcMar>
          </w:tcPr>
          <w:p>
            <w:pPr>
              <w:spacing w:after="80"/>
            </w:pPr>
            <w:r/>
            <w:r>
              <w:rPr>
                <w:rFonts w:ascii="Arial" w:hAnsi="Arial"/>
                <w:b/>
                <w:color w:val="17332A"/>
                <w:sz w:val="22"/>
              </w:rPr>
              <w:t>The line this paper defends</w:t>
            </w:r>
          </w:p>
          <w:p>
            <w:pPr>
              <w:spacing w:after="0" w:line="269" w:lineRule="auto"/>
            </w:pPr>
            <w:r>
              <w:rPr>
                <w:rFonts w:ascii="Arial" w:hAnsi="Arial"/>
                <w:color w:val="17332A"/>
                <w:sz w:val="19"/>
              </w:rPr>
              <w:t>Keep firm law against violence, coercion, child supply, spiking, trafficking of people, dangerous adulteration, fraud and impaired driving. Replace punishment for low-harm adult possession with health protection, honest information and proportionate regulation.</w:t>
            </w:r>
          </w:p>
        </w:tc>
      </w:tr>
    </w:tbl>
    <w:p/>
    <w:p>
      <w:pPr>
        <w:pStyle w:val="Heading1"/>
      </w:pPr>
      <w:r>
        <w:t>Executive summary</w:t>
      </w:r>
    </w:p>
    <w:p>
      <w:pPr>
        <w:pStyle w:val="ListBullet"/>
      </w:pPr>
      <w:r>
        <w:t>The arrest that prompted this paper is verifiable as an official agency report, but it remains an allegation rather than a conviction.</w:t>
      </w:r>
    </w:p>
    <w:p>
      <w:pPr>
        <w:pStyle w:val="ListBullet"/>
      </w:pPr>
      <w:r>
        <w:t>Legal status and measured harm are different variables. Alcohol and lawful medicines demonstrate that society already manages powerful benefits and serious risks without pretending either side does not exist.</w:t>
      </w:r>
    </w:p>
    <w:p>
      <w:pPr>
        <w:pStyle w:val="ListBullet"/>
      </w:pPr>
      <w:r>
        <w:t>Prohibition can add harms of its own: uncertain potency, contaminated supply, organised-crime revenue, reluctance to seek help, criminal records, imprisonment and loss of work or housing.</w:t>
      </w:r>
    </w:p>
    <w:p>
      <w:pPr>
        <w:pStyle w:val="ListBullet"/>
      </w:pPr>
      <w:r>
        <w:t>A credible alternative must be deliberately cautious: substance-specific tiers, age limits, dose and quantity rules, testing, traceability, treatment access, impaired-driving enforcement and independent review.</w:t>
      </w:r>
    </w:p>
    <w:p>
      <w:pPr>
        <w:pStyle w:val="ListBullet"/>
      </w:pPr>
      <w:r>
        <w:t>Persuasion should respect the reader. This edition distinguishes verified facts, evidence-based inference and policy proposals; it includes counterarguments and a correction route.</w:t>
      </w:r>
    </w:p>
    <w:p>
      <w:pPr>
        <w:pStyle w:val="Heading1"/>
      </w:pPr>
      <w:r>
        <w:t>1. The human event that opened the question</w:t>
      </w:r>
    </w:p>
    <w:p>
      <w:r>
        <w:t>On 23 August 2026, Nigeria’s National Drug Law Enforcement Agency reported that its officers had arrested a 101-year-old great-grandmother on 15 August in Ogun State. The agency said officers found 90 grams of cannabis in retail sachets and that she claimed to sell small quantities locally after her provisions shop burned down. It also said she was granted bail and placed in counselling because of her age. [A1]</w:t>
      </w:r>
    </w:p>
    <w:p>
      <w:r>
        <w:t>The verified fact is that the agency published this account of an arrest. The alleged possession and sale have not been established here by a court. Her age and circumstances do not prove innocence, and they do not make cannabis harmless. They do force a serious proportionality question: what outcome was the arrest meant to produce, and could health, welfare or regulated-market responses have achieved more with less human cost?</w:t>
      </w:r>
    </w:p>
    <w:tbl>
      <w:tblPr>
        <w:tblW w:type="auto" w:w="0"/>
        <w:jc w:val="center"/>
        <w:tblLook w:firstColumn="1" w:firstRow="1" w:lastColumn="0" w:lastRow="0" w:noHBand="0" w:noVBand="1" w:val="04A0"/>
      </w:tblPr>
      <w:tblGrid>
        <w:gridCol w:w="9922"/>
      </w:tblGrid>
      <w:tr>
        <w:tc>
          <w:tcPr>
            <w:tcW w:type="dxa" w:w="9922"/>
            <w:shd w:fill="DDEEE5"/>
            <w:tcMar>
              <w:top w:w="180" w:type="dxa"/>
              <w:start w:w="200" w:type="dxa"/>
              <w:bottom w:w="180" w:type="dxa"/>
              <w:end w:w="200" w:type="dxa"/>
            </w:tcMar>
          </w:tcPr>
          <w:p>
            <w:pPr>
              <w:spacing w:after="80"/>
            </w:pPr>
            <w:r/>
            <w:r>
              <w:rPr>
                <w:rFonts w:ascii="Arial" w:hAnsi="Arial"/>
                <w:b/>
                <w:color w:val="17332A"/>
                <w:sz w:val="22"/>
              </w:rPr>
              <w:t>Use the story correctly</w:t>
            </w:r>
          </w:p>
          <w:p>
            <w:pPr>
              <w:spacing w:after="0" w:line="269" w:lineRule="auto"/>
            </w:pPr>
            <w:r>
              <w:rPr>
                <w:rFonts w:ascii="Arial" w:hAnsi="Arial"/>
                <w:color w:val="17332A"/>
                <w:sz w:val="19"/>
              </w:rPr>
              <w:t>This is a starting case, not proof of the whole policy argument. One arrest cannot establish national effects. Its value is to make the moral and administrative question visible enough to investigate with wider evidence.</w:t>
            </w:r>
          </w:p>
        </w:tc>
      </w:tr>
    </w:tbl>
    <w:p/>
    <w:p>
      <w:pPr>
        <w:pStyle w:val="Heading1"/>
      </w:pPr>
      <w:r>
        <w:t>2. How understanding changes without manipulation</w:t>
      </w:r>
    </w:p>
    <w:p>
      <w:r>
        <w:t>People rarely change their minds because they are defeated or shamed. Communication research warns that facts alone do not guarantee understanding, while messages experienced as threats to freedom can produce psychological reactance. [A2][A3] This paper therefore uses an ethical persuasion discipline:</w:t>
      </w:r>
    </w:p>
    <w:p>
      <w:pPr>
        <w:pStyle w:val="ListNumber"/>
      </w:pPr>
      <w:r>
        <w:t>Name the strongest opposing concern before answering it.</w:t>
      </w:r>
    </w:p>
    <w:p>
      <w:pPr>
        <w:pStyle w:val="ListNumber"/>
      </w:pPr>
      <w:r>
        <w:t>Separate a person from an act, an act from its consequences, and consequences from labels.</w:t>
      </w:r>
    </w:p>
    <w:p>
      <w:pPr>
        <w:pStyle w:val="ListNumber"/>
      </w:pPr>
      <w:r>
        <w:t>Show benefits and harms symmetrically.</w:t>
      </w:r>
    </w:p>
    <w:p>
      <w:pPr>
        <w:pStyle w:val="ListNumber"/>
      </w:pPr>
      <w:r>
        <w:t>Use ordinary comparisons people already accept, especially alcohol and prescribed medicines.</w:t>
      </w:r>
    </w:p>
    <w:p>
      <w:pPr>
        <w:pStyle w:val="ListNumber"/>
      </w:pPr>
      <w:r>
        <w:t>Offer reversible trials and measurable stopping rules instead of demanding belief.</w:t>
      </w:r>
    </w:p>
    <w:p>
      <w:pPr>
        <w:pStyle w:val="ListNumber"/>
      </w:pPr>
      <w:r>
        <w:t>State uncertainty openly. Trust is damaged by confidence that outruns evidence.</w:t>
      </w:r>
    </w:p>
    <w:p>
      <w:r>
        <w:t>The aim is not to ‘penetrate’ or override another mind. It is to make the reasoning easy to inspect, difficult to misrepresent and safe to reject until the evidence is persuasive.</w:t>
      </w:r>
    </w:p>
    <w:p>
      <w:pPr>
        <w:pStyle w:val="Heading1"/>
      </w:pPr>
      <w:r>
        <w:t>3. Method, definitions and evidence rules</w:t>
      </w:r>
    </w:p>
    <w:p>
      <w:r>
        <w:t>This is a structured policy synthesis rather than a new systematic review. It combines legislation, official guidance, government data, clinical guidance, primary or peer-reviewed research and international policy experience. Sources are graded by what they can support, not by whether they support the author’s conclusion.</w:t>
      </w:r>
    </w:p>
    <w:tbl>
      <w:tblPr>
        <w:tblStyle w:val="TableGrid"/>
        <w:tblW w:type="auto" w:w="0"/>
        <w:jc w:val="center"/>
        <w:tblLayout w:type="fixed"/>
        <w:tblLook w:firstColumn="1" w:firstRow="1" w:lastColumn="0" w:lastRow="0" w:noHBand="0" w:noVBand="1" w:val="04A0"/>
      </w:tblPr>
      <w:tblGrid>
        <w:gridCol w:w="3307"/>
        <w:gridCol w:w="3307"/>
        <w:gridCol w:w="3307"/>
      </w:tblGrid>
      <w:tr>
        <w:trPr>
          <w:tblHeader w:val="true"/>
        </w:trPr>
        <w:tc>
          <w:tcPr>
            <w:tcW w:type="dxa" w:w="1531"/>
            <w:vAlign w:val="center"/>
            <w:tcMar>
              <w:top w:w="90" w:type="dxa"/>
              <w:start w:w="100" w:type="dxa"/>
              <w:bottom w:w="90" w:type="dxa"/>
              <w:end w:w="100" w:type="dxa"/>
            </w:tcMar>
            <w:shd w:fill="215B45"/>
          </w:tcPr>
          <w:p>
            <w:pPr>
              <w:spacing w:after="0" w:line="252" w:lineRule="auto"/>
            </w:pPr>
            <w:r/>
            <w:r>
              <w:rPr>
                <w:rFonts w:ascii="Arial" w:hAnsi="Arial"/>
                <w:b/>
                <w:color w:val="FFFFFF"/>
                <w:sz w:val="16"/>
              </w:rPr>
              <w:t>Evidence label</w:t>
            </w:r>
          </w:p>
        </w:tc>
        <w:tc>
          <w:tcPr>
            <w:tcW w:type="dxa" w:w="3969"/>
            <w:vAlign w:val="center"/>
            <w:tcMar>
              <w:top w:w="90" w:type="dxa"/>
              <w:start w:w="100" w:type="dxa"/>
              <w:bottom w:w="90" w:type="dxa"/>
              <w:end w:w="100" w:type="dxa"/>
            </w:tcMar>
            <w:shd w:fill="215B45"/>
          </w:tcPr>
          <w:p>
            <w:pPr>
              <w:spacing w:after="0" w:line="252" w:lineRule="auto"/>
            </w:pPr>
            <w:r/>
            <w:r>
              <w:rPr>
                <w:rFonts w:ascii="Arial" w:hAnsi="Arial"/>
                <w:b/>
                <w:color w:val="FFFFFF"/>
                <w:sz w:val="16"/>
              </w:rPr>
              <w:t>Meaning</w:t>
            </w:r>
          </w:p>
        </w:tc>
        <w:tc>
          <w:tcPr>
            <w:tcW w:type="dxa" w:w="3628"/>
            <w:vAlign w:val="center"/>
            <w:tcMar>
              <w:top w:w="90" w:type="dxa"/>
              <w:start w:w="100" w:type="dxa"/>
              <w:bottom w:w="90" w:type="dxa"/>
              <w:end w:w="100" w:type="dxa"/>
            </w:tcMar>
            <w:shd w:fill="215B45"/>
          </w:tcPr>
          <w:p>
            <w:pPr>
              <w:spacing w:after="0" w:line="252" w:lineRule="auto"/>
            </w:pPr>
            <w:r/>
            <w:r>
              <w:rPr>
                <w:rFonts w:ascii="Arial" w:hAnsi="Arial"/>
                <w:b/>
                <w:color w:val="FFFFFF"/>
                <w:sz w:val="16"/>
              </w:rPr>
              <w:t>What it does not mean</w:t>
            </w:r>
          </w:p>
        </w:tc>
      </w:tr>
      <w:tr>
        <w:trPr>
          <w:cantSplit/>
        </w:trPr>
        <w:tc>
          <w:tcPr>
            <w:tcW w:type="dxa" w:w="1531"/>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Established</w:t>
            </w:r>
          </w:p>
        </w:tc>
        <w:tc>
          <w:tcPr>
            <w:tcW w:type="dxa" w:w="3969"/>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Authorised clinical use or replicated high-quality evidence for a defined purpose</w:t>
            </w:r>
          </w:p>
        </w:tc>
        <w:tc>
          <w:tcPr>
            <w:tcW w:type="dxa" w:w="362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Safe for every person, dose or context</w:t>
            </w:r>
          </w:p>
        </w:tc>
      </w:tr>
      <w:tr>
        <w:trPr>
          <w:cantSplit/>
        </w:trPr>
        <w:tc>
          <w:tcPr>
            <w:tcW w:type="dxa" w:w="1531"/>
            <w:vAlign w:val="center"/>
            <w:tcMar>
              <w:top w:w="90" w:type="dxa"/>
              <w:start w:w="100" w:type="dxa"/>
              <w:bottom w:w="90" w:type="dxa"/>
              <w:end w:w="100" w:type="dxa"/>
            </w:tcMar>
          </w:tcPr>
          <w:p>
            <w:pPr>
              <w:spacing w:after="0" w:line="252" w:lineRule="auto"/>
            </w:pPr>
            <w:r/>
            <w:r>
              <w:rPr>
                <w:rFonts w:ascii="Arial" w:hAnsi="Arial"/>
                <w:b w:val="0"/>
                <w:color w:val="17332A"/>
                <w:sz w:val="17"/>
              </w:rPr>
              <w:t>Promising</w:t>
            </w:r>
          </w:p>
        </w:tc>
        <w:tc>
          <w:tcPr>
            <w:tcW w:type="dxa" w:w="3969"/>
            <w:vAlign w:val="center"/>
            <w:tcMar>
              <w:top w:w="90" w:type="dxa"/>
              <w:start w:w="100" w:type="dxa"/>
              <w:bottom w:w="90" w:type="dxa"/>
              <w:end w:w="100" w:type="dxa"/>
            </w:tcMar>
          </w:tcPr>
          <w:p>
            <w:pPr>
              <w:spacing w:after="0" w:line="252" w:lineRule="auto"/>
            </w:pPr>
            <w:r/>
            <w:r>
              <w:rPr>
                <w:rFonts w:ascii="Arial" w:hAnsi="Arial"/>
                <w:b w:val="0"/>
                <w:color w:val="17332A"/>
                <w:sz w:val="17"/>
              </w:rPr>
              <w:t>Consistent early evidence or advanced trials</w:t>
            </w:r>
          </w:p>
        </w:tc>
        <w:tc>
          <w:tcPr>
            <w:tcW w:type="dxa" w:w="3628"/>
            <w:vAlign w:val="center"/>
            <w:tcMar>
              <w:top w:w="90" w:type="dxa"/>
              <w:start w:w="100" w:type="dxa"/>
              <w:bottom w:w="90" w:type="dxa"/>
              <w:end w:w="100" w:type="dxa"/>
            </w:tcMar>
          </w:tcPr>
          <w:p>
            <w:pPr>
              <w:spacing w:after="0" w:line="252" w:lineRule="auto"/>
            </w:pPr>
            <w:r/>
            <w:r>
              <w:rPr>
                <w:rFonts w:ascii="Arial" w:hAnsi="Arial"/>
                <w:b w:val="0"/>
                <w:color w:val="17332A"/>
                <w:sz w:val="17"/>
              </w:rPr>
              <w:t>Ready for unrestricted use</w:t>
            </w:r>
          </w:p>
        </w:tc>
      </w:tr>
      <w:tr>
        <w:trPr>
          <w:cantSplit/>
        </w:trPr>
        <w:tc>
          <w:tcPr>
            <w:tcW w:type="dxa" w:w="1531"/>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Investigational</w:t>
            </w:r>
          </w:p>
        </w:tc>
        <w:tc>
          <w:tcPr>
            <w:tcW w:type="dxa" w:w="3969"/>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Active scientific study with material uncertainty</w:t>
            </w:r>
          </w:p>
        </w:tc>
        <w:tc>
          <w:tcPr>
            <w:tcW w:type="dxa" w:w="362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Proven treatment</w:t>
            </w:r>
          </w:p>
        </w:tc>
      </w:tr>
      <w:tr>
        <w:trPr>
          <w:cantSplit/>
        </w:trPr>
        <w:tc>
          <w:tcPr>
            <w:tcW w:type="dxa" w:w="1531"/>
            <w:vAlign w:val="center"/>
            <w:tcMar>
              <w:top w:w="90" w:type="dxa"/>
              <w:start w:w="100" w:type="dxa"/>
              <w:bottom w:w="90" w:type="dxa"/>
              <w:end w:w="100" w:type="dxa"/>
            </w:tcMar>
          </w:tcPr>
          <w:p>
            <w:pPr>
              <w:spacing w:after="0" w:line="252" w:lineRule="auto"/>
            </w:pPr>
            <w:r/>
            <w:r>
              <w:rPr>
                <w:rFonts w:ascii="Arial" w:hAnsi="Arial"/>
                <w:b w:val="0"/>
                <w:color w:val="17332A"/>
                <w:sz w:val="17"/>
              </w:rPr>
              <w:t>Observed/social</w:t>
            </w:r>
          </w:p>
        </w:tc>
        <w:tc>
          <w:tcPr>
            <w:tcW w:type="dxa" w:w="3969"/>
            <w:vAlign w:val="center"/>
            <w:tcMar>
              <w:top w:w="90" w:type="dxa"/>
              <w:start w:w="100" w:type="dxa"/>
              <w:bottom w:w="90" w:type="dxa"/>
              <w:end w:w="100" w:type="dxa"/>
            </w:tcMar>
          </w:tcPr>
          <w:p>
            <w:pPr>
              <w:spacing w:after="0" w:line="252" w:lineRule="auto"/>
            </w:pPr>
            <w:r/>
            <w:r>
              <w:rPr>
                <w:rFonts w:ascii="Arial" w:hAnsi="Arial"/>
                <w:b w:val="0"/>
                <w:color w:val="17332A"/>
                <w:sz w:val="17"/>
              </w:rPr>
              <w:t>A reported or measured effect relevant to behaviour</w:t>
            </w:r>
          </w:p>
        </w:tc>
        <w:tc>
          <w:tcPr>
            <w:tcW w:type="dxa" w:w="3628"/>
            <w:vAlign w:val="center"/>
            <w:tcMar>
              <w:top w:w="90" w:type="dxa"/>
              <w:start w:w="100" w:type="dxa"/>
              <w:bottom w:w="90" w:type="dxa"/>
              <w:end w:w="100" w:type="dxa"/>
            </w:tcMar>
          </w:tcPr>
          <w:p>
            <w:pPr>
              <w:spacing w:after="0" w:line="252" w:lineRule="auto"/>
            </w:pPr>
            <w:r/>
            <w:r>
              <w:rPr>
                <w:rFonts w:ascii="Arial" w:hAnsi="Arial"/>
                <w:b w:val="0"/>
                <w:color w:val="17332A"/>
                <w:sz w:val="17"/>
              </w:rPr>
              <w:t>A medical benefit or endorsement</w:t>
            </w:r>
          </w:p>
        </w:tc>
      </w:tr>
      <w:tr>
        <w:trPr>
          <w:cantSplit/>
        </w:trPr>
        <w:tc>
          <w:tcPr>
            <w:tcW w:type="dxa" w:w="1531"/>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Proposal</w:t>
            </w:r>
          </w:p>
        </w:tc>
        <w:tc>
          <w:tcPr>
            <w:tcW w:type="dxa" w:w="3969"/>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A policy design offered for testing</w:t>
            </w:r>
          </w:p>
        </w:tc>
        <w:tc>
          <w:tcPr>
            <w:tcW w:type="dxa" w:w="362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A current legal entitlement or forecast</w:t>
            </w:r>
          </w:p>
        </w:tc>
      </w:tr>
    </w:tbl>
    <w:p/>
    <w:p>
      <w:pPr>
        <w:pStyle w:val="Heading1"/>
      </w:pPr>
      <w:r>
        <w:t>4. Twenty controlled substances: function, evidence and risk</w:t>
      </w:r>
    </w:p>
    <w:p>
      <w:r>
        <w:t>The table is deliberately symmetrical. A useful function does not erase harm; a serious harm does not erase every function. ‘Social effect’ records why people may seek a substance—it is not a recommendation.</w:t>
      </w:r>
    </w:p>
    <w:tbl>
      <w:tblPr>
        <w:tblStyle w:val="TableGrid"/>
        <w:tblW w:type="auto" w:w="0"/>
        <w:jc w:val="center"/>
        <w:tblLayout w:type="fixed"/>
        <w:tblLook w:firstColumn="1" w:firstRow="1" w:lastColumn="0" w:lastRow="0" w:noHBand="0" w:noVBand="1" w:val="04A0"/>
      </w:tblPr>
      <w:tblGrid>
        <w:gridCol w:w="1417"/>
        <w:gridCol w:w="1417"/>
        <w:gridCol w:w="1417"/>
        <w:gridCol w:w="1417"/>
        <w:gridCol w:w="1417"/>
        <w:gridCol w:w="1417"/>
        <w:gridCol w:w="1417"/>
      </w:tblGrid>
      <w:tr>
        <w:trPr>
          <w:tblHeader w:val="true"/>
        </w:trPr>
        <w:tc>
          <w:tcPr>
            <w:tcW w:type="dxa" w:w="1247"/>
            <w:vAlign w:val="center"/>
            <w:tcMar>
              <w:top w:w="90" w:type="dxa"/>
              <w:start w:w="100" w:type="dxa"/>
              <w:bottom w:w="90" w:type="dxa"/>
              <w:end w:w="100" w:type="dxa"/>
            </w:tcMar>
            <w:shd w:fill="215B45"/>
          </w:tcPr>
          <w:p>
            <w:pPr>
              <w:spacing w:after="0" w:line="252" w:lineRule="auto"/>
            </w:pPr>
            <w:r/>
            <w:r>
              <w:rPr>
                <w:rFonts w:ascii="Arial" w:hAnsi="Arial"/>
                <w:b/>
                <w:color w:val="FFFFFF"/>
                <w:sz w:val="16"/>
              </w:rPr>
              <w:t>Substance</w:t>
            </w:r>
          </w:p>
        </w:tc>
        <w:tc>
          <w:tcPr>
            <w:tcW w:type="dxa" w:w="1361"/>
            <w:vAlign w:val="center"/>
            <w:tcMar>
              <w:top w:w="90" w:type="dxa"/>
              <w:start w:w="100" w:type="dxa"/>
              <w:bottom w:w="90" w:type="dxa"/>
              <w:end w:w="100" w:type="dxa"/>
            </w:tcMar>
            <w:shd w:fill="215B45"/>
          </w:tcPr>
          <w:p>
            <w:pPr>
              <w:spacing w:after="0" w:line="252" w:lineRule="auto"/>
            </w:pPr>
            <w:r/>
            <w:r>
              <w:rPr>
                <w:rFonts w:ascii="Arial" w:hAnsi="Arial"/>
                <w:b/>
                <w:color w:val="FFFFFF"/>
                <w:sz w:val="16"/>
              </w:rPr>
              <w:t>UK context</w:t>
            </w:r>
          </w:p>
        </w:tc>
        <w:tc>
          <w:tcPr>
            <w:tcW w:type="dxa" w:w="1928"/>
            <w:vAlign w:val="center"/>
            <w:tcMar>
              <w:top w:w="90" w:type="dxa"/>
              <w:start w:w="100" w:type="dxa"/>
              <w:bottom w:w="90" w:type="dxa"/>
              <w:end w:w="100" w:type="dxa"/>
            </w:tcMar>
            <w:shd w:fill="215B45"/>
          </w:tcPr>
          <w:p>
            <w:pPr>
              <w:spacing w:after="0" w:line="252" w:lineRule="auto"/>
            </w:pPr>
            <w:r/>
            <w:r>
              <w:rPr>
                <w:rFonts w:ascii="Arial" w:hAnsi="Arial"/>
                <w:b/>
                <w:color w:val="FFFFFF"/>
                <w:sz w:val="16"/>
              </w:rPr>
              <w:t>Medical/scientific function</w:t>
            </w:r>
          </w:p>
        </w:tc>
        <w:tc>
          <w:tcPr>
            <w:tcW w:type="dxa" w:w="1701"/>
            <w:vAlign w:val="center"/>
            <w:tcMar>
              <w:top w:w="90" w:type="dxa"/>
              <w:start w:w="100" w:type="dxa"/>
              <w:bottom w:w="90" w:type="dxa"/>
              <w:end w:w="100" w:type="dxa"/>
            </w:tcMar>
            <w:shd w:fill="215B45"/>
          </w:tcPr>
          <w:p>
            <w:pPr>
              <w:spacing w:after="0" w:line="252" w:lineRule="auto"/>
            </w:pPr>
            <w:r/>
            <w:r>
              <w:rPr>
                <w:rFonts w:ascii="Arial" w:hAnsi="Arial"/>
                <w:b/>
                <w:color w:val="FFFFFF"/>
                <w:sz w:val="16"/>
              </w:rPr>
              <w:t>Reported social function</w:t>
            </w:r>
          </w:p>
        </w:tc>
        <w:tc>
          <w:tcPr>
            <w:tcW w:type="dxa" w:w="1417"/>
            <w:vAlign w:val="center"/>
            <w:tcMar>
              <w:top w:w="90" w:type="dxa"/>
              <w:start w:w="100" w:type="dxa"/>
              <w:bottom w:w="90" w:type="dxa"/>
              <w:end w:w="100" w:type="dxa"/>
            </w:tcMar>
            <w:shd w:fill="215B45"/>
          </w:tcPr>
          <w:p>
            <w:pPr>
              <w:spacing w:after="0" w:line="252" w:lineRule="auto"/>
            </w:pPr>
            <w:r/>
            <w:r>
              <w:rPr>
                <w:rFonts w:ascii="Arial" w:hAnsi="Arial"/>
                <w:b/>
                <w:color w:val="FFFFFF"/>
                <w:sz w:val="16"/>
              </w:rPr>
              <w:t>Evidence</w:t>
            </w:r>
          </w:p>
        </w:tc>
        <w:tc>
          <w:tcPr>
            <w:tcW w:type="dxa" w:w="1984"/>
            <w:vAlign w:val="center"/>
            <w:tcMar>
              <w:top w:w="90" w:type="dxa"/>
              <w:start w:w="100" w:type="dxa"/>
              <w:bottom w:w="90" w:type="dxa"/>
              <w:end w:w="100" w:type="dxa"/>
            </w:tcMar>
            <w:shd w:fill="215B45"/>
          </w:tcPr>
          <w:p>
            <w:pPr>
              <w:spacing w:after="0" w:line="252" w:lineRule="auto"/>
            </w:pPr>
            <w:r/>
            <w:r>
              <w:rPr>
                <w:rFonts w:ascii="Arial" w:hAnsi="Arial"/>
                <w:b/>
                <w:color w:val="FFFFFF"/>
                <w:sz w:val="16"/>
              </w:rPr>
              <w:t>Important harms</w:t>
            </w:r>
          </w:p>
        </w:tc>
        <w:tc>
          <w:tcPr>
            <w:tcW w:type="dxa" w:w="680"/>
            <w:vAlign w:val="center"/>
            <w:tcMar>
              <w:top w:w="90" w:type="dxa"/>
              <w:start w:w="100" w:type="dxa"/>
              <w:bottom w:w="90" w:type="dxa"/>
              <w:end w:w="100" w:type="dxa"/>
            </w:tcMar>
            <w:shd w:fill="215B45"/>
          </w:tcPr>
          <w:p>
            <w:pPr>
              <w:spacing w:after="0" w:line="252" w:lineRule="auto"/>
            </w:pPr>
            <w:r/>
            <w:r>
              <w:rPr>
                <w:rFonts w:ascii="Arial" w:hAnsi="Arial"/>
                <w:b/>
                <w:color w:val="FFFFFF"/>
                <w:sz w:val="16"/>
              </w:rPr>
              <w:t>Sources</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Cannabis / THC</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B; Schedule 1, with specified medicines in other schedules</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Selected cannabis-based medicines; modest average benefit for some indications</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Relaxation, altered perception, sociability</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Established for limited products; mixed by indication</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Impairment, dependence, anxiety or psychosis risk in susceptible people; smoke exposure</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S1,S2,S3</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Ketamine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B; Schedule 2 medicine</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Anaesthesia and analgesia; rapid antidepressant effects under specialist care</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Dissociation, altered perspective and pain</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Established anaesthetic; strong but protocol-dependent depression evidence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Acute impairment; dependence; urinary injury with heavy repeated use</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S1,S4</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MDMA</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 Schedule 1</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Investigational MDMA-assisted therapy</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Affiliation, warmth and music/dance enhancement</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Advanced investigation; regulatory conclusions remain contested</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Hyperthermia, cardiovascular strain, serotonergic toxicity and illicit-dose uncertainty</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S1,S5</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Psilocybin</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A; Schedule 1</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Investigational treatment for depression and other conditions</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Introspection, connectedness and altered perspective</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Promising; trial effects depend on screening and support</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Acute anxiety or distress; psychiatric vulnerability and interaction risks</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S1,S6</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LSD / lysergide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 Schedule 1</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Psychiatric and consciousness research</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Novel associations, introspection and altered perception</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Investigational</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Acute anxiety; prolonged distress in some people; context matters</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S1,S7</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Diamorphine / heroin</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A; Schedule 2</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Severe pain, palliative care and supervised dependence treatment</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Analgesia and withdrawal suppression</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Established medicine and specialist treatment</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Dependence and respiratory depression; illicit supply increases overdose risk</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S1,S8</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Cocaine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 Schedule 2</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Topical local anaesthetic and vasoconstrictor</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Stimulation, alertness and sociability</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Established specialist medicine</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Arrhythmia, stroke, dependence and compulsive redosing</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S1,S9</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Amphetamine / dexamfetamine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B; authorised medicines</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ADHD and selected narcolepsy treatment</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Wakefulness and task persistence</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Established medicine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Cardiovascular effects, sleep loss and misuse/dependence potential</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S1,S10</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Methamphetamine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Limited medical use internationally; pharmacology research</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Wakefulness and reduced fatigue</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Limited medical role</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High dependence potential, psychosis and cardiovascular/nutritional harm</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S1,S11</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GHB / sodium oxybate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B; pharmaceutical sodium oxybate regulated</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Narcolepsy/cataplexy treatment</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Relaxation and disinhibition</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Established pharmaceutical use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Steep dose-response; profound sedation; dangerous with depressants</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S1,S12</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Nitrous oxide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C outside exempt lawful contexts</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Anaesthesia and analgesia</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Brief euphoria and anxiety reduction</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Established medicine</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Neurological injury from repeated exposure; hypoxia risk</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S1,S13</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DMT</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A; Schedule 1</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Psychiatric, addiction and consciousness research</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Introspection and altered self-experience; ritual use</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Early investigation</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Acute psychological distress; interaction and context risks</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S1,S7</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Mescaline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 Schedule 1</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Psychiatric and consciousness research</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Traditional ceremonial use and introspection</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Early or historical research</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Acute anxiety, nausea and prolonged intoxication</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S1,S7</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PCP / phencyclidine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A</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Historic anaesthetic; NMDA-receptor research tool</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Historic anaesthetic/analgesic effects</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Research and historical value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Severe behavioural and psychiatric toxicity at problematic doses</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S1,S7</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2C-B</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Serotonergic and perception research</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Sensory, emotional and social effects</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Research only</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Dose uncertainty, acute anxiety and limited clinical evidence</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S1,S14</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Mephedrone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B</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Monoamine pharmacology research</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Stimulation, euphoria and sociability</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No established treatment</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Dependence, cardiovascular toxicity, overheating and sleep disruption</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S1,S15</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Synthetic cannabinoids</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Many are Class B or generically controlled</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Cannabinoid-receptor research</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Cannabis-like effects sought</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Varies by compound</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Some full agonists are far more toxic than THC; seizures, psychosis and cardiovascular harm</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S1,S16</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Opium</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A preparations; opiates controlled</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Historic source of morphine/codeine and analgesic pharmacology</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Analgesia and sedation</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Foundational historical medicine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Dependence and respiratory depression</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S1,S17</w:t>
            </w:r>
          </w:p>
        </w:tc>
      </w:tr>
      <w:tr>
        <w:trPr>
          <w:cantSplit/>
        </w:trPr>
        <w:tc>
          <w:tcPr>
            <w:tcW w:type="dxa" w:w="124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Methadone</w:t>
            </w:r>
          </w:p>
        </w:tc>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Class A; Schedule 2 medicine</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Opioid substitution and analgesia</w:t>
            </w:r>
          </w:p>
        </w:tc>
        <w:tc>
          <w:tcPr>
            <w:tcW w:type="dxa" w:w="1701"/>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Stabilises withdrawal and craving</w:t>
            </w:r>
          </w:p>
        </w:tc>
        <w:tc>
          <w:tcPr>
            <w:tcW w:type="dxa" w:w="1417"/>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Established medicine</w:t>
            </w:r>
          </w:p>
        </w:tc>
        <w:tc>
          <w:tcPr>
            <w:tcW w:type="dxa" w:w="1984"/>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Respiratory depression, QT effects and dependence; dosing care required</w:t>
            </w:r>
          </w:p>
        </w:tc>
        <w:tc>
          <w:tcPr>
            <w:tcW w:type="dxa" w:w="680"/>
            <w:vAlign w:val="center"/>
            <w:tcMar>
              <w:top w:w="90" w:type="dxa"/>
              <w:start w:w="100" w:type="dxa"/>
              <w:bottom w:w="90" w:type="dxa"/>
              <w:end w:w="100" w:type="dxa"/>
            </w:tcMar>
            <w:shd w:fill="EFF6F1"/>
          </w:tcPr>
          <w:p>
            <w:pPr>
              <w:spacing w:after="0" w:line="252" w:lineRule="auto"/>
            </w:pPr>
            <w:r/>
            <w:r>
              <w:rPr>
                <w:rFonts w:ascii="Arial" w:hAnsi="Arial"/>
                <w:b w:val="0"/>
                <w:color w:val="17332A"/>
                <w:sz w:val="13"/>
              </w:rPr>
              <w:t>S1,S17</w:t>
            </w:r>
          </w:p>
        </w:tc>
      </w:tr>
      <w:tr>
        <w:trPr>
          <w:cantSplit/>
        </w:trPr>
        <w:tc>
          <w:tcPr>
            <w:tcW w:type="dxa" w:w="1247"/>
            <w:vAlign w:val="center"/>
            <w:tcMar>
              <w:top w:w="90" w:type="dxa"/>
              <w:start w:w="100" w:type="dxa"/>
              <w:bottom w:w="90" w:type="dxa"/>
              <w:end w:w="100" w:type="dxa"/>
            </w:tcMar>
          </w:tcPr>
          <w:p>
            <w:pPr>
              <w:spacing w:after="0" w:line="252" w:lineRule="auto"/>
            </w:pPr>
            <w:r/>
            <w:r>
              <w:rPr>
                <w:rFonts w:ascii="Arial" w:hAnsi="Arial"/>
                <w:b w:val="0"/>
                <w:color w:val="17332A"/>
                <w:sz w:val="13"/>
              </w:rPr>
              <w:t>Methylphenidate</w:t>
            </w:r>
          </w:p>
        </w:tc>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3"/>
              </w:rPr>
              <w:t>Class B; Schedule 2 medicine</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3"/>
              </w:rPr>
              <w:t>ADHD and narcolepsy</w:t>
            </w:r>
          </w:p>
        </w:tc>
        <w:tc>
          <w:tcPr>
            <w:tcW w:type="dxa" w:w="1701"/>
            <w:vAlign w:val="center"/>
            <w:tcMar>
              <w:top w:w="90" w:type="dxa"/>
              <w:start w:w="100" w:type="dxa"/>
              <w:bottom w:w="90" w:type="dxa"/>
              <w:end w:w="100" w:type="dxa"/>
            </w:tcMar>
          </w:tcPr>
          <w:p>
            <w:pPr>
              <w:spacing w:after="0" w:line="252" w:lineRule="auto"/>
            </w:pPr>
            <w:r/>
            <w:r>
              <w:rPr>
                <w:rFonts w:ascii="Arial" w:hAnsi="Arial"/>
                <w:b w:val="0"/>
                <w:color w:val="17332A"/>
                <w:sz w:val="13"/>
              </w:rPr>
              <w:t>Focus, wakefulness and reduced impulsivity in responsive patients</w:t>
            </w:r>
          </w:p>
        </w:tc>
        <w:tc>
          <w:tcPr>
            <w:tcW w:type="dxa" w:w="1417"/>
            <w:vAlign w:val="center"/>
            <w:tcMar>
              <w:top w:w="90" w:type="dxa"/>
              <w:start w:w="100" w:type="dxa"/>
              <w:bottom w:w="90" w:type="dxa"/>
              <w:end w:w="100" w:type="dxa"/>
            </w:tcMar>
          </w:tcPr>
          <w:p>
            <w:pPr>
              <w:spacing w:after="0" w:line="252" w:lineRule="auto"/>
            </w:pPr>
            <w:r/>
            <w:r>
              <w:rPr>
                <w:rFonts w:ascii="Arial" w:hAnsi="Arial"/>
                <w:b w:val="0"/>
                <w:color w:val="17332A"/>
                <w:sz w:val="13"/>
              </w:rPr>
              <w:t>Established medicine</w:t>
            </w:r>
          </w:p>
        </w:tc>
        <w:tc>
          <w:tcPr>
            <w:tcW w:type="dxa" w:w="1984"/>
            <w:vAlign w:val="center"/>
            <w:tcMar>
              <w:top w:w="90" w:type="dxa"/>
              <w:start w:w="100" w:type="dxa"/>
              <w:bottom w:w="90" w:type="dxa"/>
              <w:end w:w="100" w:type="dxa"/>
            </w:tcMar>
          </w:tcPr>
          <w:p>
            <w:pPr>
              <w:spacing w:after="0" w:line="252" w:lineRule="auto"/>
            </w:pPr>
            <w:r/>
            <w:r>
              <w:rPr>
                <w:rFonts w:ascii="Arial" w:hAnsi="Arial"/>
                <w:b w:val="0"/>
                <w:color w:val="17332A"/>
                <w:sz w:val="13"/>
              </w:rPr>
              <w:t>Appetite, sleep and cardiovascular effects; misuse potential</w:t>
            </w:r>
          </w:p>
        </w:tc>
        <w:tc>
          <w:tcPr>
            <w:tcW w:type="dxa" w:w="680"/>
            <w:vAlign w:val="center"/>
            <w:tcMar>
              <w:top w:w="90" w:type="dxa"/>
              <w:start w:w="100" w:type="dxa"/>
              <w:bottom w:w="90" w:type="dxa"/>
              <w:end w:w="100" w:type="dxa"/>
            </w:tcMar>
          </w:tcPr>
          <w:p>
            <w:pPr>
              <w:spacing w:after="0" w:line="252" w:lineRule="auto"/>
            </w:pPr>
            <w:r/>
            <w:r>
              <w:rPr>
                <w:rFonts w:ascii="Arial" w:hAnsi="Arial"/>
                <w:b w:val="0"/>
                <w:color w:val="17332A"/>
                <w:sz w:val="13"/>
              </w:rPr>
              <w:t>S1,S10</w:t>
            </w:r>
          </w:p>
        </w:tc>
      </w:tr>
    </w:tbl>
    <w:p/>
    <w:p>
      <w:pPr>
        <w:pStyle w:val="Heading1"/>
      </w:pPr>
      <w:r>
        <w:t>5. Twenty-nine lawful medicines with serious recognised harms</w:t>
      </w:r>
    </w:p>
    <w:p>
      <w:r>
        <w:t>These medicines can be indispensable. Their inclusion is not an argument against treatment. It demonstrates the ordinary medical principle that benefit, risk, dose, monitoring, consent and alternatives must be considered together.</w:t>
      </w:r>
    </w:p>
    <w:tbl>
      <w:tblPr>
        <w:tblStyle w:val="TableGrid"/>
        <w:tblW w:type="auto" w:w="0"/>
        <w:jc w:val="center"/>
        <w:tblLayout w:type="fixed"/>
        <w:tblLook w:firstColumn="1" w:firstRow="1" w:lastColumn="0" w:lastRow="0" w:noHBand="0" w:noVBand="1" w:val="04A0"/>
      </w:tblPr>
      <w:tblGrid>
        <w:gridCol w:w="2480"/>
        <w:gridCol w:w="2480"/>
        <w:gridCol w:w="2480"/>
        <w:gridCol w:w="2480"/>
      </w:tblGrid>
      <w:tr>
        <w:trPr>
          <w:tblHeader w:val="true"/>
        </w:trPr>
        <w:tc>
          <w:tcPr>
            <w:tcW w:type="dxa" w:w="1814"/>
            <w:vAlign w:val="center"/>
            <w:tcMar>
              <w:top w:w="90" w:type="dxa"/>
              <w:start w:w="100" w:type="dxa"/>
              <w:bottom w:w="90" w:type="dxa"/>
              <w:end w:w="100" w:type="dxa"/>
            </w:tcMar>
            <w:shd w:fill="215B45"/>
          </w:tcPr>
          <w:p>
            <w:pPr>
              <w:spacing w:after="0" w:line="252" w:lineRule="auto"/>
            </w:pPr>
            <w:r/>
            <w:r>
              <w:rPr>
                <w:rFonts w:ascii="Arial" w:hAnsi="Arial"/>
                <w:b/>
                <w:color w:val="FFFFFF"/>
                <w:sz w:val="16"/>
              </w:rPr>
              <w:t>Lawful medicine</w:t>
            </w:r>
          </w:p>
        </w:tc>
        <w:tc>
          <w:tcPr>
            <w:tcW w:type="dxa" w:w="2891"/>
            <w:vAlign w:val="center"/>
            <w:tcMar>
              <w:top w:w="90" w:type="dxa"/>
              <w:start w:w="100" w:type="dxa"/>
              <w:bottom w:w="90" w:type="dxa"/>
              <w:end w:w="100" w:type="dxa"/>
            </w:tcMar>
            <w:shd w:fill="215B45"/>
          </w:tcPr>
          <w:p>
            <w:pPr>
              <w:spacing w:after="0" w:line="252" w:lineRule="auto"/>
            </w:pPr>
            <w:r/>
            <w:r>
              <w:rPr>
                <w:rFonts w:ascii="Arial" w:hAnsi="Arial"/>
                <w:b/>
                <w:color w:val="FFFFFF"/>
                <w:sz w:val="16"/>
              </w:rPr>
              <w:t>Why it is used</w:t>
            </w:r>
          </w:p>
        </w:tc>
        <w:tc>
          <w:tcPr>
            <w:tcW w:type="dxa" w:w="4082"/>
            <w:vAlign w:val="center"/>
            <w:tcMar>
              <w:top w:w="90" w:type="dxa"/>
              <w:start w:w="100" w:type="dxa"/>
              <w:bottom w:w="90" w:type="dxa"/>
              <w:end w:w="100" w:type="dxa"/>
            </w:tcMar>
            <w:shd w:fill="215B45"/>
          </w:tcPr>
          <w:p>
            <w:pPr>
              <w:spacing w:after="0" w:line="252" w:lineRule="auto"/>
            </w:pPr>
            <w:r/>
            <w:r>
              <w:rPr>
                <w:rFonts w:ascii="Arial" w:hAnsi="Arial"/>
                <w:b/>
                <w:color w:val="FFFFFF"/>
                <w:sz w:val="16"/>
              </w:rPr>
              <w:t>Examples of serious recognised harm</w:t>
            </w:r>
          </w:p>
        </w:tc>
        <w:tc>
          <w:tcPr>
            <w:tcW w:type="dxa" w:w="794"/>
            <w:vAlign w:val="center"/>
            <w:tcMar>
              <w:top w:w="90" w:type="dxa"/>
              <w:start w:w="100" w:type="dxa"/>
              <w:bottom w:w="90" w:type="dxa"/>
              <w:end w:w="100" w:type="dxa"/>
            </w:tcMar>
            <w:shd w:fill="215B45"/>
          </w:tcPr>
          <w:p>
            <w:pPr>
              <w:spacing w:after="0" w:line="252" w:lineRule="auto"/>
            </w:pPr>
            <w:r/>
            <w:r>
              <w:rPr>
                <w:rFonts w:ascii="Arial" w:hAnsi="Arial"/>
                <w:b/>
                <w:color w:val="FFFFFF"/>
                <w:sz w:val="16"/>
              </w:rPr>
              <w:t>Sources</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Pregabalin</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Neuropathic pain, epilepsy, anxiety</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Dependence, withdrawal, sedation and respiratory risk with depressants</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M1,M2</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Gabapentin</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Neuropathic pain, epilepsy</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Dependence/withdrawal, sedation and respiratory risk in combinations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M1,M2</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Fluoxetine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Depression, OCD and related conditions</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Serotonin toxicity, hyponatraemia, sexual dysfunction and discontinuation symptoms</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M3</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Sertraline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Depression, anxiety, PTSD and OCD</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Serotonin toxicity, bleeding interactions, hyponatraemia, sexual effects and withdrawal</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M3</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Paroxetine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Depression and anxiety</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Sexual effects and potentially troublesome withdrawal</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M3</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Venlafaxine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Depression and anxiety</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Withdrawal, hypertension and serotonin toxicity</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M3</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Amitriptyline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Depression and neuropathic pain</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Cardiac and anticholinergic toxicity; overdose can be fatal</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M3</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Diazepam</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Anxiety, seizures and muscle spasm</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Dependence, tolerance, withdrawal seizures and dangerous sedative combinations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M1,M2</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Zopiclone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Insomnia</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Dependence, cognitive impairment, falls and withdrawal</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M1,M2</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Quetiapine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Psychosis and bipolar disorder</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Sedation, metabolic disease, movement and cardiac effects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M4,M5</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Olanzapine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Psychosis and bipolar disorder</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Weight gain, diabetes/metabolic dysfunction and sedation</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M4,M5</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Risperidone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Psychosis and selected conditions</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Movement disorders, prolactin/sexual and metabolic effects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M4</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Lithium</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Bipolar disorder</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Kidney and thyroid effects; severe toxicity can cause neurological injury or death</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M5</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Sodium valproate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Epilepsy and bipolar disorder</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Liver/pancreatic toxicity and major fetal/developmental risks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M5,M6</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Carbamazepine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Epilepsy and neuralgia</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Serious skin reactions, blood disorders, hepatic toxicity and interactions</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M7</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Tramadol</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Pain</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Dependence, seizures, respiratory depression and serotonin syndrome</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M8</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Morphine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Severe pain and palliative care</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Dependence, constipation, sedation and respiratory depression</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M8</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Oxycodone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Severe pain</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Dependence and potentially fatal respiratory depression</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M8</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Fentanyl</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Severe pain and anaesthesia</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Extreme potency, respiratory depression and fatal overdose</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M8</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Codeine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Pain</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Dependence, constipation and respiratory depression; metabolic variation affects risk</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M8</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Paracetamol</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Pain and fever</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Overdose can cause acute liver failure and death</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M9</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Ibuprofen</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Pain and inflammation</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GI ulcer/bleeding, renal injury and cardiovascular risk</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M10</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Naproxen</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Pain and inflammation</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GI bleeding, renal injury and cardiovascular risk</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M10</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Diclofenac</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Pain and inflammation</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GI/renal harm and significant cardiovascular risk</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M10</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Aspirin</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Antiplatelet treatment and pain</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GI or intracranial bleeding and overdose toxicity</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M10,M11</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Warfarin</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Prevention/treatment of thrombosis</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Major or intracranial bleeding and extensive interactions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M11</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Apixaban</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Prevention/treatment of thrombosis</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Serious internal or intracranial bleeding</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M11</w:t>
            </w:r>
          </w:p>
        </w:tc>
      </w:tr>
      <w:tr>
        <w:trPr>
          <w:cantSplit/>
        </w:trPr>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Prednisolone</w:t>
            </w:r>
          </w:p>
        </w:tc>
        <w:tc>
          <w:tcPr>
            <w:tcW w:type="dxa" w:w="2891"/>
            <w:vAlign w:val="center"/>
            <w:tcMar>
              <w:top w:w="90" w:type="dxa"/>
              <w:start w:w="100" w:type="dxa"/>
              <w:bottom w:w="90" w:type="dxa"/>
              <w:end w:w="100" w:type="dxa"/>
            </w:tcMar>
          </w:tcPr>
          <w:p>
            <w:pPr>
              <w:spacing w:after="0" w:line="252" w:lineRule="auto"/>
            </w:pPr>
            <w:r/>
            <w:r>
              <w:rPr>
                <w:rFonts w:ascii="Arial" w:hAnsi="Arial"/>
                <w:b w:val="0"/>
                <w:color w:val="17332A"/>
                <w:sz w:val="15"/>
              </w:rPr>
              <w:t>Inflammatory and autoimmune disease</w:t>
            </w:r>
          </w:p>
        </w:tc>
        <w:tc>
          <w:tcPr>
            <w:tcW w:type="dxa" w:w="4082"/>
            <w:vAlign w:val="center"/>
            <w:tcMar>
              <w:top w:w="90" w:type="dxa"/>
              <w:start w:w="100" w:type="dxa"/>
              <w:bottom w:w="90" w:type="dxa"/>
              <w:end w:w="100" w:type="dxa"/>
            </w:tcMar>
          </w:tcPr>
          <w:p>
            <w:pPr>
              <w:spacing w:after="0" w:line="252" w:lineRule="auto"/>
            </w:pPr>
            <w:r/>
            <w:r>
              <w:rPr>
                <w:rFonts w:ascii="Arial" w:hAnsi="Arial"/>
                <w:b w:val="0"/>
                <w:color w:val="17332A"/>
                <w:sz w:val="15"/>
              </w:rPr>
              <w:t>Infection, osteoporosis, diabetes, adrenal suppression and psychiatric effects</w:t>
            </w:r>
          </w:p>
        </w:tc>
        <w:tc>
          <w:tcPr>
            <w:tcW w:type="dxa" w:w="794"/>
            <w:vAlign w:val="center"/>
            <w:tcMar>
              <w:top w:w="90" w:type="dxa"/>
              <w:start w:w="100" w:type="dxa"/>
              <w:bottom w:w="90" w:type="dxa"/>
              <w:end w:w="100" w:type="dxa"/>
            </w:tcMar>
          </w:tcPr>
          <w:p>
            <w:pPr>
              <w:spacing w:after="0" w:line="252" w:lineRule="auto"/>
            </w:pPr>
            <w:r/>
            <w:r>
              <w:rPr>
                <w:rFonts w:ascii="Arial" w:hAnsi="Arial"/>
                <w:b w:val="0"/>
                <w:color w:val="17332A"/>
                <w:sz w:val="15"/>
              </w:rPr>
              <w:t>M12</w:t>
            </w:r>
          </w:p>
        </w:tc>
      </w:tr>
      <w:tr>
        <w:trPr>
          <w:cantSplit/>
        </w:trPr>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Methotrexate</w:t>
            </w:r>
          </w:p>
        </w:tc>
        <w:tc>
          <w:tcPr>
            <w:tcW w:type="dxa" w:w="2891"/>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Autoimmune disease and cancer</w:t>
            </w:r>
          </w:p>
        </w:tc>
        <w:tc>
          <w:tcPr>
            <w:tcW w:type="dxa" w:w="4082"/>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Bone-marrow, liver and lung toxicity; severe infection; dosing errors can be fatal</w:t>
            </w:r>
          </w:p>
        </w:tc>
        <w:tc>
          <w:tcPr>
            <w:tcW w:type="dxa" w:w="79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M13</w:t>
            </w:r>
          </w:p>
        </w:tc>
      </w:tr>
    </w:tbl>
    <w:p/>
    <w:p>
      <w:pPr>
        <w:pStyle w:val="Heading1"/>
      </w:pPr>
      <w:r>
        <w:t>6. The alcohol test and responsibility</w:t>
      </w:r>
    </w:p>
    <w:p>
      <w:r>
        <w:t>A 2010 UK multicriteria analysis ranked alcohol highest overall when harms to users and others were combined. The model is expert judgement and is not a timeless biological law, but it illustrates that legal class and measured harm are not the same variable. [A6]</w:t>
      </w:r>
    </w:p>
    <w:p>
      <w:r>
        <w:t>Alcohol is associated with dependence, injury, violence, liver disease and cancer; the WHO states that cancer risk begins from the first drink. [A7] Yet adults are permitted to buy alcohol. A coherent system must explain why comparable or lower-harm conduct requires criminal punishment rather than proportionate regulation.</w:t>
      </w:r>
    </w:p>
    <w:tbl>
      <w:tblPr>
        <w:tblW w:type="auto" w:w="0"/>
        <w:jc w:val="center"/>
        <w:tblLook w:firstColumn="1" w:firstRow="1" w:lastColumn="0" w:lastRow="0" w:noHBand="0" w:noVBand="1" w:val="04A0"/>
      </w:tblPr>
      <w:tblGrid>
        <w:gridCol w:w="9922"/>
      </w:tblGrid>
      <w:tr>
        <w:tc>
          <w:tcPr>
            <w:tcW w:type="dxa" w:w="9922"/>
            <w:shd w:fill="DDEEE5"/>
            <w:tcMar>
              <w:top w:w="180" w:type="dxa"/>
              <w:start w:w="200" w:type="dxa"/>
              <w:bottom w:w="180" w:type="dxa"/>
              <w:end w:w="200" w:type="dxa"/>
            </w:tcMar>
          </w:tcPr>
          <w:p>
            <w:pPr>
              <w:spacing w:after="80"/>
            </w:pPr>
            <w:r/>
            <w:r>
              <w:rPr>
                <w:rFonts w:ascii="Arial" w:hAnsi="Arial"/>
                <w:b/>
                <w:color w:val="17332A"/>
                <w:sz w:val="22"/>
              </w:rPr>
              <w:t>Responsibility remains</w:t>
            </w:r>
          </w:p>
          <w:p>
            <w:pPr>
              <w:spacing w:after="0" w:line="269" w:lineRule="auto"/>
            </w:pPr>
            <w:r>
              <w:rPr>
                <w:rFonts w:ascii="Arial" w:hAnsi="Arial"/>
                <w:color w:val="17332A"/>
                <w:sz w:val="19"/>
              </w:rPr>
              <w:t>Intoxication does not excuse violence, coercion, dangerous driving, neglect of a dependent person or other harm. The reform principle is personal responsibility for conduct—not immunity because a substance was involved.</w:t>
            </w:r>
          </w:p>
        </w:tc>
      </w:tr>
    </w:tbl>
    <w:p/>
    <w:p>
      <w:pPr>
        <w:pStyle w:val="Heading1"/>
      </w:pPr>
      <w:r>
        <w:t>7. Pain, pleasure, connection and informed choice</w:t>
      </w:r>
    </w:p>
    <w:p>
      <w:r>
        <w:t>Pain can constrain choice. A patient may face persistent pain, a lawful treatment that is ineffective or intolerable, and an illicit option of uncertain identity or dose. Ethical care does not mean supplying any requested drug. It means an honest review of evidence, risks, alternatives and the patient’s values. The Supreme Court’s Montgomery decision and GMC standards support material-risk disclosure and shared decision-making. [A8][A9]</w:t>
      </w:r>
    </w:p>
    <w:p>
      <w:r>
        <w:t>Pleasure and connection are also part of human welfare. Dance, sociability, relief and altered perspective are not clinical diagnoses, yet governments routinely regulate activities partly because adults value them. Recognising a desired effect does not deny addiction or toxicity; it makes prevention more realistic because policy begins with why use occurs.</w:t>
      </w:r>
    </w:p>
    <w:p>
      <w:pPr>
        <w:pStyle w:val="Heading1"/>
      </w:pPr>
      <w:r>
        <w:t>8. The cost of control</w:t>
      </w:r>
    </w:p>
    <w:p>
      <w:r>
        <w:t>The Home Office’s June 2026 experimental wastewater analysis estimated an England retail market of approximately £12.0 billion across cocaine, ketamine, heroin, amphetamine, MDMA and methamphetamine between August 2024 and July 2025. Cannabis was not measured and the confidence intervals were wide. [A4] The figure should therefore be used as a scale indicator, not a precise tax forecast.</w:t>
      </w:r>
    </w:p>
    <w:p>
      <w:r>
        <w:t>Criminalisation can create secondary costs: enforcement and court activity, prison bed-days, records that obstruct work and housing, fear of seeking treatment, and an unregulated market in which suppliers have no lawful quality duties. Dame Carol Black’s review documented severe treatment-system weakness and the wider costs of drug dependence. [A5]</w:t>
      </w:r>
    </w:p>
    <w:p>
      <w:r>
        <w:t>A regulated system would not eliminate organised crime automatically. Success must be measured by illicit-market displacement, product safety, treatment access, deaths and violence—not simply by licences issued or taxes collected.</w:t>
      </w:r>
    </w:p>
    <w:p>
      <w:pPr>
        <w:pStyle w:val="Heading1"/>
      </w:pPr>
      <w:r>
        <w:t>9. Strongest counterarguments—and answers</w:t>
      </w:r>
    </w:p>
    <w:tbl>
      <w:tblPr>
        <w:tblStyle w:val="TableGrid"/>
        <w:tblW w:type="auto" w:w="0"/>
        <w:jc w:val="center"/>
        <w:tblLayout w:type="fixed"/>
        <w:tblLook w:firstColumn="1" w:firstRow="1" w:lastColumn="0" w:lastRow="0" w:noHBand="0" w:noVBand="1" w:val="04A0"/>
      </w:tblPr>
      <w:tblGrid>
        <w:gridCol w:w="4961"/>
        <w:gridCol w:w="4961"/>
      </w:tblGrid>
      <w:tr>
        <w:trPr>
          <w:tblHeader w:val="true"/>
        </w:trPr>
        <w:tc>
          <w:tcPr>
            <w:tcW w:type="dxa" w:w="2948"/>
            <w:vAlign w:val="center"/>
            <w:tcMar>
              <w:top w:w="90" w:type="dxa"/>
              <w:start w:w="100" w:type="dxa"/>
              <w:bottom w:w="90" w:type="dxa"/>
              <w:end w:w="100" w:type="dxa"/>
            </w:tcMar>
            <w:shd w:fill="215B45"/>
          </w:tcPr>
          <w:p>
            <w:pPr>
              <w:spacing w:after="0" w:line="252" w:lineRule="auto"/>
            </w:pPr>
            <w:r/>
            <w:r>
              <w:rPr>
                <w:rFonts w:ascii="Arial" w:hAnsi="Arial"/>
                <w:b/>
                <w:color w:val="FFFFFF"/>
                <w:sz w:val="16"/>
              </w:rPr>
              <w:t>Concern</w:t>
            </w:r>
          </w:p>
        </w:tc>
        <w:tc>
          <w:tcPr>
            <w:tcW w:type="dxa" w:w="6576"/>
            <w:vAlign w:val="center"/>
            <w:tcMar>
              <w:top w:w="90" w:type="dxa"/>
              <w:start w:w="100" w:type="dxa"/>
              <w:bottom w:w="90" w:type="dxa"/>
              <w:end w:w="100" w:type="dxa"/>
            </w:tcMar>
            <w:shd w:fill="215B45"/>
          </w:tcPr>
          <w:p>
            <w:pPr>
              <w:spacing w:after="0" w:line="252" w:lineRule="auto"/>
            </w:pPr>
            <w:r/>
            <w:r>
              <w:rPr>
                <w:rFonts w:ascii="Arial" w:hAnsi="Arial"/>
                <w:b/>
                <w:color w:val="FFFFFF"/>
                <w:sz w:val="16"/>
              </w:rPr>
              <w:t>Proportionate response</w:t>
            </w:r>
          </w:p>
        </w:tc>
      </w:tr>
      <w:tr>
        <w:trPr>
          <w:cantSplit/>
        </w:trPr>
        <w:tc>
          <w:tcPr>
            <w:tcW w:type="dxa" w:w="294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Availability may increase use</w:t>
            </w:r>
          </w:p>
        </w:tc>
        <w:tc>
          <w:tcPr>
            <w:tcW w:type="dxa" w:w="6576"/>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It may for some products or groups. Use age controls, price floors, advertising bans, purchase limits and staged pilots; stop or tighten a tier if predefined harm thresholds are crossed.</w:t>
            </w:r>
          </w:p>
        </w:tc>
      </w:tr>
      <w:tr>
        <w:trPr>
          <w:cantSplit/>
        </w:trPr>
        <w:tc>
          <w:tcPr>
            <w:tcW w:type="dxa" w:w="2948"/>
            <w:vAlign w:val="center"/>
            <w:tcMar>
              <w:top w:w="90" w:type="dxa"/>
              <w:start w:w="100" w:type="dxa"/>
              <w:bottom w:w="90" w:type="dxa"/>
              <w:end w:w="100" w:type="dxa"/>
            </w:tcMar>
          </w:tcPr>
          <w:p>
            <w:pPr>
              <w:spacing w:after="0" w:line="252" w:lineRule="auto"/>
            </w:pPr>
            <w:r/>
            <w:r>
              <w:rPr>
                <w:rFonts w:ascii="Arial" w:hAnsi="Arial"/>
                <w:b w:val="0"/>
                <w:color w:val="17332A"/>
                <w:sz w:val="17"/>
              </w:rPr>
              <w:t>Commercial firms may create another alcohol or tobacco industry</w:t>
            </w:r>
          </w:p>
        </w:tc>
        <w:tc>
          <w:tcPr>
            <w:tcW w:type="dxa" w:w="6576"/>
            <w:vAlign w:val="center"/>
            <w:tcMar>
              <w:top w:w="90" w:type="dxa"/>
              <w:start w:w="100" w:type="dxa"/>
              <w:bottom w:w="90" w:type="dxa"/>
              <w:end w:w="100" w:type="dxa"/>
            </w:tcMar>
          </w:tcPr>
          <w:p>
            <w:pPr>
              <w:spacing w:after="0" w:line="252" w:lineRule="auto"/>
            </w:pPr>
            <w:r/>
            <w:r>
              <w:rPr>
                <w:rFonts w:ascii="Arial" w:hAnsi="Arial"/>
                <w:b w:val="0"/>
                <w:color w:val="17332A"/>
                <w:sz w:val="17"/>
              </w:rPr>
              <w:t>Use a public-health regulator, plain packaging, no lifestyle advertising, ownership transparency, potency-linked excise and limits on vertical integration.</w:t>
            </w:r>
          </w:p>
        </w:tc>
      </w:tr>
      <w:tr>
        <w:trPr>
          <w:cantSplit/>
        </w:trPr>
        <w:tc>
          <w:tcPr>
            <w:tcW w:type="dxa" w:w="294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Some substances are too dangerous for retail sale</w:t>
            </w:r>
          </w:p>
        </w:tc>
        <w:tc>
          <w:tcPr>
            <w:tcW w:type="dxa" w:w="6576"/>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Regulation need not mean ordinary retail. High-risk tiers may require prescription, pharmacy supply, supervised consumption or no commercial market.</w:t>
            </w:r>
          </w:p>
        </w:tc>
      </w:tr>
      <w:tr>
        <w:trPr>
          <w:cantSplit/>
        </w:trPr>
        <w:tc>
          <w:tcPr>
            <w:tcW w:type="dxa" w:w="2948"/>
            <w:vAlign w:val="center"/>
            <w:tcMar>
              <w:top w:w="90" w:type="dxa"/>
              <w:start w:w="100" w:type="dxa"/>
              <w:bottom w:w="90" w:type="dxa"/>
              <w:end w:w="100" w:type="dxa"/>
            </w:tcMar>
          </w:tcPr>
          <w:p>
            <w:pPr>
              <w:spacing w:after="0" w:line="252" w:lineRule="auto"/>
            </w:pPr>
            <w:r/>
            <w:r>
              <w:rPr>
                <w:rFonts w:ascii="Arial" w:hAnsi="Arial"/>
                <w:b w:val="0"/>
                <w:color w:val="17332A"/>
                <w:sz w:val="17"/>
              </w:rPr>
              <w:t>Driving and workplace safety may worsen</w:t>
            </w:r>
          </w:p>
        </w:tc>
        <w:tc>
          <w:tcPr>
            <w:tcW w:type="dxa" w:w="6576"/>
            <w:vAlign w:val="center"/>
            <w:tcMar>
              <w:top w:w="90" w:type="dxa"/>
              <w:start w:w="100" w:type="dxa"/>
              <w:bottom w:w="90" w:type="dxa"/>
              <w:end w:w="100" w:type="dxa"/>
            </w:tcMar>
          </w:tcPr>
          <w:p>
            <w:pPr>
              <w:spacing w:after="0" w:line="252" w:lineRule="auto"/>
            </w:pPr>
            <w:r/>
            <w:r>
              <w:rPr>
                <w:rFonts w:ascii="Arial" w:hAnsi="Arial"/>
                <w:b w:val="0"/>
                <w:color w:val="17332A"/>
                <w:sz w:val="17"/>
              </w:rPr>
              <w:t>Keep impairment offences, validated testing, safety-critical rules and employer duties. Do not equate inactive metabolites with current impairment.</w:t>
            </w:r>
          </w:p>
        </w:tc>
      </w:tr>
      <w:tr>
        <w:trPr>
          <w:cantSplit/>
        </w:trPr>
        <w:tc>
          <w:tcPr>
            <w:tcW w:type="dxa" w:w="2948"/>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International treaties constrain reform</w:t>
            </w:r>
          </w:p>
        </w:tc>
        <w:tc>
          <w:tcPr>
            <w:tcW w:type="dxa" w:w="6576"/>
            <w:vAlign w:val="center"/>
            <w:tcMar>
              <w:top w:w="90" w:type="dxa"/>
              <w:start w:w="100" w:type="dxa"/>
              <w:bottom w:w="90" w:type="dxa"/>
              <w:end w:w="100" w:type="dxa"/>
            </w:tcMar>
            <w:shd w:fill="EFF6F1"/>
          </w:tcPr>
          <w:p>
            <w:pPr>
              <w:spacing w:after="0" w:line="252" w:lineRule="auto"/>
            </w:pPr>
            <w:r/>
            <w:r>
              <w:rPr>
                <w:rFonts w:ascii="Arial" w:hAnsi="Arial"/>
                <w:b w:val="0"/>
                <w:color w:val="17332A"/>
                <w:sz w:val="17"/>
              </w:rPr>
              <w:t>They do. Decriminalisation, treatment and research can move faster than a nationwide non-medical market; Part II sets out a transparent treaty pathway.</w:t>
            </w:r>
          </w:p>
        </w:tc>
      </w:tr>
      <w:tr>
        <w:trPr>
          <w:cantSplit/>
        </w:trPr>
        <w:tc>
          <w:tcPr>
            <w:tcW w:type="dxa" w:w="2948"/>
            <w:vAlign w:val="center"/>
            <w:tcMar>
              <w:top w:w="90" w:type="dxa"/>
              <w:start w:w="100" w:type="dxa"/>
              <w:bottom w:w="90" w:type="dxa"/>
              <w:end w:w="100" w:type="dxa"/>
            </w:tcMar>
          </w:tcPr>
          <w:p>
            <w:pPr>
              <w:spacing w:after="0" w:line="252" w:lineRule="auto"/>
            </w:pPr>
            <w:r/>
            <w:r>
              <w:rPr>
                <w:rFonts w:ascii="Arial" w:hAnsi="Arial"/>
                <w:b w:val="0"/>
                <w:color w:val="17332A"/>
                <w:sz w:val="17"/>
              </w:rPr>
              <w:t>Communities harmed by dealing want enforcement</w:t>
            </w:r>
          </w:p>
        </w:tc>
        <w:tc>
          <w:tcPr>
            <w:tcW w:type="dxa" w:w="6576"/>
            <w:vAlign w:val="center"/>
            <w:tcMar>
              <w:top w:w="90" w:type="dxa"/>
              <w:start w:w="100" w:type="dxa"/>
              <w:bottom w:w="90" w:type="dxa"/>
              <w:end w:w="100" w:type="dxa"/>
            </w:tcMar>
          </w:tcPr>
          <w:p>
            <w:pPr>
              <w:spacing w:after="0" w:line="252" w:lineRule="auto"/>
            </w:pPr>
            <w:r/>
            <w:r>
              <w:rPr>
                <w:rFonts w:ascii="Arial" w:hAnsi="Arial"/>
                <w:b w:val="0"/>
                <w:color w:val="17332A"/>
                <w:sz w:val="17"/>
              </w:rPr>
              <w:t>Retain firm enforcement against violence, coercion, child exploitation, trafficking, dangerous adulteration and unlicensed high-risk supply.</w:t>
            </w:r>
          </w:p>
        </w:tc>
      </w:tr>
    </w:tbl>
    <w:p/>
    <w:p>
      <w:pPr>
        <w:pStyle w:val="Heading1"/>
      </w:pPr>
      <w:r>
        <w:t>10. A regulation matrix</w:t>
      </w:r>
    </w:p>
    <w:tbl>
      <w:tblPr>
        <w:tblStyle w:val="TableGrid"/>
        <w:tblW w:type="auto" w:w="0"/>
        <w:jc w:val="center"/>
        <w:tblLayout w:type="fixed"/>
        <w:tblLook w:firstColumn="1" w:firstRow="1" w:lastColumn="0" w:lastRow="0" w:noHBand="0" w:noVBand="1" w:val="04A0"/>
      </w:tblPr>
      <w:tblGrid>
        <w:gridCol w:w="2480"/>
        <w:gridCol w:w="2480"/>
        <w:gridCol w:w="2480"/>
        <w:gridCol w:w="2480"/>
      </w:tblGrid>
      <w:tr>
        <w:trPr>
          <w:tblHeader w:val="true"/>
        </w:trPr>
        <w:tc>
          <w:tcPr>
            <w:tcW w:type="dxa" w:w="1361"/>
            <w:vAlign w:val="center"/>
            <w:tcMar>
              <w:top w:w="90" w:type="dxa"/>
              <w:start w:w="100" w:type="dxa"/>
              <w:bottom w:w="90" w:type="dxa"/>
              <w:end w:w="100" w:type="dxa"/>
            </w:tcMar>
            <w:shd w:fill="215B45"/>
          </w:tcPr>
          <w:p>
            <w:pPr>
              <w:spacing w:after="0" w:line="252" w:lineRule="auto"/>
            </w:pPr>
            <w:r/>
            <w:r>
              <w:rPr>
                <w:rFonts w:ascii="Arial" w:hAnsi="Arial"/>
                <w:b/>
                <w:color w:val="FFFFFF"/>
                <w:sz w:val="16"/>
              </w:rPr>
              <w:t>Tier</w:t>
            </w:r>
          </w:p>
        </w:tc>
        <w:tc>
          <w:tcPr>
            <w:tcW w:type="dxa" w:w="2041"/>
            <w:vAlign w:val="center"/>
            <w:tcMar>
              <w:top w:w="90" w:type="dxa"/>
              <w:start w:w="100" w:type="dxa"/>
              <w:bottom w:w="90" w:type="dxa"/>
              <w:end w:w="100" w:type="dxa"/>
            </w:tcMar>
            <w:shd w:fill="215B45"/>
          </w:tcPr>
          <w:p>
            <w:pPr>
              <w:spacing w:after="0" w:line="252" w:lineRule="auto"/>
            </w:pPr>
            <w:r/>
            <w:r>
              <w:rPr>
                <w:rFonts w:ascii="Arial" w:hAnsi="Arial"/>
                <w:b/>
                <w:color w:val="FFFFFF"/>
                <w:sz w:val="16"/>
              </w:rPr>
              <w:t>Typical channel</w:t>
            </w:r>
          </w:p>
        </w:tc>
        <w:tc>
          <w:tcPr>
            <w:tcW w:type="dxa" w:w="3572"/>
            <w:vAlign w:val="center"/>
            <w:tcMar>
              <w:top w:w="90" w:type="dxa"/>
              <w:start w:w="100" w:type="dxa"/>
              <w:bottom w:w="90" w:type="dxa"/>
              <w:end w:w="100" w:type="dxa"/>
            </w:tcMar>
            <w:shd w:fill="215B45"/>
          </w:tcPr>
          <w:p>
            <w:pPr>
              <w:spacing w:after="0" w:line="252" w:lineRule="auto"/>
            </w:pPr>
            <w:r/>
            <w:r>
              <w:rPr>
                <w:rFonts w:ascii="Arial" w:hAnsi="Arial"/>
                <w:b/>
                <w:color w:val="FFFFFF"/>
                <w:sz w:val="16"/>
              </w:rPr>
              <w:t>Core controls</w:t>
            </w:r>
          </w:p>
        </w:tc>
        <w:tc>
          <w:tcPr>
            <w:tcW w:type="dxa" w:w="2551"/>
            <w:vAlign w:val="center"/>
            <w:tcMar>
              <w:top w:w="90" w:type="dxa"/>
              <w:start w:w="100" w:type="dxa"/>
              <w:bottom w:w="90" w:type="dxa"/>
              <w:end w:w="100" w:type="dxa"/>
            </w:tcMar>
            <w:shd w:fill="215B45"/>
          </w:tcPr>
          <w:p>
            <w:pPr>
              <w:spacing w:after="0" w:line="252" w:lineRule="auto"/>
            </w:pPr>
            <w:r/>
            <w:r>
              <w:rPr>
                <w:rFonts w:ascii="Arial" w:hAnsi="Arial"/>
                <w:b/>
                <w:color w:val="FFFFFF"/>
                <w:sz w:val="16"/>
              </w:rPr>
              <w:t>Examples for evaluation—not final assignments</w:t>
            </w:r>
          </w:p>
        </w:tc>
      </w:tr>
      <w:tr>
        <w:trPr>
          <w:cantSplit/>
        </w:trPr>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A · Lower-risk adult products</w:t>
            </w:r>
          </w:p>
        </w:tc>
        <w:tc>
          <w:tcPr>
            <w:tcW w:type="dxa" w:w="204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Licensed specialist retail</w:t>
            </w:r>
          </w:p>
        </w:tc>
        <w:tc>
          <w:tcPr>
            <w:tcW w:type="dxa" w:w="357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Age verification, batch testing, dose labels, purchase limits, no advertising</w:t>
            </w:r>
          </w:p>
        </w:tc>
        <w:tc>
          <w:tcPr>
            <w:tcW w:type="dxa" w:w="255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Lower-potency cannabis products; final placement evidence-led</w:t>
            </w:r>
          </w:p>
        </w:tc>
      </w:tr>
      <w:tr>
        <w:trPr>
          <w:cantSplit/>
        </w:trPr>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6"/>
              </w:rPr>
              <w:t>B · Pharmacy or trained-provider</w:t>
            </w:r>
          </w:p>
        </w:tc>
        <w:tc>
          <w:tcPr>
            <w:tcW w:type="dxa" w:w="2041"/>
            <w:vAlign w:val="center"/>
            <w:tcMar>
              <w:top w:w="90" w:type="dxa"/>
              <w:start w:w="100" w:type="dxa"/>
              <w:bottom w:w="90" w:type="dxa"/>
              <w:end w:w="100" w:type="dxa"/>
            </w:tcMar>
          </w:tcPr>
          <w:p>
            <w:pPr>
              <w:spacing w:after="0" w:line="252" w:lineRule="auto"/>
            </w:pPr>
            <w:r/>
            <w:r>
              <w:rPr>
                <w:rFonts w:ascii="Arial" w:hAnsi="Arial"/>
                <w:b w:val="0"/>
                <w:color w:val="17332A"/>
                <w:sz w:val="16"/>
              </w:rPr>
              <w:t>Pharmacy / accredited specialist</w:t>
            </w:r>
          </w:p>
        </w:tc>
        <w:tc>
          <w:tcPr>
            <w:tcW w:type="dxa" w:w="3572"/>
            <w:vAlign w:val="center"/>
            <w:tcMar>
              <w:top w:w="90" w:type="dxa"/>
              <w:start w:w="100" w:type="dxa"/>
              <w:bottom w:w="90" w:type="dxa"/>
              <w:end w:w="100" w:type="dxa"/>
            </w:tcMar>
          </w:tcPr>
          <w:p>
            <w:pPr>
              <w:spacing w:after="0" w:line="252" w:lineRule="auto"/>
            </w:pPr>
            <w:r/>
            <w:r>
              <w:rPr>
                <w:rFonts w:ascii="Arial" w:hAnsi="Arial"/>
                <w:b w:val="0"/>
                <w:color w:val="17332A"/>
                <w:sz w:val="16"/>
              </w:rPr>
              <w:t>Screening, interaction checks, recorded supply, stronger quantity limits</w:t>
            </w:r>
          </w:p>
        </w:tc>
        <w:tc>
          <w:tcPr>
            <w:tcW w:type="dxa" w:w="2551"/>
            <w:vAlign w:val="center"/>
            <w:tcMar>
              <w:top w:w="90" w:type="dxa"/>
              <w:start w:w="100" w:type="dxa"/>
              <w:bottom w:w="90" w:type="dxa"/>
              <w:end w:w="100" w:type="dxa"/>
            </w:tcMar>
          </w:tcPr>
          <w:p>
            <w:pPr>
              <w:spacing w:after="0" w:line="252" w:lineRule="auto"/>
            </w:pPr>
            <w:r/>
            <w:r>
              <w:rPr>
                <w:rFonts w:ascii="Arial" w:hAnsi="Arial"/>
                <w:b w:val="0"/>
                <w:color w:val="17332A"/>
                <w:sz w:val="16"/>
              </w:rPr>
              <w:t>Selected stimulants or psychedelics if evidence permits</w:t>
            </w:r>
          </w:p>
        </w:tc>
      </w:tr>
      <w:tr>
        <w:trPr>
          <w:cantSplit/>
        </w:trPr>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 · Clinical or supervised</w:t>
            </w:r>
          </w:p>
        </w:tc>
        <w:tc>
          <w:tcPr>
            <w:tcW w:type="dxa" w:w="204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Prescription, clinic or supervised service</w:t>
            </w:r>
          </w:p>
        </w:tc>
        <w:tc>
          <w:tcPr>
            <w:tcW w:type="dxa" w:w="357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Diagnosis/eligibility where relevant, observed dosing, emergency capacity</w:t>
            </w:r>
          </w:p>
        </w:tc>
        <w:tc>
          <w:tcPr>
            <w:tcW w:type="dxa" w:w="255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Diamorphine treatment, sodium oxybate, high-risk opioids</w:t>
            </w:r>
          </w:p>
        </w:tc>
      </w:tr>
      <w:tr>
        <w:trPr>
          <w:cantSplit/>
        </w:trPr>
        <w:tc>
          <w:tcPr>
            <w:tcW w:type="dxa" w:w="1361"/>
            <w:vAlign w:val="center"/>
            <w:tcMar>
              <w:top w:w="90" w:type="dxa"/>
              <w:start w:w="100" w:type="dxa"/>
              <w:bottom w:w="90" w:type="dxa"/>
              <w:end w:w="100" w:type="dxa"/>
            </w:tcMar>
          </w:tcPr>
          <w:p>
            <w:pPr>
              <w:spacing w:after="0" w:line="252" w:lineRule="auto"/>
            </w:pPr>
            <w:r/>
            <w:r>
              <w:rPr>
                <w:rFonts w:ascii="Arial" w:hAnsi="Arial"/>
                <w:b w:val="0"/>
                <w:color w:val="17332A"/>
                <w:sz w:val="16"/>
              </w:rPr>
              <w:t>D · Research / exceptional licence</w:t>
            </w:r>
          </w:p>
        </w:tc>
        <w:tc>
          <w:tcPr>
            <w:tcW w:type="dxa" w:w="2041"/>
            <w:vAlign w:val="center"/>
            <w:tcMar>
              <w:top w:w="90" w:type="dxa"/>
              <w:start w:w="100" w:type="dxa"/>
              <w:bottom w:w="90" w:type="dxa"/>
              <w:end w:w="100" w:type="dxa"/>
            </w:tcMar>
          </w:tcPr>
          <w:p>
            <w:pPr>
              <w:spacing w:after="0" w:line="252" w:lineRule="auto"/>
            </w:pPr>
            <w:r/>
            <w:r>
              <w:rPr>
                <w:rFonts w:ascii="Arial" w:hAnsi="Arial"/>
                <w:b w:val="0"/>
                <w:color w:val="17332A"/>
                <w:sz w:val="16"/>
              </w:rPr>
              <w:t>Accredited research or specialist licence</w:t>
            </w:r>
          </w:p>
        </w:tc>
        <w:tc>
          <w:tcPr>
            <w:tcW w:type="dxa" w:w="3572"/>
            <w:vAlign w:val="center"/>
            <w:tcMar>
              <w:top w:w="90" w:type="dxa"/>
              <w:start w:w="100" w:type="dxa"/>
              <w:bottom w:w="90" w:type="dxa"/>
              <w:end w:w="100" w:type="dxa"/>
            </w:tcMar>
          </w:tcPr>
          <w:p>
            <w:pPr>
              <w:spacing w:after="0" w:line="252" w:lineRule="auto"/>
            </w:pPr>
            <w:r/>
            <w:r>
              <w:rPr>
                <w:rFonts w:ascii="Arial" w:hAnsi="Arial"/>
                <w:b w:val="0"/>
                <w:color w:val="17332A"/>
                <w:sz w:val="16"/>
              </w:rPr>
              <w:t>Protocol approval, secure storage, pharmacovigilance</w:t>
            </w:r>
          </w:p>
        </w:tc>
        <w:tc>
          <w:tcPr>
            <w:tcW w:type="dxa" w:w="2551"/>
            <w:vAlign w:val="center"/>
            <w:tcMar>
              <w:top w:w="90" w:type="dxa"/>
              <w:start w:w="100" w:type="dxa"/>
              <w:bottom w:w="90" w:type="dxa"/>
              <w:end w:w="100" w:type="dxa"/>
            </w:tcMar>
          </w:tcPr>
          <w:p>
            <w:pPr>
              <w:spacing w:after="0" w:line="252" w:lineRule="auto"/>
            </w:pPr>
            <w:r/>
            <w:r>
              <w:rPr>
                <w:rFonts w:ascii="Arial" w:hAnsi="Arial"/>
                <w:b w:val="0"/>
                <w:color w:val="17332A"/>
                <w:sz w:val="16"/>
              </w:rPr>
              <w:t>Compounds without adequate safety evidence</w:t>
            </w:r>
          </w:p>
        </w:tc>
      </w:tr>
      <w:tr>
        <w:trPr>
          <w:cantSplit/>
        </w:trPr>
        <w:tc>
          <w:tcPr>
            <w:tcW w:type="dxa" w:w="136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Prohibited conduct</w:t>
            </w:r>
          </w:p>
        </w:tc>
        <w:tc>
          <w:tcPr>
            <w:tcW w:type="dxa" w:w="204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Criminal law</w:t>
            </w:r>
          </w:p>
        </w:tc>
        <w:tc>
          <w:tcPr>
            <w:tcW w:type="dxa" w:w="3572"/>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Children, coercion, spiking, dangerous adulteration, fraudulent substitution, violent debt enforcement</w:t>
            </w:r>
          </w:p>
        </w:tc>
        <w:tc>
          <w:tcPr>
            <w:tcW w:type="dxa" w:w="2551"/>
            <w:vAlign w:val="center"/>
            <w:tcMar>
              <w:top w:w="90" w:type="dxa"/>
              <w:start w:w="100" w:type="dxa"/>
              <w:bottom w:w="90" w:type="dxa"/>
              <w:end w:w="100" w:type="dxa"/>
            </w:tcMar>
            <w:shd w:fill="EFF6F1"/>
          </w:tcPr>
          <w:p>
            <w:pPr>
              <w:spacing w:after="0" w:line="252" w:lineRule="auto"/>
            </w:pPr>
            <w:r/>
            <w:r>
              <w:rPr>
                <w:rFonts w:ascii="Arial" w:hAnsi="Arial"/>
                <w:b w:val="0"/>
                <w:color w:val="17332A"/>
                <w:sz w:val="16"/>
              </w:rPr>
              <w:t>Conduct-based offences across all substances</w:t>
            </w:r>
          </w:p>
        </w:tc>
      </w:tr>
    </w:tbl>
    <w:p/>
    <w:p>
      <w:pPr>
        <w:pStyle w:val="Heading1"/>
      </w:pPr>
      <w:r>
        <w:t>11. NHS and care pathway</w:t>
      </w:r>
    </w:p>
    <w:p>
      <w:pPr>
        <w:pStyle w:val="ListNumber"/>
      </w:pPr>
      <w:r>
        <w:t>A person can disclose use without automatic punishment or loss of ordinary care.</w:t>
      </w:r>
    </w:p>
    <w:p>
      <w:pPr>
        <w:pStyle w:val="ListNumber"/>
      </w:pPr>
      <w:r>
        <w:t>Immediate triage covers overdose, withdrawal, mental state, pain and safeguarding.</w:t>
      </w:r>
    </w:p>
    <w:p>
      <w:pPr>
        <w:pStyle w:val="ListNumber"/>
      </w:pPr>
      <w:r>
        <w:t>A shared medication-and-substance review identifies interactions and alternatives.</w:t>
      </w:r>
    </w:p>
    <w:p>
      <w:pPr>
        <w:pStyle w:val="ListNumber"/>
      </w:pPr>
      <w:r>
        <w:t>Drug checking and toxicology information support harm reduction and public alerts.</w:t>
      </w:r>
    </w:p>
    <w:p>
      <w:pPr>
        <w:pStyle w:val="ListNumber"/>
      </w:pPr>
      <w:r>
        <w:t>Treatment is voluntary except where ordinary capacity, safeguarding or criminal-law principles require intervention.</w:t>
      </w:r>
    </w:p>
    <w:p>
      <w:pPr>
        <w:pStyle w:val="ListNumber"/>
      </w:pPr>
      <w:r>
        <w:t>Outcome measures include health, housing, work, relationships and the person’s own goals—not abstinence alone.</w:t>
      </w:r>
    </w:p>
    <w:p>
      <w:pPr>
        <w:pStyle w:val="Heading1"/>
      </w:pPr>
      <w:r>
        <w:t>12. Equality, accountability and institutional humility</w:t>
      </w:r>
    </w:p>
    <w:p>
      <w:r>
        <w:t>Policy should publish enforcement and outcome data by geography, age, sex, ethnicity, disability and deprivation, with safeguards against re-identification. Disparities require explanation and correction. Regulators, police, clinicians and licensed businesses should disclose conflicts, publish reasons and remain reviewable.</w:t>
      </w:r>
    </w:p>
    <w:p>
      <w:r>
        <w:t>This edition replaces the rhetorical phrase ‘social psychosis’ with ‘institutional lock-in’: a self-reinforcing policy belief maintained by sunk costs, selective evidence, status incentives and fear of admitting error. The term describes a governance mechanism, not a medical diagnosis of a person or society.</w:t>
      </w:r>
    </w:p>
    <w:p>
      <w:pPr>
        <w:pStyle w:val="Heading1"/>
      </w:pPr>
      <w:r>
        <w:t>13. Findings and recommendations</w:t>
      </w:r>
    </w:p>
    <w:p>
      <w:pPr>
        <w:pStyle w:val="ListBullet"/>
      </w:pPr>
      <w:r>
        <w:t>End criminal penalties for adult possession within evidence-based personal-use rules, while retaining conduct-based protections.</w:t>
      </w:r>
    </w:p>
    <w:p>
      <w:pPr>
        <w:pStyle w:val="ListBullet"/>
      </w:pPr>
      <w:r>
        <w:t>Commission independent substance-by-substance risk tiers instead of treating ‘drug’ as one category.</w:t>
      </w:r>
    </w:p>
    <w:p>
      <w:pPr>
        <w:pStyle w:val="ListBullet"/>
      </w:pPr>
      <w:r>
        <w:t>Build treatment, drug checking, product testing and data infrastructure before commercial expansion.</w:t>
      </w:r>
    </w:p>
    <w:p>
      <w:pPr>
        <w:pStyle w:val="ListBullet"/>
      </w:pPr>
      <w:r>
        <w:t>Create a transparent justice-transition process for people imprisoned or burdened by conduct that becomes lawful.</w:t>
      </w:r>
    </w:p>
    <w:p>
      <w:pPr>
        <w:pStyle w:val="ListBullet"/>
      </w:pPr>
      <w:r>
        <w:t>Use reversible pilots, 12- and 24-month reviews, a five-year statutory review and automatic expiry of unsupported restrictions.</w:t>
      </w:r>
    </w:p>
    <w:p>
      <w:pPr>
        <w:pStyle w:val="ListBullet"/>
      </w:pPr>
      <w:r>
        <w:t>Publish an evidence register and corrections log so both supporters and critics can see what changed and why.</w:t>
      </w:r>
    </w:p>
    <w:p>
      <w:pPr>
        <w:pStyle w:val="Heading1"/>
      </w:pPr>
      <w:r>
        <w:t>Appendix A. Evidence and correction register</w:t>
      </w:r>
    </w:p>
    <w:tbl>
      <w:tblPr>
        <w:tblStyle w:val="TableGrid"/>
        <w:tblW w:type="auto" w:w="0"/>
        <w:jc w:val="center"/>
        <w:tblLayout w:type="fixed"/>
        <w:tblLook w:firstColumn="1" w:firstRow="1" w:lastColumn="0" w:lastRow="0" w:noHBand="0" w:noVBand="1" w:val="04A0"/>
      </w:tblPr>
      <w:tblGrid>
        <w:gridCol w:w="1654"/>
        <w:gridCol w:w="1654"/>
        <w:gridCol w:w="1654"/>
        <w:gridCol w:w="1654"/>
        <w:gridCol w:w="1654"/>
        <w:gridCol w:w="1654"/>
      </w:tblGrid>
      <w:tr>
        <w:trPr>
          <w:tblHeader w:val="true"/>
        </w:trPr>
        <w:tc>
          <w:tcPr>
            <w:tcW w:type="dxa" w:w="567"/>
            <w:vAlign w:val="center"/>
            <w:tcMar>
              <w:top w:w="90" w:type="dxa"/>
              <w:start w:w="100" w:type="dxa"/>
              <w:bottom w:w="90" w:type="dxa"/>
              <w:end w:w="100" w:type="dxa"/>
            </w:tcMar>
            <w:shd w:fill="215B45"/>
          </w:tcPr>
          <w:p>
            <w:pPr>
              <w:spacing w:after="0" w:line="252" w:lineRule="auto"/>
            </w:pPr>
            <w:r/>
            <w:r>
              <w:rPr>
                <w:rFonts w:ascii="Arial" w:hAnsi="Arial"/>
                <w:b/>
                <w:color w:val="FFFFFF"/>
                <w:sz w:val="16"/>
              </w:rPr>
              <w:t>ID</w:t>
            </w:r>
          </w:p>
        </w:tc>
        <w:tc>
          <w:tcPr>
            <w:tcW w:type="dxa" w:w="2268"/>
            <w:vAlign w:val="center"/>
            <w:tcMar>
              <w:top w:w="90" w:type="dxa"/>
              <w:start w:w="100" w:type="dxa"/>
              <w:bottom w:w="90" w:type="dxa"/>
              <w:end w:w="100" w:type="dxa"/>
            </w:tcMar>
            <w:shd w:fill="215B45"/>
          </w:tcPr>
          <w:p>
            <w:pPr>
              <w:spacing w:after="0" w:line="252" w:lineRule="auto"/>
            </w:pPr>
            <w:r/>
            <w:r>
              <w:rPr>
                <w:rFonts w:ascii="Arial" w:hAnsi="Arial"/>
                <w:b/>
                <w:color w:val="FFFFFF"/>
                <w:sz w:val="16"/>
              </w:rPr>
              <w:t>Claim</w:t>
            </w:r>
          </w:p>
        </w:tc>
        <w:tc>
          <w:tcPr>
            <w:tcW w:type="dxa" w:w="1814"/>
            <w:vAlign w:val="center"/>
            <w:tcMar>
              <w:top w:w="90" w:type="dxa"/>
              <w:start w:w="100" w:type="dxa"/>
              <w:bottom w:w="90" w:type="dxa"/>
              <w:end w:w="100" w:type="dxa"/>
            </w:tcMar>
            <w:shd w:fill="215B45"/>
          </w:tcPr>
          <w:p>
            <w:pPr>
              <w:spacing w:after="0" w:line="252" w:lineRule="auto"/>
            </w:pPr>
            <w:r/>
            <w:r>
              <w:rPr>
                <w:rFonts w:ascii="Arial" w:hAnsi="Arial"/>
                <w:b/>
                <w:color w:val="FFFFFF"/>
                <w:sz w:val="16"/>
              </w:rPr>
              <w:t>Basis</w:t>
            </w:r>
          </w:p>
        </w:tc>
        <w:tc>
          <w:tcPr>
            <w:tcW w:type="dxa" w:w="2268"/>
            <w:vAlign w:val="center"/>
            <w:tcMar>
              <w:top w:w="90" w:type="dxa"/>
              <w:start w:w="100" w:type="dxa"/>
              <w:bottom w:w="90" w:type="dxa"/>
              <w:end w:w="100" w:type="dxa"/>
            </w:tcMar>
            <w:shd w:fill="215B45"/>
          </w:tcPr>
          <w:p>
            <w:pPr>
              <w:spacing w:after="0" w:line="252" w:lineRule="auto"/>
            </w:pPr>
            <w:r/>
            <w:r>
              <w:rPr>
                <w:rFonts w:ascii="Arial" w:hAnsi="Arial"/>
                <w:b/>
                <w:color w:val="FFFFFF"/>
                <w:sz w:val="16"/>
              </w:rPr>
              <w:t>Status / limitation</w:t>
            </w:r>
          </w:p>
        </w:tc>
        <w:tc>
          <w:tcPr>
            <w:tcW w:type="dxa" w:w="850"/>
            <w:vAlign w:val="center"/>
            <w:tcMar>
              <w:top w:w="90" w:type="dxa"/>
              <w:start w:w="100" w:type="dxa"/>
              <w:bottom w:w="90" w:type="dxa"/>
              <w:end w:w="100" w:type="dxa"/>
            </w:tcMar>
            <w:shd w:fill="215B45"/>
          </w:tcPr>
          <w:p>
            <w:pPr>
              <w:spacing w:after="0" w:line="252" w:lineRule="auto"/>
            </w:pPr>
            <w:r/>
            <w:r>
              <w:rPr>
                <w:rFonts w:ascii="Arial" w:hAnsi="Arial"/>
                <w:b/>
                <w:color w:val="FFFFFF"/>
                <w:sz w:val="16"/>
              </w:rPr>
              <w:t>Sources</w:t>
            </w:r>
          </w:p>
        </w:tc>
        <w:tc>
          <w:tcPr>
            <w:tcW w:type="dxa" w:w="1928"/>
            <w:vAlign w:val="center"/>
            <w:tcMar>
              <w:top w:w="90" w:type="dxa"/>
              <w:start w:w="100" w:type="dxa"/>
              <w:bottom w:w="90" w:type="dxa"/>
              <w:end w:w="100" w:type="dxa"/>
            </w:tcMar>
            <w:shd w:fill="215B45"/>
          </w:tcPr>
          <w:p>
            <w:pPr>
              <w:spacing w:after="0" w:line="252" w:lineRule="auto"/>
            </w:pPr>
            <w:r/>
            <w:r>
              <w:rPr>
                <w:rFonts w:ascii="Arial" w:hAnsi="Arial"/>
                <w:b/>
                <w:color w:val="FFFFFF"/>
                <w:sz w:val="16"/>
              </w:rPr>
              <w:t>Correction rule</w:t>
            </w:r>
          </w:p>
        </w:tc>
      </w:tr>
      <w:tr>
        <w:trPr>
          <w:cantSplit/>
        </w:trPr>
        <w:tc>
          <w:tcPr>
            <w:tcW w:type="dxa" w:w="567"/>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E1</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The 101-year-old arrest occurred as reported</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Official agency statement</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Supported as an agency report; allegation not adjudicated</w:t>
            </w:r>
          </w:p>
        </w:tc>
        <w:tc>
          <w:tcPr>
            <w:tcW w:type="dxa" w:w="850"/>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A1</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Correct if court or agency record changes</w:t>
            </w:r>
          </w:p>
        </w:tc>
      </w:tr>
      <w:tr>
        <w:trPr>
          <w:cantSplit/>
        </w:trPr>
        <w:tc>
          <w:tcPr>
            <w:tcW w:type="dxa" w:w="567"/>
            <w:vAlign w:val="center"/>
            <w:tcMar>
              <w:top w:w="90" w:type="dxa"/>
              <w:start w:w="100" w:type="dxa"/>
              <w:bottom w:w="90" w:type="dxa"/>
              <w:end w:w="100" w:type="dxa"/>
            </w:tcMar>
          </w:tcPr>
          <w:p>
            <w:pPr>
              <w:spacing w:after="0" w:line="252" w:lineRule="auto"/>
            </w:pPr>
            <w:r/>
            <w:r>
              <w:rPr>
                <w:rFonts w:ascii="Arial" w:hAnsi="Arial"/>
                <w:b w:val="0"/>
                <w:color w:val="17332A"/>
                <w:sz w:val="15"/>
              </w:rPr>
              <w:t>E2</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Six-drug England market ≈ £12bn</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Government experimental wastewater model</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Supported with wide uncertainty; excludes cannabis</w:t>
            </w:r>
          </w:p>
        </w:tc>
        <w:tc>
          <w:tcPr>
            <w:tcW w:type="dxa" w:w="850"/>
            <w:vAlign w:val="center"/>
            <w:tcMar>
              <w:top w:w="90" w:type="dxa"/>
              <w:start w:w="100" w:type="dxa"/>
              <w:bottom w:w="90" w:type="dxa"/>
              <w:end w:w="100" w:type="dxa"/>
            </w:tcMar>
          </w:tcPr>
          <w:p>
            <w:pPr>
              <w:spacing w:after="0" w:line="252" w:lineRule="auto"/>
            </w:pPr>
            <w:r/>
            <w:r>
              <w:rPr>
                <w:rFonts w:ascii="Arial" w:hAnsi="Arial"/>
                <w:b w:val="0"/>
                <w:color w:val="17332A"/>
                <w:sz w:val="15"/>
              </w:rPr>
              <w:t>A4</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5"/>
              </w:rPr>
              <w:t>Update when methodology or figures are superseded</w:t>
            </w:r>
          </w:p>
        </w:tc>
      </w:tr>
      <w:tr>
        <w:trPr>
          <w:cantSplit/>
        </w:trPr>
        <w:tc>
          <w:tcPr>
            <w:tcW w:type="dxa" w:w="567"/>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E3</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Legal status and measured harm diverge</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UK comparative-harm analysis plus alcohol evidence</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Supported as an analytical conclusion; rankings depend on model</w:t>
            </w:r>
          </w:p>
        </w:tc>
        <w:tc>
          <w:tcPr>
            <w:tcW w:type="dxa" w:w="850"/>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A6,A7</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Do not present ranking as biological fact</w:t>
            </w:r>
          </w:p>
        </w:tc>
      </w:tr>
      <w:tr>
        <w:trPr>
          <w:cantSplit/>
        </w:trPr>
        <w:tc>
          <w:tcPr>
            <w:tcW w:type="dxa" w:w="567"/>
            <w:vAlign w:val="center"/>
            <w:tcMar>
              <w:top w:w="90" w:type="dxa"/>
              <w:start w:w="100" w:type="dxa"/>
              <w:bottom w:w="90" w:type="dxa"/>
              <w:end w:w="100" w:type="dxa"/>
            </w:tcMar>
          </w:tcPr>
          <w:p>
            <w:pPr>
              <w:spacing w:after="0" w:line="252" w:lineRule="auto"/>
            </w:pPr>
            <w:r/>
            <w:r>
              <w:rPr>
                <w:rFonts w:ascii="Arial" w:hAnsi="Arial"/>
                <w:b w:val="0"/>
                <w:color w:val="17332A"/>
                <w:sz w:val="15"/>
              </w:rPr>
              <w:t>E4</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Controlled substances can have medical/scientific functions</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Official classifications, clinical guidance and trials</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Supported unevenly by substance</w:t>
            </w:r>
          </w:p>
        </w:tc>
        <w:tc>
          <w:tcPr>
            <w:tcW w:type="dxa" w:w="850"/>
            <w:vAlign w:val="center"/>
            <w:tcMar>
              <w:top w:w="90" w:type="dxa"/>
              <w:start w:w="100" w:type="dxa"/>
              <w:bottom w:w="90" w:type="dxa"/>
              <w:end w:w="100" w:type="dxa"/>
            </w:tcMar>
          </w:tcPr>
          <w:p>
            <w:pPr>
              <w:spacing w:after="0" w:line="252" w:lineRule="auto"/>
            </w:pPr>
            <w:r/>
            <w:r>
              <w:rPr>
                <w:rFonts w:ascii="Arial" w:hAnsi="Arial"/>
                <w:b w:val="0"/>
                <w:color w:val="17332A"/>
                <w:sz w:val="15"/>
              </w:rPr>
              <w:t>S1-S17</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5"/>
              </w:rPr>
              <w:t>Re-grade each row as evidence changes</w:t>
            </w:r>
          </w:p>
        </w:tc>
      </w:tr>
      <w:tr>
        <w:trPr>
          <w:cantSplit/>
        </w:trPr>
        <w:tc>
          <w:tcPr>
            <w:tcW w:type="dxa" w:w="567"/>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E5</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Lawful medicines can cause serious harm</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NICE, MHRA and NHS guidance</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Supported by medicine class; individual risk depends on dose/person</w:t>
            </w:r>
          </w:p>
        </w:tc>
        <w:tc>
          <w:tcPr>
            <w:tcW w:type="dxa" w:w="850"/>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M1-M13</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Use current product information in clinical decisions</w:t>
            </w:r>
          </w:p>
        </w:tc>
      </w:tr>
      <w:tr>
        <w:trPr>
          <w:cantSplit/>
        </w:trPr>
        <w:tc>
          <w:tcPr>
            <w:tcW w:type="dxa" w:w="567"/>
            <w:vAlign w:val="center"/>
            <w:tcMar>
              <w:top w:w="90" w:type="dxa"/>
              <w:start w:w="100" w:type="dxa"/>
              <w:bottom w:w="90" w:type="dxa"/>
              <w:end w:w="100" w:type="dxa"/>
            </w:tcMar>
          </w:tcPr>
          <w:p>
            <w:pPr>
              <w:spacing w:after="0" w:line="252" w:lineRule="auto"/>
            </w:pPr>
            <w:r/>
            <w:r>
              <w:rPr>
                <w:rFonts w:ascii="Arial" w:hAnsi="Arial"/>
                <w:b w:val="0"/>
                <w:color w:val="17332A"/>
                <w:sz w:val="15"/>
              </w:rPr>
              <w:t>E6</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Regulation will reduce total harm</w:t>
            </w:r>
          </w:p>
        </w:tc>
        <w:tc>
          <w:tcPr>
            <w:tcW w:type="dxa" w:w="1814"/>
            <w:vAlign w:val="center"/>
            <w:tcMar>
              <w:top w:w="90" w:type="dxa"/>
              <w:start w:w="100" w:type="dxa"/>
              <w:bottom w:w="90" w:type="dxa"/>
              <w:end w:w="100" w:type="dxa"/>
            </w:tcMar>
          </w:tcPr>
          <w:p>
            <w:pPr>
              <w:spacing w:after="0" w:line="252" w:lineRule="auto"/>
            </w:pPr>
            <w:r/>
            <w:r>
              <w:rPr>
                <w:rFonts w:ascii="Arial" w:hAnsi="Arial"/>
                <w:b w:val="0"/>
                <w:color w:val="17332A"/>
                <w:sz w:val="15"/>
              </w:rPr>
              <w:t>Policy inference from mechanisms and international experience</w:t>
            </w:r>
          </w:p>
        </w:tc>
        <w:tc>
          <w:tcPr>
            <w:tcW w:type="dxa" w:w="2268"/>
            <w:vAlign w:val="center"/>
            <w:tcMar>
              <w:top w:w="90" w:type="dxa"/>
              <w:start w:w="100" w:type="dxa"/>
              <w:bottom w:w="90" w:type="dxa"/>
              <w:end w:w="100" w:type="dxa"/>
            </w:tcMar>
          </w:tcPr>
          <w:p>
            <w:pPr>
              <w:spacing w:after="0" w:line="252" w:lineRule="auto"/>
            </w:pPr>
            <w:r/>
            <w:r>
              <w:rPr>
                <w:rFonts w:ascii="Arial" w:hAnsi="Arial"/>
                <w:b w:val="0"/>
                <w:color w:val="17332A"/>
                <w:sz w:val="15"/>
              </w:rPr>
              <w:t>Plausible, not guaranteed</w:t>
            </w:r>
          </w:p>
        </w:tc>
        <w:tc>
          <w:tcPr>
            <w:tcW w:type="dxa" w:w="850"/>
            <w:vAlign w:val="center"/>
            <w:tcMar>
              <w:top w:w="90" w:type="dxa"/>
              <w:start w:w="100" w:type="dxa"/>
              <w:bottom w:w="90" w:type="dxa"/>
              <w:end w:w="100" w:type="dxa"/>
            </w:tcMar>
          </w:tcPr>
          <w:p>
            <w:pPr>
              <w:spacing w:after="0" w:line="252" w:lineRule="auto"/>
            </w:pPr>
            <w:r/>
            <w:r>
              <w:rPr>
                <w:rFonts w:ascii="Arial" w:hAnsi="Arial"/>
                <w:b w:val="0"/>
                <w:color w:val="17332A"/>
                <w:sz w:val="15"/>
              </w:rPr>
              <w:t>A5 plus Part II</w:t>
            </w:r>
          </w:p>
        </w:tc>
        <w:tc>
          <w:tcPr>
            <w:tcW w:type="dxa" w:w="1928"/>
            <w:vAlign w:val="center"/>
            <w:tcMar>
              <w:top w:w="90" w:type="dxa"/>
              <w:start w:w="100" w:type="dxa"/>
              <w:bottom w:w="90" w:type="dxa"/>
              <w:end w:w="100" w:type="dxa"/>
            </w:tcMar>
          </w:tcPr>
          <w:p>
            <w:pPr>
              <w:spacing w:after="0" w:line="252" w:lineRule="auto"/>
            </w:pPr>
            <w:r/>
            <w:r>
              <w:rPr>
                <w:rFonts w:ascii="Arial" w:hAnsi="Arial"/>
                <w:b w:val="0"/>
                <w:color w:val="17332A"/>
                <w:sz w:val="15"/>
              </w:rPr>
              <w:t>Require pilots and stopping rules</w:t>
            </w:r>
          </w:p>
        </w:tc>
      </w:tr>
      <w:tr>
        <w:trPr>
          <w:cantSplit/>
        </w:trPr>
        <w:tc>
          <w:tcPr>
            <w:tcW w:type="dxa" w:w="567"/>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E7</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Respectful communication improves scrutiny</w:t>
            </w:r>
          </w:p>
        </w:tc>
        <w:tc>
          <w:tcPr>
            <w:tcW w:type="dxa" w:w="1814"/>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Science-communication and reactance literature</w:t>
            </w:r>
          </w:p>
        </w:tc>
        <w:tc>
          <w:tcPr>
            <w:tcW w:type="dxa" w:w="226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Supported at general level; not a guarantee of agreement</w:t>
            </w:r>
          </w:p>
        </w:tc>
        <w:tc>
          <w:tcPr>
            <w:tcW w:type="dxa" w:w="850"/>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A2,A3</w:t>
            </w:r>
          </w:p>
        </w:tc>
        <w:tc>
          <w:tcPr>
            <w:tcW w:type="dxa" w:w="1928"/>
            <w:vAlign w:val="center"/>
            <w:tcMar>
              <w:top w:w="90" w:type="dxa"/>
              <w:start w:w="100" w:type="dxa"/>
              <w:bottom w:w="90" w:type="dxa"/>
              <w:end w:w="100" w:type="dxa"/>
            </w:tcMar>
            <w:shd w:fill="EFF6F1"/>
          </w:tcPr>
          <w:p>
            <w:pPr>
              <w:spacing w:after="0" w:line="252" w:lineRule="auto"/>
            </w:pPr>
            <w:r/>
            <w:r>
              <w:rPr>
                <w:rFonts w:ascii="Arial" w:hAnsi="Arial"/>
                <w:b w:val="0"/>
                <w:color w:val="17332A"/>
                <w:sz w:val="15"/>
              </w:rPr>
              <w:t>Test comprehension and trust, not compliance</w:t>
            </w:r>
          </w:p>
        </w:tc>
      </w:tr>
    </w:tbl>
    <w:p/>
    <w:p>
      <w:pPr>
        <w:pStyle w:val="Heading1"/>
      </w:pPr>
      <w:r>
        <w:t>References</w:t>
      </w:r>
    </w:p>
    <w:p>
      <w:pPr>
        <w:spacing w:after="80"/>
        <w:ind w:left="255" w:hanging="255"/>
      </w:pPr>
      <w:r>
        <w:rPr>
          <w:b/>
        </w:rPr>
        <w:t xml:space="preserve">[A1] NDLEA, ‘101-year-old great grandma arrested…’, 23 Aug 2026. </w:t>
      </w:r>
      <w:r>
        <w:t>https://ndlea.gov.ng/blog/101-year-old-great-grandma-arrested-as-ndlea-intercepts-cocaine-in-fufu</w:t>
      </w:r>
    </w:p>
    <w:p>
      <w:pPr>
        <w:spacing w:after="80"/>
        <w:ind w:left="255" w:hanging="255"/>
      </w:pPr>
      <w:r>
        <w:rPr>
          <w:b/>
        </w:rPr>
        <w:t xml:space="preserve">[A2] National Academies, Communicating Science Effectively: A Research Agenda, 2017. </w:t>
      </w:r>
      <w:r>
        <w:t>https://doi.org/10.17226/23674</w:t>
      </w:r>
    </w:p>
    <w:p>
      <w:pPr>
        <w:spacing w:after="80"/>
        <w:ind w:left="255" w:hanging="255"/>
      </w:pPr>
      <w:r>
        <w:rPr>
          <w:b/>
        </w:rPr>
        <w:t xml:space="preserve">[A3] Rains, The Nature of Psychological Reactance Revisited: A Meta-Analytic Review, 2013. </w:t>
      </w:r>
      <w:r>
        <w:t>https://doi.org/10.1111/hcre.12008</w:t>
      </w:r>
    </w:p>
    <w:p>
      <w:pPr>
        <w:spacing w:after="80"/>
        <w:ind w:left="255" w:hanging="255"/>
      </w:pPr>
      <w:r>
        <w:rPr>
          <w:b/>
        </w:rPr>
        <w:t xml:space="preserve">[A4] Home Office, Wastewater Analysis: Estimating drug consumption, updated 12 Jun 2026. </w:t>
      </w:r>
      <w:r>
        <w:t>https://www.gov.uk/government/publications/wastewater-analysis-estimating-drug-consumption/wastewater-analysis-estimating-drug-consumption</w:t>
      </w:r>
    </w:p>
    <w:p>
      <w:pPr>
        <w:spacing w:after="80"/>
        <w:ind w:left="255" w:hanging="255"/>
      </w:pPr>
      <w:r>
        <w:rPr>
          <w:b/>
        </w:rPr>
        <w:t xml:space="preserve">[A5] Dame Carol Black, Review of Drugs Part Two, 2021. </w:t>
      </w:r>
      <w:r>
        <w:t>https://www.gov.uk/government/publications/review-of-drugs-phase-two-report/review-of-drugs-part-two-prevention-treatment-and-recovery</w:t>
      </w:r>
    </w:p>
    <w:p>
      <w:pPr>
        <w:spacing w:after="80"/>
        <w:ind w:left="255" w:hanging="255"/>
      </w:pPr>
      <w:r>
        <w:rPr>
          <w:b/>
        </w:rPr>
        <w:t xml:space="preserve">[A6] Nutt et al., Drug harms in the UK: multicriteria decision analysis, Lancet, 2010. </w:t>
      </w:r>
      <w:r>
        <w:t>https://doi.org/10.1016/S0140-6736(10)61462-6</w:t>
      </w:r>
    </w:p>
    <w:p>
      <w:pPr>
        <w:spacing w:after="80"/>
        <w:ind w:left="255" w:hanging="255"/>
      </w:pPr>
      <w:r>
        <w:rPr>
          <w:b/>
        </w:rPr>
        <w:t xml:space="preserve">[A7] WHO, Alcohol and cancer in the WHO European Region, 2023. </w:t>
      </w:r>
      <w:r>
        <w:t>https://www.who.int/europe/news-room/fact-sheets/item/alcohol-and-cancer</w:t>
      </w:r>
    </w:p>
    <w:p>
      <w:pPr>
        <w:spacing w:after="80"/>
        <w:ind w:left="255" w:hanging="255"/>
      </w:pPr>
      <w:r>
        <w:rPr>
          <w:b/>
        </w:rPr>
        <w:t xml:space="preserve">[A8] GMC, Good medical practice, effective 2024. </w:t>
      </w:r>
      <w:r>
        <w:t>https://www.gmc-uk.org/professional-standards/good-medical-practice-2024</w:t>
      </w:r>
    </w:p>
    <w:p>
      <w:pPr>
        <w:spacing w:after="80"/>
        <w:ind w:left="255" w:hanging="255"/>
      </w:pPr>
      <w:r>
        <w:rPr>
          <w:b/>
        </w:rPr>
        <w:t xml:space="preserve">[A9] UK Supreme Court, Montgomery v Lanarkshire Health Board [2015] UKSC 11. </w:t>
      </w:r>
      <w:r>
        <w:t>https://www.supremecourt.uk/cases/uksc-2013-0136</w:t>
      </w:r>
    </w:p>
    <w:p>
      <w:pPr>
        <w:spacing w:after="80"/>
        <w:ind w:left="255" w:hanging="255"/>
      </w:pPr>
      <w:r>
        <w:rPr>
          <w:b/>
        </w:rPr>
        <w:t xml:space="preserve">[S1] Home Office, List of most commonly encountered controlled drugs, current. </w:t>
      </w:r>
      <w:r>
        <w:t>https://www.gov.uk/government/publications/controlled-drugs-list--2/list-of-most-commonly-encountered-drugs-currently-controlled-under-the-misuse-of-drugs-legislation</w:t>
      </w:r>
    </w:p>
    <w:p>
      <w:pPr>
        <w:spacing w:after="80"/>
        <w:ind w:left="255" w:hanging="255"/>
      </w:pPr>
      <w:r>
        <w:rPr>
          <w:b/>
        </w:rPr>
        <w:t xml:space="preserve">[S2] NICE NG144, Cannabis-based medicinal products. </w:t>
      </w:r>
      <w:r>
        <w:t>https://www.nice.org.uk/guidance/ng144</w:t>
      </w:r>
    </w:p>
    <w:p>
      <w:pPr>
        <w:spacing w:after="80"/>
        <w:ind w:left="255" w:hanging="255"/>
      </w:pPr>
      <w:r>
        <w:rPr>
          <w:b/>
        </w:rPr>
        <w:t xml:space="preserve">[S3] NHS, Medical cannabis. </w:t>
      </w:r>
      <w:r>
        <w:t>https://www.nhs.uk/conditions/medical-cannabis/</w:t>
      </w:r>
    </w:p>
    <w:p>
      <w:pPr>
        <w:spacing w:after="80"/>
        <w:ind w:left="255" w:hanging="255"/>
      </w:pPr>
      <w:r>
        <w:rPr>
          <w:b/>
        </w:rPr>
        <w:t xml:space="preserve">[S4] Bahji et al., Ketamine for major depressive disorder: meta-analysis. </w:t>
      </w:r>
      <w:r>
        <w:t>https://doi.org/10.1016/j.jad.2021.02.040</w:t>
      </w:r>
    </w:p>
    <w:p>
      <w:pPr>
        <w:spacing w:after="80"/>
        <w:ind w:left="255" w:hanging="255"/>
      </w:pPr>
      <w:r>
        <w:rPr>
          <w:b/>
        </w:rPr>
        <w:t xml:space="preserve">[S5] Mitchell et al., MDMA-assisted therapy for severe PTSD, Nature Medicine, 2021. </w:t>
      </w:r>
      <w:r>
        <w:t>https://doi.org/10.1038/s41591-021-01336-3</w:t>
      </w:r>
    </w:p>
    <w:p>
      <w:pPr>
        <w:spacing w:after="80"/>
        <w:ind w:left="255" w:hanging="255"/>
      </w:pPr>
      <w:r>
        <w:rPr>
          <w:b/>
        </w:rPr>
        <w:t xml:space="preserve">[S6] Goodwin et al., Single-dose psilocybin for treatment-resistant depression, NEJM, 2022. </w:t>
      </w:r>
      <w:r>
        <w:t>https://doi.org/10.1056/NEJMoa2206443</w:t>
      </w:r>
    </w:p>
    <w:p>
      <w:pPr>
        <w:spacing w:after="80"/>
        <w:ind w:left="255" w:hanging="255"/>
      </w:pPr>
      <w:r>
        <w:rPr>
          <w:b/>
        </w:rPr>
        <w:t xml:space="preserve">[S7] NIDA, Hallucinogens DrugFacts. </w:t>
      </w:r>
      <w:r>
        <w:t>https://nida.nih.gov/publications/drugfacts/hallucinogens</w:t>
      </w:r>
    </w:p>
    <w:p>
      <w:pPr>
        <w:spacing w:after="80"/>
        <w:ind w:left="255" w:hanging="255"/>
      </w:pPr>
      <w:r>
        <w:rPr>
          <w:b/>
        </w:rPr>
        <w:t xml:space="preserve">[S8] Public Health England, Injectable opioid treatment: commissioning and developing a service. </w:t>
      </w:r>
      <w:r>
        <w:t>https://www.gov.uk/government/publications/injectable-opioid-treatment-commissioning-and-providing-services</w:t>
      </w:r>
    </w:p>
    <w:p>
      <w:pPr>
        <w:spacing w:after="80"/>
        <w:ind w:left="255" w:hanging="255"/>
      </w:pPr>
      <w:r>
        <w:rPr>
          <w:b/>
        </w:rPr>
        <w:t xml:space="preserve">[S9] Cocaine Hydrochloride Solution 10% w/v, Summary of Product Characteristics. </w:t>
      </w:r>
      <w:r>
        <w:t>https://www.medicines.org.uk/emc/product/3692/smpc</w:t>
      </w:r>
    </w:p>
    <w:p>
      <w:pPr>
        <w:spacing w:after="80"/>
        <w:ind w:left="255" w:hanging="255"/>
      </w:pPr>
      <w:r>
        <w:rPr>
          <w:b/>
        </w:rPr>
        <w:t xml:space="preserve">[S10] NICE NG87, Attention deficit hyperactivity disorder. </w:t>
      </w:r>
      <w:r>
        <w:t>https://www.nice.org.uk/guidance/ng87</w:t>
      </w:r>
    </w:p>
    <w:p>
      <w:pPr>
        <w:spacing w:after="80"/>
        <w:ind w:left="255" w:hanging="255"/>
      </w:pPr>
      <w:r>
        <w:rPr>
          <w:b/>
        </w:rPr>
        <w:t xml:space="preserve">[S11] US FDA, Desoxyn prescribing information. </w:t>
      </w:r>
      <w:r>
        <w:t>https://www.accessdata.fda.gov/drugsatfda_docs/label/2023/005378s032lbl.pdf</w:t>
      </w:r>
    </w:p>
    <w:p>
      <w:pPr>
        <w:spacing w:after="80"/>
        <w:ind w:left="255" w:hanging="255"/>
      </w:pPr>
      <w:r>
        <w:rPr>
          <w:b/>
        </w:rPr>
        <w:t xml:space="preserve">[S12] European Medicines Agency, Xyrem product information. </w:t>
      </w:r>
      <w:r>
        <w:t>https://www.ema.europa.eu/en/medicines/human/EPAR/xyrem</w:t>
      </w:r>
    </w:p>
    <w:p>
      <w:pPr>
        <w:spacing w:after="80"/>
        <w:ind w:left="255" w:hanging="255"/>
      </w:pPr>
      <w:r>
        <w:rPr>
          <w:b/>
        </w:rPr>
        <w:t xml:space="preserve">[S13] MHRA, Nitrous oxide: neurological and haematological toxic effects. </w:t>
      </w:r>
      <w:r>
        <w:t>https://www.gov.uk/drug-safety-update/nitrous-oxide-neurological-and-haematological-toxic-effects</w:t>
      </w:r>
    </w:p>
    <w:p>
      <w:pPr>
        <w:spacing w:after="80"/>
        <w:ind w:left="255" w:hanging="255"/>
      </w:pPr>
      <w:r>
        <w:rPr>
          <w:b/>
        </w:rPr>
        <w:t xml:space="preserve">[S14] EUDA, 2C-B drug profile. </w:t>
      </w:r>
      <w:r>
        <w:t>https://www.euda.europa.eu/publications/drug-profiles/2c-b_en</w:t>
      </w:r>
    </w:p>
    <w:p>
      <w:pPr>
        <w:spacing w:after="80"/>
        <w:ind w:left="255" w:hanging="255"/>
      </w:pPr>
      <w:r>
        <w:rPr>
          <w:b/>
        </w:rPr>
        <w:t xml:space="preserve">[S15] ACMD, Consideration of the cathinones, 2010. </w:t>
      </w:r>
      <w:r>
        <w:t>https://www.gov.uk/government/publications/acmd-report-on-the-consideration-of-the-cathinones</w:t>
      </w:r>
    </w:p>
    <w:p>
      <w:pPr>
        <w:spacing w:after="80"/>
        <w:ind w:left="255" w:hanging="255"/>
      </w:pPr>
      <w:r>
        <w:rPr>
          <w:b/>
        </w:rPr>
        <w:t xml:space="preserve">[S16] ACMD, Synthetic cannabinoid receptor agonists. </w:t>
      </w:r>
      <w:r>
        <w:t>https://www.gov.uk/government/publications/synthetic-cannabinoid-receptor-agonists</w:t>
      </w:r>
    </w:p>
    <w:p>
      <w:pPr>
        <w:spacing w:after="80"/>
        <w:ind w:left="255" w:hanging="255"/>
      </w:pPr>
      <w:r>
        <w:rPr>
          <w:b/>
        </w:rPr>
        <w:t xml:space="preserve">[S17] NICE CG52, Drug misuse in over 16s: opioid detoxification. </w:t>
      </w:r>
      <w:r>
        <w:t>https://www.nice.org.uk/guidance/cg52</w:t>
      </w:r>
    </w:p>
    <w:p>
      <w:pPr>
        <w:spacing w:after="80"/>
        <w:ind w:left="255" w:hanging="255"/>
      </w:pPr>
      <w:r>
        <w:rPr>
          <w:b/>
        </w:rPr>
        <w:t xml:space="preserve">[M1] NICE NG215, Medicines associated with dependence or withdrawal symptoms. </w:t>
      </w:r>
      <w:r>
        <w:t>https://www.nice.org.uk/guidance/ng215</w:t>
      </w:r>
    </w:p>
    <w:p>
      <w:pPr>
        <w:spacing w:after="80"/>
        <w:ind w:left="255" w:hanging="255"/>
      </w:pPr>
      <w:r>
        <w:rPr>
          <w:b/>
        </w:rPr>
        <w:t xml:space="preserve">[M2] MHRA, Improving information supplied with gabapentinoids, benzodiazepines and Z-drugs, 2026. </w:t>
      </w:r>
      <w:r>
        <w:t>https://www.gov.uk/drug-safety-update/improving-information-supplied-with-gabapentinoids-pregabalin-slash-gabapentin-benzodiazepines-and-z-drugs</w:t>
      </w:r>
    </w:p>
    <w:p>
      <w:pPr>
        <w:spacing w:after="80"/>
        <w:ind w:left="255" w:hanging="255"/>
      </w:pPr>
      <w:r>
        <w:rPr>
          <w:b/>
        </w:rPr>
        <w:t xml:space="preserve">[M3] NICE NG222, Depression in adults. </w:t>
      </w:r>
      <w:r>
        <w:t>https://www.nice.org.uk/guidance/ng222</w:t>
      </w:r>
    </w:p>
    <w:p>
      <w:pPr>
        <w:spacing w:after="80"/>
        <w:ind w:left="255" w:hanging="255"/>
      </w:pPr>
      <w:r>
        <w:rPr>
          <w:b/>
        </w:rPr>
        <w:t xml:space="preserve">[M4] NICE CG178, Psychosis and schizophrenia in adults. </w:t>
      </w:r>
      <w:r>
        <w:t>https://www.nice.org.uk/guidance/cg178</w:t>
      </w:r>
    </w:p>
    <w:p>
      <w:pPr>
        <w:spacing w:after="80"/>
        <w:ind w:left="255" w:hanging="255"/>
      </w:pPr>
      <w:r>
        <w:rPr>
          <w:b/>
        </w:rPr>
        <w:t xml:space="preserve">[M5] NICE CG185, Bipolar disorder. </w:t>
      </w:r>
      <w:r>
        <w:t>https://www.nice.org.uk/guidance/cg185</w:t>
      </w:r>
    </w:p>
    <w:p>
      <w:pPr>
        <w:spacing w:after="80"/>
        <w:ind w:left="255" w:hanging="255"/>
      </w:pPr>
      <w:r>
        <w:rPr>
          <w:b/>
        </w:rPr>
        <w:t xml:space="preserve">[M6] MHRA, Valproate safety measures. </w:t>
      </w:r>
      <w:r>
        <w:t>https://www.gov.uk/guidance/valproate-use-by-women-and-girls</w:t>
      </w:r>
    </w:p>
    <w:p>
      <w:pPr>
        <w:spacing w:after="80"/>
        <w:ind w:left="255" w:hanging="255"/>
      </w:pPr>
      <w:r>
        <w:rPr>
          <w:b/>
        </w:rPr>
        <w:t xml:space="preserve">[M7] NICE NG217, Epilepsies in children, young people and adults. </w:t>
      </w:r>
      <w:r>
        <w:t>https://www.nice.org.uk/guidance/ng217</w:t>
      </w:r>
    </w:p>
    <w:p>
      <w:pPr>
        <w:spacing w:after="80"/>
        <w:ind w:left="255" w:hanging="255"/>
      </w:pPr>
      <w:r>
        <w:rPr>
          <w:b/>
        </w:rPr>
        <w:t xml:space="preserve">[M8] MHRA, Opioids: risk of dependence and addiction. </w:t>
      </w:r>
      <w:r>
        <w:t>https://www.gov.uk/drug-safety-update/opioids-risk-of-dependence-and-addiction</w:t>
      </w:r>
    </w:p>
    <w:p>
      <w:pPr>
        <w:spacing w:after="80"/>
        <w:ind w:left="255" w:hanging="255"/>
      </w:pPr>
      <w:r>
        <w:rPr>
          <w:b/>
        </w:rPr>
        <w:t xml:space="preserve">[M9] NHS, Paracetamol for adults. </w:t>
      </w:r>
      <w:r>
        <w:t>https://www.nhs.uk/medicines/paracetamol-for-adults/</w:t>
      </w:r>
    </w:p>
    <w:p>
      <w:pPr>
        <w:spacing w:after="80"/>
        <w:ind w:left="255" w:hanging="255"/>
      </w:pPr>
      <w:r>
        <w:rPr>
          <w:b/>
        </w:rPr>
        <w:t xml:space="preserve">[M10] MHRA, NSAIDs and cardiovascular safety. </w:t>
      </w:r>
      <w:r>
        <w:t>https://www.gov.uk/drug-safety-update/non-steroidal-anti-inflammatory-drugs-nsaids-cardiovascular-risks</w:t>
      </w:r>
    </w:p>
    <w:p>
      <w:pPr>
        <w:spacing w:after="80"/>
        <w:ind w:left="255" w:hanging="255"/>
      </w:pPr>
      <w:r>
        <w:rPr>
          <w:b/>
        </w:rPr>
        <w:t xml:space="preserve">[M11] NICE NG196, Atrial fibrillation: diagnosis and management. </w:t>
      </w:r>
      <w:r>
        <w:t>https://www.nice.org.uk/guidance/ng196</w:t>
      </w:r>
    </w:p>
    <w:p>
      <w:pPr>
        <w:spacing w:after="80"/>
        <w:ind w:left="255" w:hanging="255"/>
      </w:pPr>
      <w:r>
        <w:rPr>
          <w:b/>
        </w:rPr>
        <w:t xml:space="preserve">[M12] NHS, Steroids. </w:t>
      </w:r>
      <w:r>
        <w:t>https://www.nhs.uk/conditions/steroids/</w:t>
      </w:r>
    </w:p>
    <w:p>
      <w:pPr>
        <w:spacing w:after="80"/>
        <w:ind w:left="255" w:hanging="255"/>
      </w:pPr>
      <w:r>
        <w:rPr>
          <w:b/>
        </w:rPr>
        <w:t xml:space="preserve">[M13] NHS, Methotrexate. </w:t>
      </w:r>
      <w:r>
        <w:t>https://www.nhs.uk/medicines/methotrexate/</w:t>
      </w:r>
    </w:p>
    <w:sectPr w:rsidR="00FC693F" w:rsidRPr="0006063C" w:rsidSect="00034616">
      <w:headerReference w:type="default" r:id="rId9"/>
      <w:footerReference w:type="default" r:id="rId10"/>
      <w:pgSz w:w="11906" w:h="16838"/>
      <w:pgMar w:top="1020" w:right="992" w:bottom="964"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215B45"/>
        <w:sz w:val="15"/>
      </w:rPr>
      <w:t xml:space="preserve">Open research · Revised evidence edition · 26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215B45"/>
        <w:sz w:val="15"/>
      </w:rPr>
      <w:t>THE GREEN TANK  /  PART I · FROM PUNISHMENT TO CARE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733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215B45"/>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32A"/>
      <w:sz w:val="30"/>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215B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rial" w:hAnsi="Arial"/>
      <w:b/>
      <w:color w:val="17332A"/>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