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60"/>
      </w:pPr>
    </w:p>
    <w:p>
      <w:pPr>
        <w:jc w:val="left"/>
        <w:pBdr>
          <w:bottom w:val="single" w:sz="18" w:space="8" w:color="0C7C86"/>
        </w:pBdr>
      </w:pPr>
      <w:r>
        <w:rPr>
          <w:b/>
          <w:color w:val="0C7C86"/>
          <w:sz w:val="20"/>
        </w:rPr>
        <w:t>POLICY &amp; OPERATIONS STUDY</w:t>
      </w:r>
    </w:p>
    <w:p>
      <w:pPr>
        <w:pStyle w:val="Title"/>
      </w:pPr>
      <w:r>
        <w:t>Neighbourhood communal recycling bins</w:t>
      </w:r>
    </w:p>
    <w:p>
      <w:pPr>
        <w:pStyle w:val="Subtitle"/>
      </w:pPr>
      <w:r>
        <w:t>A neutral UK feasibility paper with an editable collection-cost simulation</w:t>
      </w:r>
    </w:p>
    <w:p>
      <w:pPr>
        <w:spacing w:after="160"/>
      </w:pPr>
    </w:p>
    <w:tbl>
      <w:tblPr>
        <w:tblW w:type="auto" w:w="0"/>
        <w:jc w:val="center"/>
        <w:tblLayout w:type="fixed"/>
        <w:tblLook w:firstColumn="1" w:firstRow="1" w:lastColumn="0" w:lastRow="0" w:noHBand="0" w:noVBand="1" w:val="04A0"/>
      </w:tblPr>
      <w:tblGrid>
        <w:gridCol w:w="9936"/>
      </w:tblGrid>
      <w:tr>
        <w:trPr>
          <w:cantSplit/>
        </w:trPr>
        <w:tc>
          <w:tcPr>
            <w:tcW w:type="dxa" w:w="9792"/>
            <w:shd w:fill="EAF4F4"/>
            <w:tcMar>
              <w:top w:w="160" w:type="dxa"/>
              <w:start w:w="180" w:type="dxa"/>
              <w:bottom w:w="160" w:type="dxa"/>
              <w:end w:w="180" w:type="dxa"/>
            </w:tcMar>
          </w:tcPr>
          <w:p>
            <w:pPr>
              <w:pStyle w:val="Callout"/>
            </w:pPr>
            <w:r>
              <w:rPr>
                <w:color w:val="15344A"/>
              </w:rPr>
              <w:t>Finding: the idea is financially plausible on dense, carefully selected streets—but the evidence does not support a blanket UK rollout.</w:t>
            </w:r>
          </w:p>
        </w:tc>
      </w:tr>
    </w:tbl>
    <w:p>
      <w:pPr>
        <w:spacing w:after="0"/>
      </w:pPr>
    </w:p>
    <w:tbl>
      <w:tblPr>
        <w:tblStyle w:val="TableGrid"/>
        <w:tblW w:type="auto" w:w="0"/>
        <w:jc w:val="center"/>
        <w:tblLayout w:type="fixed"/>
        <w:tblLook w:firstColumn="1" w:firstRow="1" w:lastColumn="0" w:lastRow="0" w:noHBand="0" w:noVBand="1" w:val="04A0"/>
      </w:tblPr>
      <w:tblGrid>
        <w:gridCol w:w="4968"/>
        <w:gridCol w:w="4968"/>
      </w:tblGrid>
      <w:tr>
        <w:trPr>
          <w:tblHeader w:val="true"/>
          <w:cantSplit/>
        </w:trPr>
        <w:tc>
          <w:tcPr>
            <w:tcW w:type="dxa" w:w="6912"/>
            <w:shd w:fill="15344A"/>
            <w:tcMar>
              <w:top w:w="100" w:type="dxa"/>
              <w:start w:w="120" w:type="dxa"/>
              <w:bottom w:w="100" w:type="dxa"/>
              <w:end w:w="120" w:type="dxa"/>
            </w:tcMar>
          </w:tcPr>
          <w:p>
            <w:pPr>
              <w:jc w:val="left"/>
            </w:pPr>
            <w:r>
              <w:rPr>
                <w:b/>
                <w:color w:val="FFFFFF"/>
                <w:sz w:val="19"/>
              </w:rPr>
              <w:t>Central model — 10,000 households</w:t>
            </w:r>
          </w:p>
        </w:tc>
        <w:tc>
          <w:tcPr>
            <w:tcW w:type="dxa" w:w="2880"/>
            <w:shd w:fill="15344A"/>
            <w:tcMar>
              <w:top w:w="100" w:type="dxa"/>
              <w:start w:w="120" w:type="dxa"/>
              <w:bottom w:w="100" w:type="dxa"/>
              <w:end w:w="120" w:type="dxa"/>
            </w:tcMar>
          </w:tcPr>
          <w:p>
            <w:pPr>
              <w:jc w:val="left"/>
            </w:pPr>
            <w:r>
              <w:rPr>
                <w:b/>
                <w:color w:val="FFFFFF"/>
                <w:sz w:val="19"/>
              </w:rPr>
              <w:t>Result</w:t>
            </w:r>
          </w:p>
        </w:tc>
      </w:tr>
      <w:tr>
        <w:trPr>
          <w:cantSplit/>
        </w:trPr>
        <w:tc>
          <w:tcPr>
            <w:tcW w:type="dxa" w:w="6912"/>
            <w:vAlign w:val="center"/>
            <w:tcMar>
              <w:top w:w="100" w:type="dxa"/>
              <w:start w:w="120" w:type="dxa"/>
              <w:bottom w:w="100" w:type="dxa"/>
              <w:end w:w="120" w:type="dxa"/>
            </w:tcMar>
          </w:tcPr>
          <w:p>
            <w:r>
              <w:rPr>
                <w:sz w:val="19"/>
              </w:rPr>
              <w:t>Collection stop-hours avoided each year</w:t>
            </w:r>
          </w:p>
        </w:tc>
        <w:tc>
          <w:tcPr>
            <w:tcW w:type="dxa" w:w="2880"/>
            <w:vAlign w:val="center"/>
            <w:tcMar>
              <w:top w:w="100" w:type="dxa"/>
              <w:start w:w="120" w:type="dxa"/>
              <w:bottom w:w="100" w:type="dxa"/>
              <w:end w:w="120" w:type="dxa"/>
            </w:tcMar>
          </w:tcPr>
          <w:p>
            <w:pPr>
              <w:jc w:val="right"/>
            </w:pPr>
            <w:r>
              <w:rPr>
                <w:sz w:val="19"/>
              </w:rPr>
              <w:t>2,528 hours (62.5%)</w:t>
            </w:r>
          </w:p>
        </w:tc>
      </w:tr>
      <w:tr>
        <w:trPr>
          <w:cantSplit/>
        </w:trPr>
        <w:tc>
          <w:tcPr>
            <w:tcW w:type="dxa" w:w="6912"/>
            <w:shd w:fill="F3F5F6"/>
            <w:vAlign w:val="center"/>
            <w:tcMar>
              <w:top w:w="100" w:type="dxa"/>
              <w:start w:w="120" w:type="dxa"/>
              <w:bottom w:w="100" w:type="dxa"/>
              <w:end w:w="120" w:type="dxa"/>
            </w:tcMar>
          </w:tcPr>
          <w:p>
            <w:r>
              <w:rPr>
                <w:sz w:val="19"/>
              </w:rPr>
              <w:t>Gross collection-route saving</w:t>
            </w:r>
          </w:p>
        </w:tc>
        <w:tc>
          <w:tcPr>
            <w:tcW w:type="dxa" w:w="2880"/>
            <w:shd w:fill="F3F5F6"/>
            <w:vAlign w:val="center"/>
            <w:tcMar>
              <w:top w:w="100" w:type="dxa"/>
              <w:start w:w="120" w:type="dxa"/>
              <w:bottom w:w="100" w:type="dxa"/>
              <w:end w:w="120" w:type="dxa"/>
            </w:tcMar>
          </w:tcPr>
          <w:p>
            <w:pPr>
              <w:jc w:val="right"/>
            </w:pPr>
            <w:r>
              <w:rPr>
                <w:sz w:val="19"/>
              </w:rPr>
              <w:t>£323,783</w:t>
            </w:r>
          </w:p>
        </w:tc>
      </w:tr>
      <w:tr>
        <w:trPr>
          <w:cantSplit/>
        </w:trPr>
        <w:tc>
          <w:tcPr>
            <w:tcW w:type="dxa" w:w="6912"/>
            <w:vAlign w:val="center"/>
            <w:tcMar>
              <w:top w:w="100" w:type="dxa"/>
              <w:start w:w="120" w:type="dxa"/>
              <w:bottom w:w="100" w:type="dxa"/>
              <w:end w:w="120" w:type="dxa"/>
            </w:tcMar>
          </w:tcPr>
          <w:p>
            <w:r>
              <w:rPr>
                <w:sz w:val="19"/>
              </w:rPr>
              <w:t>Added annualised hub-system costs</w:t>
            </w:r>
          </w:p>
        </w:tc>
        <w:tc>
          <w:tcPr>
            <w:tcW w:type="dxa" w:w="2880"/>
            <w:vAlign w:val="center"/>
            <w:tcMar>
              <w:top w:w="100" w:type="dxa"/>
              <w:start w:w="120" w:type="dxa"/>
              <w:bottom w:w="100" w:type="dxa"/>
              <w:end w:w="120" w:type="dxa"/>
            </w:tcMar>
          </w:tcPr>
          <w:p>
            <w:pPr>
              <w:jc w:val="right"/>
            </w:pPr>
            <w:r>
              <w:rPr>
                <w:sz w:val="19"/>
              </w:rPr>
              <w:t>£312,299</w:t>
            </w:r>
          </w:p>
        </w:tc>
      </w:tr>
      <w:tr>
        <w:trPr>
          <w:cantSplit/>
        </w:trPr>
        <w:tc>
          <w:tcPr>
            <w:tcW w:type="dxa" w:w="6912"/>
            <w:shd w:fill="F3F5F6"/>
            <w:vAlign w:val="center"/>
            <w:tcMar>
              <w:top w:w="100" w:type="dxa"/>
              <w:start w:w="120" w:type="dxa"/>
              <w:bottom w:w="100" w:type="dxa"/>
              <w:end w:w="120" w:type="dxa"/>
            </w:tcMar>
          </w:tcPr>
          <w:p>
            <w:r>
              <w:rPr>
                <w:sz w:val="19"/>
              </w:rPr>
              <w:t>Net annual result</w:t>
            </w:r>
          </w:p>
        </w:tc>
        <w:tc>
          <w:tcPr>
            <w:tcW w:type="dxa" w:w="2880"/>
            <w:shd w:fill="F3F5F6"/>
            <w:vAlign w:val="center"/>
            <w:tcMar>
              <w:top w:w="100" w:type="dxa"/>
              <w:start w:w="120" w:type="dxa"/>
              <w:bottom w:w="100" w:type="dxa"/>
              <w:end w:w="120" w:type="dxa"/>
            </w:tcMar>
          </w:tcPr>
          <w:p>
            <w:pPr>
              <w:jc w:val="right"/>
            </w:pPr>
            <w:r>
              <w:rPr>
                <w:sz w:val="19"/>
              </w:rPr>
              <w:t>+£11,484  |  +£1.15/household</w:t>
            </w:r>
          </w:p>
        </w:tc>
      </w:tr>
      <w:tr>
        <w:trPr>
          <w:cantSplit/>
        </w:trPr>
        <w:tc>
          <w:tcPr>
            <w:tcW w:type="dxa" w:w="6912"/>
            <w:vAlign w:val="center"/>
            <w:tcMar>
              <w:top w:w="100" w:type="dxa"/>
              <w:start w:w="120" w:type="dxa"/>
              <w:bottom w:w="100" w:type="dxa"/>
              <w:end w:w="120" w:type="dxa"/>
            </w:tcMar>
          </w:tcPr>
          <w:p>
            <w:r>
              <w:rPr>
                <w:sz w:val="19"/>
              </w:rPr>
              <w:t>Diesel / operational emissions avoided</w:t>
            </w:r>
          </w:p>
        </w:tc>
        <w:tc>
          <w:tcPr>
            <w:tcW w:type="dxa" w:w="2880"/>
            <w:vAlign w:val="center"/>
            <w:tcMar>
              <w:top w:w="100" w:type="dxa"/>
              <w:start w:w="120" w:type="dxa"/>
              <w:bottom w:w="100" w:type="dxa"/>
              <w:end w:w="120" w:type="dxa"/>
            </w:tcMar>
          </w:tcPr>
          <w:p>
            <w:pPr>
              <w:jc w:val="right"/>
            </w:pPr>
            <w:r>
              <w:rPr>
                <w:sz w:val="19"/>
              </w:rPr>
              <w:t>22,244 litres  |  57.5 tCO₂e</w:t>
            </w:r>
          </w:p>
        </w:tc>
      </w:tr>
      <w:tr>
        <w:trPr>
          <w:cantSplit/>
        </w:trPr>
        <w:tc>
          <w:tcPr>
            <w:tcW w:type="dxa" w:w="6912"/>
            <w:shd w:fill="F3F5F6"/>
            <w:vAlign w:val="center"/>
            <w:tcMar>
              <w:top w:w="100" w:type="dxa"/>
              <w:start w:w="120" w:type="dxa"/>
              <w:bottom w:w="100" w:type="dxa"/>
              <w:end w:w="120" w:type="dxa"/>
            </w:tcMar>
          </w:tcPr>
          <w:p>
            <w:r>
              <w:rPr>
                <w:sz w:val="19"/>
              </w:rPr>
              <w:t>Modelled break-even density</w:t>
            </w:r>
          </w:p>
        </w:tc>
        <w:tc>
          <w:tcPr>
            <w:tcW w:type="dxa" w:w="2880"/>
            <w:shd w:fill="F3F5F6"/>
            <w:vAlign w:val="center"/>
            <w:tcMar>
              <w:top w:w="100" w:type="dxa"/>
              <w:start w:w="120" w:type="dxa"/>
              <w:bottom w:w="100" w:type="dxa"/>
              <w:end w:w="120" w:type="dxa"/>
            </w:tcMar>
          </w:tcPr>
          <w:p>
            <w:pPr>
              <w:jc w:val="right"/>
            </w:pPr>
            <w:r>
              <w:rPr>
                <w:sz w:val="19"/>
              </w:rPr>
              <w:t>about 39 households per hub</w:t>
            </w:r>
          </w:p>
        </w:tc>
      </w:tr>
    </w:tbl>
    <w:p>
      <w:pPr>
        <w:spacing w:after="0"/>
      </w:pPr>
    </w:p>
    <w:p>
      <w:pPr>
        <w:spacing w:before="240"/>
      </w:pPr>
      <w:r>
        <w:rPr>
          <w:color w:val="52636E"/>
        </w:rPr>
        <w:t>Prepared as an independent concept test  •  26 August 2026</w:t>
      </w:r>
    </w:p>
    <w:p>
      <w:pPr>
        <w:pStyle w:val="CaptionSmall"/>
      </w:pPr>
      <w:r>
        <w:t>Geographic basis: operational and waste-volume baseline for England, with supporting case evidence from England and Scotland. Waste policy is devolved, so local legal and service requirements must be checked.</w:t>
      </w:r>
    </w:p>
    <w:p>
      <w:r>
        <w:br w:type="page"/>
      </w:r>
    </w:p>
    <w:p>
      <w:pPr>
        <w:pStyle w:val="Heading1"/>
      </w:pPr>
      <w:r>
        <w:t>Abstract</w:t>
      </w:r>
    </w:p>
    <w:p>
      <w:pPr>
        <w:keepLines/>
      </w:pPr>
      <w:r>
        <w:t>This paper examines a proposal to replace or supplement household-by-household recycling collections with shared neighbourhood bins on selected roads. The intended mechanism is straightforward: residents carry separated material a short distance to secure communal hubs; crews empty fewer, larger containers; saved stop time could fund weekly collection while reducing vehicle hours, fuel use and in-home storage.</w:t>
      </w:r>
    </w:p>
    <w:p>
      <w:pPr>
        <w:keepLines/>
      </w:pPr>
      <w:r>
        <w:t>A transparent annual model for 10,000 households compares a fortnightly kerbside baseline with weekly communal-hub collection. Under central assumptions—40 households per hub, 250 hubs, 7.0 minutes to service each hub and £128.09 per vehicle-hour—the collection operation saves about 2,528 stop-hours and £323,783. After annualised container/site capital, cleaning, maintenance, administration and a contamination allowance, the result is a small £11,484 saving. The outcome is fragile: the modelled break-even point is approximately 39 households per hub, and difficult dense or lower-density cases lose around £78–£82 per household annually. A 5,000-draw uncertainty test is positive in 54.1% of model draws; this is a sensitivity share, not an empirical probability of success.</w:t>
      </w:r>
    </w:p>
    <w:p>
      <w:pPr>
        <w:keepLines/>
      </w:pPr>
      <w:r>
        <w:t>The balanced conclusion is that communal hubs can work as a targeted dense-street intervention, particularly where residents currently store sacks or bins indoors and collection vehicles make many slow stops. They should not be presumed suitable for suburban, rural or access-constrained streets. A controlled pilot with resident-choice safeguards, accessibility design and pre-agreed pass/fail gates is warranted; a universal conversion is not.</w:t>
      </w:r>
    </w:p>
    <w:p>
      <w:pPr>
        <w:pStyle w:val="Heading2"/>
      </w:pPr>
      <w:r>
        <w:t>Research question</w:t>
      </w:r>
    </w:p>
    <w:tbl>
      <w:tblPr>
        <w:tblW w:type="auto" w:w="0"/>
        <w:jc w:val="center"/>
        <w:tblLayout w:type="fixed"/>
        <w:tblLook w:firstColumn="1" w:firstRow="1" w:lastColumn="0" w:lastRow="0" w:noHBand="0" w:noVBand="1" w:val="04A0"/>
      </w:tblPr>
      <w:tblGrid>
        <w:gridCol w:w="9936"/>
      </w:tblGrid>
      <w:tr>
        <w:trPr>
          <w:cantSplit/>
        </w:trPr>
        <w:tc>
          <w:tcPr>
            <w:tcW w:type="dxa" w:w="9792"/>
            <w:shd w:fill="EAF4F4"/>
            <w:tcMar>
              <w:top w:w="160" w:type="dxa"/>
              <w:start w:w="180" w:type="dxa"/>
              <w:bottom w:w="160" w:type="dxa"/>
              <w:end w:w="180" w:type="dxa"/>
            </w:tcMar>
          </w:tcPr>
          <w:p>
            <w:pPr>
              <w:pStyle w:val="Callout"/>
            </w:pPr>
            <w:r>
              <w:rPr>
                <w:color w:val="15344A"/>
              </w:rPr>
              <w:t>Can shared road-level recycling hubs make weekly collection possible while lowering total cost and fuel use—and, if not, where do the extra costs appear?</w:t>
            </w:r>
          </w:p>
        </w:tc>
      </w:tr>
    </w:tbl>
    <w:p>
      <w:pPr>
        <w:spacing w:after="0"/>
      </w:pPr>
    </w:p>
    <w:p>
      <w:pPr>
        <w:pStyle w:val="Heading2"/>
      </w:pPr>
      <w:r>
        <w:t>Scope and interpretation</w:t>
      </w:r>
    </w:p>
    <w:p>
      <w:pPr>
        <w:pStyle w:val="ListBullet"/>
        <w:spacing w:after="60"/>
      </w:pPr>
      <w:r>
        <w:t>Included: collection stop time, vehicle-hour cost, fuel and operational emissions, annualised hub capital, cleaning/maintenance, administration and a contamination-cost allowance.</w:t>
      </w:r>
    </w:p>
    <w:p>
      <w:pPr>
        <w:pStyle w:val="ListBullet"/>
        <w:spacing w:after="60"/>
      </w:pPr>
      <w:r>
        <w:t>Not claimed: a full authority business case, route-engineered mileage estimate, land valuation, treatment-contract repricing, parking revenue effects, fire-engineering design, or monetised resident time.</w:t>
      </w:r>
    </w:p>
    <w:p>
      <w:pPr>
        <w:pStyle w:val="ListBullet"/>
        <w:spacing w:after="60"/>
      </w:pPr>
      <w:r>
        <w:t>The model is a decision aid. Local route, fleet, wage, container, access and participation data should replace every central input before procurement.</w:t>
      </w:r>
    </w:p>
    <w:p>
      <w:r>
        <w:br w:type="page"/>
      </w:r>
    </w:p>
    <w:p>
      <w:pPr>
        <w:pStyle w:val="Heading1"/>
      </w:pPr>
      <w:r>
        <w:t>1. Policy and service context</w:t>
      </w:r>
    </w:p>
    <w:p>
      <w:pPr>
        <w:pStyle w:val="Heading2"/>
      </w:pPr>
      <w:r>
        <w:t>Waste volumes and collection duties</w:t>
      </w:r>
    </w:p>
    <w:p>
      <w:pPr>
        <w:keepLines/>
      </w:pPr>
      <w:r>
        <w:t>England generated 21.9 million tonnes of total household waste in 2024/25, equivalent to 376 kg per person. The household recycling rate was 43.8%; dry recycling represented 25.2% of total household waste and residual waste 56.2% [1]. Section 45 of the Environmental Protection Act 1990 establishes local-authority collection duties, while collection arrangements and charges remain governed by the statutory framework and local circumstances [11].</w:t>
      </w:r>
    </w:p>
    <w:p>
      <w:pPr>
        <w:keepLines/>
      </w:pPr>
      <w:r>
        <w:t>In England, Simpler Recycling requires local authorities to collect the core recyclable waste streams and to provide weekly food-waste collection. Government guidance explicitly recognises that communal on-site bins may be appropriate for some flats [2]. Scotland, Wales and Northern Ireland have different policy and regulatory settings, so “UK simulation” here means UK-relevant operational evidence with an England numerical baseline—not one harmonised statutory scheme.</w:t>
      </w:r>
    </w:p>
    <w:p>
      <w:pPr>
        <w:pStyle w:val="Heading2"/>
      </w:pPr>
      <w:r>
        <w:t>Existing UK practice</w:t>
      </w:r>
    </w:p>
    <w:tbl>
      <w:tblPr>
        <w:tblStyle w:val="TableGrid"/>
        <w:tblW w:type="auto" w:w="0"/>
        <w:jc w:val="center"/>
        <w:tblLayout w:type="fixed"/>
        <w:tblLook w:firstColumn="1" w:firstRow="1" w:lastColumn="0" w:lastRow="0" w:noHBand="0" w:noVBand="1" w:val="04A0"/>
      </w:tblPr>
      <w:tblGrid>
        <w:gridCol w:w="3312"/>
        <w:gridCol w:w="3312"/>
        <w:gridCol w:w="3312"/>
      </w:tblGrid>
      <w:tr>
        <w:trPr>
          <w:tblHeader w:val="true"/>
          <w:cantSplit/>
        </w:trPr>
        <w:tc>
          <w:tcPr>
            <w:tcW w:type="dxa" w:w="1440"/>
            <w:shd w:fill="15344A"/>
            <w:tcMar>
              <w:top w:w="100" w:type="dxa"/>
              <w:start w:w="120" w:type="dxa"/>
              <w:bottom w:w="100" w:type="dxa"/>
              <w:end w:w="120" w:type="dxa"/>
            </w:tcMar>
          </w:tcPr>
          <w:p>
            <w:pPr>
              <w:jc w:val="left"/>
            </w:pPr>
            <w:r>
              <w:rPr>
                <w:b/>
                <w:color w:val="FFFFFF"/>
                <w:sz w:val="16"/>
              </w:rPr>
              <w:t>Place</w:t>
            </w:r>
          </w:p>
        </w:tc>
        <w:tc>
          <w:tcPr>
            <w:tcW w:type="dxa" w:w="3744"/>
            <w:shd w:fill="15344A"/>
            <w:tcMar>
              <w:top w:w="100" w:type="dxa"/>
              <w:start w:w="120" w:type="dxa"/>
              <w:bottom w:w="100" w:type="dxa"/>
              <w:end w:w="120" w:type="dxa"/>
            </w:tcMar>
          </w:tcPr>
          <w:p>
            <w:pPr>
              <w:jc w:val="left"/>
            </w:pPr>
            <w:r>
              <w:rPr>
                <w:b/>
                <w:color w:val="FFFFFF"/>
                <w:sz w:val="16"/>
              </w:rPr>
              <w:t>Observed approach</w:t>
            </w:r>
          </w:p>
        </w:tc>
        <w:tc>
          <w:tcPr>
            <w:tcW w:type="dxa" w:w="4608"/>
            <w:shd w:fill="15344A"/>
            <w:tcMar>
              <w:top w:w="100" w:type="dxa"/>
              <w:start w:w="120" w:type="dxa"/>
              <w:bottom w:w="100" w:type="dxa"/>
              <w:end w:w="120" w:type="dxa"/>
            </w:tcMar>
          </w:tcPr>
          <w:p>
            <w:pPr>
              <w:jc w:val="left"/>
            </w:pPr>
            <w:r>
              <w:rPr>
                <w:b/>
                <w:color w:val="FFFFFF"/>
                <w:sz w:val="16"/>
              </w:rPr>
              <w:t>What it contributes</w:t>
            </w:r>
          </w:p>
        </w:tc>
      </w:tr>
      <w:tr>
        <w:trPr>
          <w:cantSplit/>
        </w:trPr>
        <w:tc>
          <w:tcPr>
            <w:tcW w:type="dxa" w:w="1440"/>
            <w:vAlign w:val="center"/>
            <w:tcMar>
              <w:top w:w="100" w:type="dxa"/>
              <w:start w:w="120" w:type="dxa"/>
              <w:bottom w:w="100" w:type="dxa"/>
              <w:end w:w="120" w:type="dxa"/>
            </w:tcMar>
          </w:tcPr>
          <w:p>
            <w:r>
              <w:rPr>
                <w:sz w:val="16"/>
              </w:rPr>
              <w:t>Glasgow</w:t>
            </w:r>
          </w:p>
        </w:tc>
        <w:tc>
          <w:tcPr>
            <w:tcW w:type="dxa" w:w="3744"/>
            <w:vAlign w:val="center"/>
            <w:tcMar>
              <w:top w:w="100" w:type="dxa"/>
              <w:start w:w="120" w:type="dxa"/>
              <w:bottom w:w="100" w:type="dxa"/>
              <w:end w:w="120" w:type="dxa"/>
            </w:tcMar>
          </w:tcPr>
          <w:p>
            <w:r>
              <w:rPr>
                <w:sz w:val="16"/>
              </w:rPr>
              <w:t>Neighbourhood bin hubs; average around 40 flats per hub. General waste reportedly every 4 days; other streams every 8 days.</w:t>
            </w:r>
          </w:p>
        </w:tc>
        <w:tc>
          <w:tcPr>
            <w:tcW w:type="dxa" w:w="4608"/>
            <w:vAlign w:val="center"/>
            <w:tcMar>
              <w:top w:w="100" w:type="dxa"/>
              <w:start w:w="120" w:type="dxa"/>
              <w:bottom w:w="100" w:type="dxa"/>
              <w:end w:w="120" w:type="dxa"/>
            </w:tcMar>
          </w:tcPr>
          <w:p>
            <w:r>
              <w:rPr>
                <w:sz w:val="16"/>
              </w:rPr>
              <w:t>A real dense-city reference for the model’s central 40-household hub density [5].</w:t>
            </w:r>
          </w:p>
        </w:tc>
      </w:tr>
      <w:tr>
        <w:trPr>
          <w:cantSplit/>
        </w:trPr>
        <w:tc>
          <w:tcPr>
            <w:tcW w:type="dxa" w:w="1440"/>
            <w:shd w:fill="F3F5F6"/>
            <w:vAlign w:val="center"/>
            <w:tcMar>
              <w:top w:w="100" w:type="dxa"/>
              <w:start w:w="120" w:type="dxa"/>
              <w:bottom w:w="100" w:type="dxa"/>
              <w:end w:w="120" w:type="dxa"/>
            </w:tcMar>
          </w:tcPr>
          <w:p>
            <w:r>
              <w:rPr>
                <w:sz w:val="16"/>
              </w:rPr>
              <w:t>Edinburgh</w:t>
            </w:r>
          </w:p>
        </w:tc>
        <w:tc>
          <w:tcPr>
            <w:tcW w:type="dxa" w:w="3744"/>
            <w:shd w:fill="F3F5F6"/>
            <w:vAlign w:val="center"/>
            <w:tcMar>
              <w:top w:w="100" w:type="dxa"/>
              <w:start w:w="120" w:type="dxa"/>
              <w:bottom w:w="100" w:type="dxa"/>
              <w:end w:w="120" w:type="dxa"/>
            </w:tcMar>
          </w:tcPr>
          <w:p>
            <w:r>
              <w:rPr>
                <w:sz w:val="16"/>
              </w:rPr>
              <w:t>Street bin hubs; residual and mixed recycling collected about every two days. Access to food/glass is generally planned within 120 m.</w:t>
            </w:r>
          </w:p>
        </w:tc>
        <w:tc>
          <w:tcPr>
            <w:tcW w:type="dxa" w:w="4608"/>
            <w:shd w:fill="F3F5F6"/>
            <w:vAlign w:val="center"/>
            <w:tcMar>
              <w:top w:w="100" w:type="dxa"/>
              <w:start w:w="120" w:type="dxa"/>
              <w:bottom w:w="100" w:type="dxa"/>
              <w:end w:w="120" w:type="dxa"/>
            </w:tcMar>
          </w:tcPr>
          <w:p>
            <w:r>
              <w:rPr>
                <w:sz w:val="16"/>
              </w:rPr>
              <w:t>Shows frequent communal collection is operationally possible, but site reviews and relocation requests are material [6–7].</w:t>
            </w:r>
          </w:p>
        </w:tc>
      </w:tr>
      <w:tr>
        <w:trPr>
          <w:cantSplit/>
        </w:trPr>
        <w:tc>
          <w:tcPr>
            <w:tcW w:type="dxa" w:w="1440"/>
            <w:vAlign w:val="center"/>
            <w:tcMar>
              <w:top w:w="100" w:type="dxa"/>
              <w:start w:w="120" w:type="dxa"/>
              <w:bottom w:w="100" w:type="dxa"/>
              <w:end w:w="120" w:type="dxa"/>
            </w:tcMar>
          </w:tcPr>
          <w:p>
            <w:r>
              <w:rPr>
                <w:sz w:val="16"/>
              </w:rPr>
              <w:t>Liverpool</w:t>
            </w:r>
          </w:p>
        </w:tc>
        <w:tc>
          <w:tcPr>
            <w:tcW w:type="dxa" w:w="3744"/>
            <w:vAlign w:val="center"/>
            <w:tcMar>
              <w:top w:w="100" w:type="dxa"/>
              <w:start w:w="120" w:type="dxa"/>
              <w:bottom w:w="100" w:type="dxa"/>
              <w:end w:w="120" w:type="dxa"/>
            </w:tcMar>
          </w:tcPr>
          <w:p>
            <w:r>
              <w:rPr>
                <w:sz w:val="16"/>
              </w:rPr>
              <w:t>£1.5m subterranean “super-bin” scheme aimed at 27,000 dense terraced households across 90 locations.</w:t>
            </w:r>
          </w:p>
        </w:tc>
        <w:tc>
          <w:tcPr>
            <w:tcW w:type="dxa" w:w="4608"/>
            <w:vAlign w:val="center"/>
            <w:tcMar>
              <w:top w:w="100" w:type="dxa"/>
              <w:start w:w="120" w:type="dxa"/>
              <w:bottom w:w="100" w:type="dxa"/>
              <w:end w:w="120" w:type="dxa"/>
            </w:tcMar>
          </w:tcPr>
          <w:p>
            <w:r>
              <w:rPr>
                <w:sz w:val="16"/>
              </w:rPr>
              <w:t>Targets streets where black sacks, constrained storage and litter create a strong problem case [8].</w:t>
            </w:r>
          </w:p>
        </w:tc>
      </w:tr>
      <w:tr>
        <w:trPr>
          <w:cantSplit/>
        </w:trPr>
        <w:tc>
          <w:tcPr>
            <w:tcW w:type="dxa" w:w="1440"/>
            <w:shd w:fill="F3F5F6"/>
            <w:vAlign w:val="center"/>
            <w:tcMar>
              <w:top w:w="100" w:type="dxa"/>
              <w:start w:w="120" w:type="dxa"/>
              <w:bottom w:w="100" w:type="dxa"/>
              <w:end w:w="120" w:type="dxa"/>
            </w:tcMar>
          </w:tcPr>
          <w:p>
            <w:r>
              <w:rPr>
                <w:sz w:val="16"/>
              </w:rPr>
              <w:t>Blackpool</w:t>
            </w:r>
          </w:p>
        </w:tc>
        <w:tc>
          <w:tcPr>
            <w:tcW w:type="dxa" w:w="3744"/>
            <w:shd w:fill="F3F5F6"/>
            <w:vAlign w:val="center"/>
            <w:tcMar>
              <w:top w:w="100" w:type="dxa"/>
              <w:start w:w="120" w:type="dxa"/>
              <w:bottom w:w="100" w:type="dxa"/>
              <w:end w:w="120" w:type="dxa"/>
            </w:tcMar>
          </w:tcPr>
          <w:p>
            <w:r>
              <w:rPr>
                <w:sz w:val="16"/>
              </w:rPr>
              <w:t>New bin-hub trials linked to Simpler Recycling rollout.</w:t>
            </w:r>
          </w:p>
        </w:tc>
        <w:tc>
          <w:tcPr>
            <w:tcW w:type="dxa" w:w="4608"/>
            <w:shd w:fill="F3F5F6"/>
            <w:vAlign w:val="center"/>
            <w:tcMar>
              <w:top w:w="100" w:type="dxa"/>
              <w:start w:w="120" w:type="dxa"/>
              <w:bottom w:w="100" w:type="dxa"/>
              <w:end w:w="120" w:type="dxa"/>
            </w:tcMar>
          </w:tcPr>
          <w:p>
            <w:r>
              <w:rPr>
                <w:sz w:val="16"/>
              </w:rPr>
              <w:t>Supports the case for trial-and-learn rather than immediate system-wide conversion [16].</w:t>
            </w:r>
          </w:p>
        </w:tc>
      </w:tr>
    </w:tbl>
    <w:p>
      <w:pPr>
        <w:spacing w:after="0"/>
      </w:pPr>
    </w:p>
    <w:p>
      <w:pPr>
        <w:pStyle w:val="Heading2"/>
      </w:pPr>
      <w:r>
        <w:t>Why the idea could create value</w:t>
      </w:r>
    </w:p>
    <w:p>
      <w:pPr>
        <w:keepLines/>
      </w:pPr>
      <w:r>
        <w:t>The strongest mechanism is stop consolidation. A kerbside crew repeatedly slows, stops, handles one or a few containers, moves forward and repeats. A hub model substitutes fewer, heavier service events. Vehicle routing literature confirms that loading time and collection-mode fuel are important, and that route optimisation can reduce fuel consumption [10]. Communal hubs can also remove bulky boxes or bags from small homes, reduce pavement clutter and make fill-level monitoring possible.</w:t>
      </w:r>
    </w:p>
    <w:p>
      <w:pPr>
        <w:keepLines/>
      </w:pPr>
      <w:r>
        <w:t>The same mechanism creates the central trade-off: collection labour and vehicle time move out of the system, while resident walking, site cleaning, container capital, surveillance/enforcement and contamination control move in. A fair appraisal must count both sides.</w:t>
      </w:r>
    </w:p>
    <w:p>
      <w:r>
        <w:br w:type="page"/>
      </w:r>
    </w:p>
    <w:p>
      <w:pPr>
        <w:pStyle w:val="Heading1"/>
      </w:pPr>
      <w:r>
        <w:t>2. Model design</w:t>
      </w:r>
    </w:p>
    <w:p>
      <w:pPr>
        <w:pStyle w:val="Heading2"/>
      </w:pPr>
      <w:r>
        <w:t>Comparison and unit of analysis</w:t>
      </w:r>
    </w:p>
    <w:p>
      <w:pPr>
        <w:keepLines/>
      </w:pPr>
      <w:r>
        <w:t>The model represents one operational year for 10,000 households. It compares: (A) fortnightly household-level recycling collection, and (B) weekly servicing of shared neighbourhood hubs. It deliberately isolates collection-system economics. The linked workbook contains editable blue input cells, formula-driven results, scenarios, 5,000 deterministic sensitivity draws and source notes.</w:t>
      </w:r>
    </w:p>
    <w:p>
      <w:pPr>
        <w:pStyle w:val="Heading2"/>
      </w:pPr>
      <w:r>
        <w:t>Core equations</w:t>
      </w:r>
    </w:p>
    <w:tbl>
      <w:tblPr>
        <w:tblStyle w:val="TableGrid"/>
        <w:tblW w:type="auto" w:w="0"/>
        <w:jc w:val="center"/>
        <w:tblLayout w:type="fixed"/>
        <w:tblLook w:firstColumn="1" w:firstRow="1" w:lastColumn="0" w:lastRow="0" w:noHBand="0" w:noVBand="1" w:val="04A0"/>
      </w:tblPr>
      <w:tblGrid>
        <w:gridCol w:w="4968"/>
        <w:gridCol w:w="4968"/>
      </w:tblGrid>
      <w:tr>
        <w:trPr>
          <w:tblHeader w:val="true"/>
          <w:cantSplit/>
        </w:trPr>
        <w:tc>
          <w:tcPr>
            <w:tcW w:type="dxa" w:w="2880"/>
            <w:shd w:fill="15344A"/>
            <w:tcMar>
              <w:top w:w="100" w:type="dxa"/>
              <w:start w:w="120" w:type="dxa"/>
              <w:bottom w:w="100" w:type="dxa"/>
              <w:end w:w="120" w:type="dxa"/>
            </w:tcMar>
          </w:tcPr>
          <w:p>
            <w:pPr>
              <w:jc w:val="left"/>
            </w:pPr>
            <w:r>
              <w:rPr>
                <w:b/>
                <w:color w:val="FFFFFF"/>
                <w:sz w:val="17"/>
              </w:rPr>
              <w:t>Quantity</w:t>
            </w:r>
          </w:p>
        </w:tc>
        <w:tc>
          <w:tcPr>
            <w:tcW w:type="dxa" w:w="6912"/>
            <w:shd w:fill="15344A"/>
            <w:tcMar>
              <w:top w:w="100" w:type="dxa"/>
              <w:start w:w="120" w:type="dxa"/>
              <w:bottom w:w="100" w:type="dxa"/>
              <w:end w:w="120" w:type="dxa"/>
            </w:tcMar>
          </w:tcPr>
          <w:p>
            <w:pPr>
              <w:jc w:val="left"/>
            </w:pPr>
            <w:r>
              <w:rPr>
                <w:b/>
                <w:color w:val="FFFFFF"/>
                <w:sz w:val="17"/>
              </w:rPr>
              <w:t>Equation</w:t>
            </w:r>
          </w:p>
        </w:tc>
      </w:tr>
      <w:tr>
        <w:trPr>
          <w:cantSplit/>
        </w:trPr>
        <w:tc>
          <w:tcPr>
            <w:tcW w:type="dxa" w:w="2880"/>
            <w:vAlign w:val="center"/>
            <w:tcMar>
              <w:top w:w="100" w:type="dxa"/>
              <w:start w:w="120" w:type="dxa"/>
              <w:bottom w:w="100" w:type="dxa"/>
              <w:end w:w="120" w:type="dxa"/>
            </w:tcMar>
          </w:tcPr>
          <w:p>
            <w:r>
              <w:rPr>
                <w:sz w:val="17"/>
              </w:rPr>
              <w:t>Kerbside stop-hours</w:t>
            </w:r>
          </w:p>
        </w:tc>
        <w:tc>
          <w:tcPr>
            <w:tcW w:type="dxa" w:w="6912"/>
            <w:vAlign w:val="center"/>
            <w:tcMar>
              <w:top w:w="100" w:type="dxa"/>
              <w:start w:w="120" w:type="dxa"/>
              <w:bottom w:w="100" w:type="dxa"/>
              <w:end w:w="120" w:type="dxa"/>
            </w:tcMar>
          </w:tcPr>
          <w:p>
            <w:r>
              <w:rPr>
                <w:sz w:val="17"/>
              </w:rPr>
              <w:t>households × collections/year × seconds per household ÷ 3,600</w:t>
            </w:r>
          </w:p>
        </w:tc>
      </w:tr>
      <w:tr>
        <w:trPr>
          <w:cantSplit/>
        </w:trPr>
        <w:tc>
          <w:tcPr>
            <w:tcW w:type="dxa" w:w="2880"/>
            <w:shd w:fill="F3F5F6"/>
            <w:vAlign w:val="center"/>
            <w:tcMar>
              <w:top w:w="100" w:type="dxa"/>
              <w:start w:w="120" w:type="dxa"/>
              <w:bottom w:w="100" w:type="dxa"/>
              <w:end w:w="120" w:type="dxa"/>
            </w:tcMar>
          </w:tcPr>
          <w:p>
            <w:r>
              <w:rPr>
                <w:sz w:val="17"/>
              </w:rPr>
              <w:t>Hub stop-hours</w:t>
            </w:r>
          </w:p>
        </w:tc>
        <w:tc>
          <w:tcPr>
            <w:tcW w:type="dxa" w:w="6912"/>
            <w:shd w:fill="F3F5F6"/>
            <w:vAlign w:val="center"/>
            <w:tcMar>
              <w:top w:w="100" w:type="dxa"/>
              <w:start w:w="120" w:type="dxa"/>
              <w:bottom w:w="100" w:type="dxa"/>
              <w:end w:w="120" w:type="dxa"/>
            </w:tcMar>
          </w:tcPr>
          <w:p>
            <w:r>
              <w:rPr>
                <w:sz w:val="17"/>
              </w:rPr>
              <w:t>hubs × collections/year × minutes per hub ÷ 60</w:t>
            </w:r>
          </w:p>
        </w:tc>
      </w:tr>
      <w:tr>
        <w:trPr>
          <w:cantSplit/>
        </w:trPr>
        <w:tc>
          <w:tcPr>
            <w:tcW w:type="dxa" w:w="2880"/>
            <w:vAlign w:val="center"/>
            <w:tcMar>
              <w:top w:w="100" w:type="dxa"/>
              <w:start w:w="120" w:type="dxa"/>
              <w:bottom w:w="100" w:type="dxa"/>
              <w:end w:w="120" w:type="dxa"/>
            </w:tcMar>
          </w:tcPr>
          <w:p>
            <w:r>
              <w:rPr>
                <w:sz w:val="17"/>
              </w:rPr>
              <w:t>Gross route saving</w:t>
            </w:r>
          </w:p>
        </w:tc>
        <w:tc>
          <w:tcPr>
            <w:tcW w:type="dxa" w:w="6912"/>
            <w:vAlign w:val="center"/>
            <w:tcMar>
              <w:top w:w="100" w:type="dxa"/>
              <w:start w:w="120" w:type="dxa"/>
              <w:bottom w:w="100" w:type="dxa"/>
              <w:end w:w="120" w:type="dxa"/>
            </w:tcMar>
          </w:tcPr>
          <w:p>
            <w:r>
              <w:rPr>
                <w:sz w:val="17"/>
              </w:rPr>
              <w:t>(kerbside hours − hub hours) × vehicle-hour cost</w:t>
            </w:r>
          </w:p>
        </w:tc>
      </w:tr>
      <w:tr>
        <w:trPr>
          <w:cantSplit/>
        </w:trPr>
        <w:tc>
          <w:tcPr>
            <w:tcW w:type="dxa" w:w="2880"/>
            <w:shd w:fill="F3F5F6"/>
            <w:vAlign w:val="center"/>
            <w:tcMar>
              <w:top w:w="100" w:type="dxa"/>
              <w:start w:w="120" w:type="dxa"/>
              <w:bottom w:w="100" w:type="dxa"/>
              <w:end w:w="120" w:type="dxa"/>
            </w:tcMar>
          </w:tcPr>
          <w:p>
            <w:r>
              <w:rPr>
                <w:sz w:val="17"/>
              </w:rPr>
              <w:t>Net annual result</w:t>
            </w:r>
          </w:p>
        </w:tc>
        <w:tc>
          <w:tcPr>
            <w:tcW w:type="dxa" w:w="6912"/>
            <w:shd w:fill="F3F5F6"/>
            <w:vAlign w:val="center"/>
            <w:tcMar>
              <w:top w:w="100" w:type="dxa"/>
              <w:start w:w="120" w:type="dxa"/>
              <w:bottom w:w="100" w:type="dxa"/>
              <w:end w:w="120" w:type="dxa"/>
            </w:tcMar>
          </w:tcPr>
          <w:p>
            <w:r>
              <w:rPr>
                <w:sz w:val="17"/>
              </w:rPr>
              <w:t>gross route saving − annualised capital − cleaning − admin − contamination allowance</w:t>
            </w:r>
          </w:p>
        </w:tc>
      </w:tr>
      <w:tr>
        <w:trPr>
          <w:cantSplit/>
        </w:trPr>
        <w:tc>
          <w:tcPr>
            <w:tcW w:type="dxa" w:w="2880"/>
            <w:vAlign w:val="center"/>
            <w:tcMar>
              <w:top w:w="100" w:type="dxa"/>
              <w:start w:w="120" w:type="dxa"/>
              <w:bottom w:w="100" w:type="dxa"/>
              <w:end w:w="120" w:type="dxa"/>
            </w:tcMar>
          </w:tcPr>
          <w:p>
            <w:r>
              <w:rPr>
                <w:sz w:val="17"/>
              </w:rPr>
              <w:t>Break-even households/hub</w:t>
            </w:r>
          </w:p>
        </w:tc>
        <w:tc>
          <w:tcPr>
            <w:tcW w:type="dxa" w:w="6912"/>
            <w:vAlign w:val="center"/>
            <w:tcMar>
              <w:top w:w="100" w:type="dxa"/>
              <w:start w:w="120" w:type="dxa"/>
              <w:bottom w:w="100" w:type="dxa"/>
              <w:end w:w="120" w:type="dxa"/>
            </w:tcMar>
          </w:tcPr>
          <w:p>
            <w:r>
              <w:rPr>
                <w:sz w:val="17"/>
              </w:rPr>
              <w:t>density at which net annual result equals zero, holding other central inputs fixed</w:t>
            </w:r>
          </w:p>
        </w:tc>
      </w:tr>
    </w:tbl>
    <w:p>
      <w:pPr>
        <w:spacing w:after="0"/>
      </w:pPr>
    </w:p>
    <w:p>
      <w:pPr>
        <w:pStyle w:val="Heading2"/>
      </w:pPr>
      <w:r>
        <w:t>Central assumptions</w:t>
      </w:r>
    </w:p>
    <w:tbl>
      <w:tblPr>
        <w:tblStyle w:val="TableGrid"/>
        <w:tblW w:type="auto" w:w="0"/>
        <w:jc w:val="center"/>
        <w:tblLayout w:type="fixed"/>
        <w:tblLook w:firstColumn="1" w:firstRow="1" w:lastColumn="0" w:lastRow="0" w:noHBand="0" w:noVBand="1" w:val="04A0"/>
      </w:tblPr>
      <w:tblGrid>
        <w:gridCol w:w="3312"/>
        <w:gridCol w:w="3312"/>
        <w:gridCol w:w="3312"/>
      </w:tblGrid>
      <w:tr>
        <w:trPr>
          <w:tblHeader w:val="true"/>
          <w:cantSplit/>
        </w:trPr>
        <w:tc>
          <w:tcPr>
            <w:tcW w:type="dxa" w:w="2592"/>
            <w:shd w:fill="15344A"/>
            <w:tcMar>
              <w:top w:w="100" w:type="dxa"/>
              <w:start w:w="120" w:type="dxa"/>
              <w:bottom w:w="100" w:type="dxa"/>
              <w:end w:w="120" w:type="dxa"/>
            </w:tcMar>
          </w:tcPr>
          <w:p>
            <w:pPr>
              <w:jc w:val="left"/>
            </w:pPr>
            <w:r>
              <w:rPr>
                <w:b/>
                <w:color w:val="FFFFFF"/>
                <w:sz w:val="15"/>
              </w:rPr>
              <w:t>Input</w:t>
            </w:r>
          </w:p>
        </w:tc>
        <w:tc>
          <w:tcPr>
            <w:tcW w:type="dxa" w:w="2088"/>
            <w:shd w:fill="15344A"/>
            <w:tcMar>
              <w:top w:w="100" w:type="dxa"/>
              <w:start w:w="120" w:type="dxa"/>
              <w:bottom w:w="100" w:type="dxa"/>
              <w:end w:w="120" w:type="dxa"/>
            </w:tcMar>
          </w:tcPr>
          <w:p>
            <w:pPr>
              <w:jc w:val="left"/>
            </w:pPr>
            <w:r>
              <w:rPr>
                <w:b/>
                <w:color w:val="FFFFFF"/>
                <w:sz w:val="15"/>
              </w:rPr>
              <w:t>Central value</w:t>
            </w:r>
          </w:p>
        </w:tc>
        <w:tc>
          <w:tcPr>
            <w:tcW w:type="dxa" w:w="5112"/>
            <w:shd w:fill="15344A"/>
            <w:tcMar>
              <w:top w:w="100" w:type="dxa"/>
              <w:start w:w="120" w:type="dxa"/>
              <w:bottom w:w="100" w:type="dxa"/>
              <w:end w:w="120" w:type="dxa"/>
            </w:tcMar>
          </w:tcPr>
          <w:p>
            <w:pPr>
              <w:jc w:val="left"/>
            </w:pPr>
            <w:r>
              <w:rPr>
                <w:b/>
                <w:color w:val="FFFFFF"/>
                <w:sz w:val="15"/>
              </w:rPr>
              <w:t>Reason for use</w:t>
            </w:r>
          </w:p>
        </w:tc>
      </w:tr>
      <w:tr>
        <w:trPr>
          <w:cantSplit/>
        </w:trPr>
        <w:tc>
          <w:tcPr>
            <w:tcW w:type="dxa" w:w="2592"/>
            <w:vAlign w:val="center"/>
            <w:tcMar>
              <w:top w:w="100" w:type="dxa"/>
              <w:start w:w="120" w:type="dxa"/>
              <w:bottom w:w="100" w:type="dxa"/>
              <w:end w:w="120" w:type="dxa"/>
            </w:tcMar>
          </w:tcPr>
          <w:p>
            <w:r>
              <w:rPr>
                <w:sz w:val="15"/>
              </w:rPr>
              <w:t>Households</w:t>
            </w:r>
          </w:p>
        </w:tc>
        <w:tc>
          <w:tcPr>
            <w:tcW w:type="dxa" w:w="2088"/>
            <w:vAlign w:val="center"/>
            <w:tcMar>
              <w:top w:w="100" w:type="dxa"/>
              <w:start w:w="120" w:type="dxa"/>
              <w:bottom w:w="100" w:type="dxa"/>
              <w:end w:w="120" w:type="dxa"/>
            </w:tcMar>
          </w:tcPr>
          <w:p>
            <w:r>
              <w:rPr>
                <w:sz w:val="15"/>
              </w:rPr>
              <w:t>10,000</w:t>
            </w:r>
          </w:p>
        </w:tc>
        <w:tc>
          <w:tcPr>
            <w:tcW w:type="dxa" w:w="5112"/>
            <w:vAlign w:val="center"/>
            <w:tcMar>
              <w:top w:w="100" w:type="dxa"/>
              <w:start w:w="120" w:type="dxa"/>
              <w:bottom w:w="100" w:type="dxa"/>
              <w:end w:w="120" w:type="dxa"/>
            </w:tcMar>
          </w:tcPr>
          <w:p>
            <w:r>
              <w:rPr>
                <w:sz w:val="15"/>
              </w:rPr>
              <w:t>Scalable study population</w:t>
            </w:r>
          </w:p>
        </w:tc>
      </w:tr>
      <w:tr>
        <w:trPr>
          <w:cantSplit/>
        </w:trPr>
        <w:tc>
          <w:tcPr>
            <w:tcW w:type="dxa" w:w="2592"/>
            <w:shd w:fill="F3F5F6"/>
            <w:vAlign w:val="center"/>
            <w:tcMar>
              <w:top w:w="100" w:type="dxa"/>
              <w:start w:w="120" w:type="dxa"/>
              <w:bottom w:w="100" w:type="dxa"/>
              <w:end w:w="120" w:type="dxa"/>
            </w:tcMar>
          </w:tcPr>
          <w:p>
            <w:r>
              <w:rPr>
                <w:sz w:val="15"/>
              </w:rPr>
              <w:t>Kerbside frequency</w:t>
            </w:r>
          </w:p>
        </w:tc>
        <w:tc>
          <w:tcPr>
            <w:tcW w:type="dxa" w:w="2088"/>
            <w:shd w:fill="F3F5F6"/>
            <w:vAlign w:val="center"/>
            <w:tcMar>
              <w:top w:w="100" w:type="dxa"/>
              <w:start w:w="120" w:type="dxa"/>
              <w:bottom w:w="100" w:type="dxa"/>
              <w:end w:w="120" w:type="dxa"/>
            </w:tcMar>
          </w:tcPr>
          <w:p>
            <w:r>
              <w:rPr>
                <w:sz w:val="15"/>
              </w:rPr>
              <w:t>26/year</w:t>
            </w:r>
          </w:p>
        </w:tc>
        <w:tc>
          <w:tcPr>
            <w:tcW w:type="dxa" w:w="5112"/>
            <w:shd w:fill="F3F5F6"/>
            <w:vAlign w:val="center"/>
            <w:tcMar>
              <w:top w:w="100" w:type="dxa"/>
              <w:start w:w="120" w:type="dxa"/>
              <w:bottom w:w="100" w:type="dxa"/>
              <w:end w:w="120" w:type="dxa"/>
            </w:tcMar>
          </w:tcPr>
          <w:p>
            <w:r>
              <w:rPr>
                <w:sz w:val="15"/>
              </w:rPr>
              <w:t>Fortnightly baseline</w:t>
            </w:r>
          </w:p>
        </w:tc>
      </w:tr>
      <w:tr>
        <w:trPr>
          <w:cantSplit/>
        </w:trPr>
        <w:tc>
          <w:tcPr>
            <w:tcW w:type="dxa" w:w="2592"/>
            <w:vAlign w:val="center"/>
            <w:tcMar>
              <w:top w:w="100" w:type="dxa"/>
              <w:start w:w="120" w:type="dxa"/>
              <w:bottom w:w="100" w:type="dxa"/>
              <w:end w:w="120" w:type="dxa"/>
            </w:tcMar>
          </w:tcPr>
          <w:p>
            <w:r>
              <w:rPr>
                <w:sz w:val="15"/>
              </w:rPr>
              <w:t>Hub frequency</w:t>
            </w:r>
          </w:p>
        </w:tc>
        <w:tc>
          <w:tcPr>
            <w:tcW w:type="dxa" w:w="2088"/>
            <w:vAlign w:val="center"/>
            <w:tcMar>
              <w:top w:w="100" w:type="dxa"/>
              <w:start w:w="120" w:type="dxa"/>
              <w:bottom w:w="100" w:type="dxa"/>
              <w:end w:w="120" w:type="dxa"/>
            </w:tcMar>
          </w:tcPr>
          <w:p>
            <w:r>
              <w:rPr>
                <w:sz w:val="15"/>
              </w:rPr>
              <w:t>52/year</w:t>
            </w:r>
          </w:p>
        </w:tc>
        <w:tc>
          <w:tcPr>
            <w:tcW w:type="dxa" w:w="5112"/>
            <w:vAlign w:val="center"/>
            <w:tcMar>
              <w:top w:w="100" w:type="dxa"/>
              <w:start w:w="120" w:type="dxa"/>
              <w:bottom w:w="100" w:type="dxa"/>
              <w:end w:w="120" w:type="dxa"/>
            </w:tcMar>
          </w:tcPr>
          <w:p>
            <w:r>
              <w:rPr>
                <w:sz w:val="15"/>
              </w:rPr>
              <w:t>Weekly proposition</w:t>
            </w:r>
          </w:p>
        </w:tc>
      </w:tr>
      <w:tr>
        <w:trPr>
          <w:cantSplit/>
        </w:trPr>
        <w:tc>
          <w:tcPr>
            <w:tcW w:type="dxa" w:w="2592"/>
            <w:shd w:fill="F3F5F6"/>
            <w:vAlign w:val="center"/>
            <w:tcMar>
              <w:top w:w="100" w:type="dxa"/>
              <w:start w:w="120" w:type="dxa"/>
              <w:bottom w:w="100" w:type="dxa"/>
              <w:end w:w="120" w:type="dxa"/>
            </w:tcMar>
          </w:tcPr>
          <w:p>
            <w:r>
              <w:rPr>
                <w:sz w:val="15"/>
              </w:rPr>
              <w:t>Kerbside service time</w:t>
            </w:r>
          </w:p>
        </w:tc>
        <w:tc>
          <w:tcPr>
            <w:tcW w:type="dxa" w:w="2088"/>
            <w:shd w:fill="F3F5F6"/>
            <w:vAlign w:val="center"/>
            <w:tcMar>
              <w:top w:w="100" w:type="dxa"/>
              <w:start w:w="120" w:type="dxa"/>
              <w:bottom w:w="100" w:type="dxa"/>
              <w:end w:w="120" w:type="dxa"/>
            </w:tcMar>
          </w:tcPr>
          <w:p>
            <w:r>
              <w:rPr>
                <w:sz w:val="15"/>
              </w:rPr>
              <w:t>56 sec/household</w:t>
            </w:r>
          </w:p>
        </w:tc>
        <w:tc>
          <w:tcPr>
            <w:tcW w:type="dxa" w:w="5112"/>
            <w:shd w:fill="F3F5F6"/>
            <w:vAlign w:val="center"/>
            <w:tcMar>
              <w:top w:w="100" w:type="dxa"/>
              <w:start w:w="120" w:type="dxa"/>
              <w:bottom w:w="100" w:type="dxa"/>
              <w:end w:w="120" w:type="dxa"/>
            </w:tcMar>
          </w:tcPr>
          <w:p>
            <w:r>
              <w:rPr>
                <w:sz w:val="15"/>
              </w:rPr>
              <w:t>Explicit modelling assumption; local time-and-motion data required</w:t>
            </w:r>
          </w:p>
        </w:tc>
      </w:tr>
      <w:tr>
        <w:trPr>
          <w:cantSplit/>
        </w:trPr>
        <w:tc>
          <w:tcPr>
            <w:tcW w:type="dxa" w:w="2592"/>
            <w:vAlign w:val="center"/>
            <w:tcMar>
              <w:top w:w="100" w:type="dxa"/>
              <w:start w:w="120" w:type="dxa"/>
              <w:bottom w:w="100" w:type="dxa"/>
              <w:end w:w="120" w:type="dxa"/>
            </w:tcMar>
          </w:tcPr>
          <w:p>
            <w:r>
              <w:rPr>
                <w:sz w:val="15"/>
              </w:rPr>
              <w:t>Households per hub</w:t>
            </w:r>
          </w:p>
        </w:tc>
        <w:tc>
          <w:tcPr>
            <w:tcW w:type="dxa" w:w="2088"/>
            <w:vAlign w:val="center"/>
            <w:tcMar>
              <w:top w:w="100" w:type="dxa"/>
              <w:start w:w="120" w:type="dxa"/>
              <w:bottom w:w="100" w:type="dxa"/>
              <w:end w:w="120" w:type="dxa"/>
            </w:tcMar>
          </w:tcPr>
          <w:p>
            <w:r>
              <w:rPr>
                <w:sz w:val="15"/>
              </w:rPr>
              <w:t>40</w:t>
            </w:r>
          </w:p>
        </w:tc>
        <w:tc>
          <w:tcPr>
            <w:tcW w:type="dxa" w:w="5112"/>
            <w:vAlign w:val="center"/>
            <w:tcMar>
              <w:top w:w="100" w:type="dxa"/>
              <w:start w:w="120" w:type="dxa"/>
              <w:bottom w:w="100" w:type="dxa"/>
              <w:end w:w="120" w:type="dxa"/>
            </w:tcMar>
          </w:tcPr>
          <w:p>
            <w:r>
              <w:rPr>
                <w:sz w:val="15"/>
              </w:rPr>
              <w:t>Anchored to Glasgow’s published average [5]</w:t>
            </w:r>
          </w:p>
        </w:tc>
      </w:tr>
      <w:tr>
        <w:trPr>
          <w:cantSplit/>
        </w:trPr>
        <w:tc>
          <w:tcPr>
            <w:tcW w:type="dxa" w:w="2592"/>
            <w:shd w:fill="F3F5F6"/>
            <w:vAlign w:val="center"/>
            <w:tcMar>
              <w:top w:w="100" w:type="dxa"/>
              <w:start w:w="120" w:type="dxa"/>
              <w:bottom w:w="100" w:type="dxa"/>
              <w:end w:w="120" w:type="dxa"/>
            </w:tcMar>
          </w:tcPr>
          <w:p>
            <w:r>
              <w:rPr>
                <w:sz w:val="15"/>
              </w:rPr>
              <w:t>Hub service time</w:t>
            </w:r>
          </w:p>
        </w:tc>
        <w:tc>
          <w:tcPr>
            <w:tcW w:type="dxa" w:w="2088"/>
            <w:shd w:fill="F3F5F6"/>
            <w:vAlign w:val="center"/>
            <w:tcMar>
              <w:top w:w="100" w:type="dxa"/>
              <w:start w:w="120" w:type="dxa"/>
              <w:bottom w:w="100" w:type="dxa"/>
              <w:end w:w="120" w:type="dxa"/>
            </w:tcMar>
          </w:tcPr>
          <w:p>
            <w:r>
              <w:rPr>
                <w:sz w:val="15"/>
              </w:rPr>
              <w:t>7.0 min/hub</w:t>
            </w:r>
          </w:p>
        </w:tc>
        <w:tc>
          <w:tcPr>
            <w:tcW w:type="dxa" w:w="5112"/>
            <w:shd w:fill="F3F5F6"/>
            <w:vAlign w:val="center"/>
            <w:tcMar>
              <w:top w:w="100" w:type="dxa"/>
              <w:start w:w="120" w:type="dxa"/>
              <w:bottom w:w="100" w:type="dxa"/>
              <w:end w:w="120" w:type="dxa"/>
            </w:tcMar>
          </w:tcPr>
          <w:p>
            <w:r>
              <w:rPr>
                <w:sz w:val="15"/>
              </w:rPr>
              <w:t>Assumption including positioning and lift/empty cycle</w:t>
            </w:r>
          </w:p>
        </w:tc>
      </w:tr>
      <w:tr>
        <w:trPr>
          <w:cantSplit/>
        </w:trPr>
        <w:tc>
          <w:tcPr>
            <w:tcW w:type="dxa" w:w="2592"/>
            <w:vAlign w:val="center"/>
            <w:tcMar>
              <w:top w:w="100" w:type="dxa"/>
              <w:start w:w="120" w:type="dxa"/>
              <w:bottom w:w="100" w:type="dxa"/>
              <w:end w:w="120" w:type="dxa"/>
            </w:tcMar>
          </w:tcPr>
          <w:p>
            <w:r>
              <w:rPr>
                <w:sz w:val="15"/>
              </w:rPr>
              <w:t>Vehicle-hour cost</w:t>
            </w:r>
          </w:p>
        </w:tc>
        <w:tc>
          <w:tcPr>
            <w:tcW w:type="dxa" w:w="2088"/>
            <w:vAlign w:val="center"/>
            <w:tcMar>
              <w:top w:w="100" w:type="dxa"/>
              <w:start w:w="120" w:type="dxa"/>
              <w:bottom w:w="100" w:type="dxa"/>
              <w:end w:w="120" w:type="dxa"/>
            </w:tcMar>
          </w:tcPr>
          <w:p>
            <w:r>
              <w:rPr>
                <w:sz w:val="15"/>
              </w:rPr>
              <w:t>£128.09</w:t>
            </w:r>
          </w:p>
        </w:tc>
        <w:tc>
          <w:tcPr>
            <w:tcW w:type="dxa" w:w="5112"/>
            <w:vAlign w:val="center"/>
            <w:tcMar>
              <w:top w:w="100" w:type="dxa"/>
              <w:start w:w="120" w:type="dxa"/>
              <w:bottom w:w="100" w:type="dxa"/>
              <w:end w:w="120" w:type="dxa"/>
            </w:tcMar>
          </w:tcPr>
          <w:p>
            <w:r>
              <w:rPr>
                <w:sz w:val="15"/>
              </w:rPr>
              <w:t>Composite assumption: crew, vehicle, overhead and fuel; not a national tariff</w:t>
            </w:r>
          </w:p>
        </w:tc>
      </w:tr>
      <w:tr>
        <w:trPr>
          <w:cantSplit/>
        </w:trPr>
        <w:tc>
          <w:tcPr>
            <w:tcW w:type="dxa" w:w="2592"/>
            <w:shd w:fill="F3F5F6"/>
            <w:vAlign w:val="center"/>
            <w:tcMar>
              <w:top w:w="100" w:type="dxa"/>
              <w:start w:w="120" w:type="dxa"/>
              <w:bottom w:w="100" w:type="dxa"/>
              <w:end w:w="120" w:type="dxa"/>
            </w:tcMar>
          </w:tcPr>
          <w:p>
            <w:r>
              <w:rPr>
                <w:sz w:val="15"/>
              </w:rPr>
              <w:t>Hub/site capital</w:t>
            </w:r>
          </w:p>
        </w:tc>
        <w:tc>
          <w:tcPr>
            <w:tcW w:type="dxa" w:w="2088"/>
            <w:shd w:fill="F3F5F6"/>
            <w:vAlign w:val="center"/>
            <w:tcMar>
              <w:top w:w="100" w:type="dxa"/>
              <w:start w:w="120" w:type="dxa"/>
              <w:bottom w:w="100" w:type="dxa"/>
              <w:end w:w="120" w:type="dxa"/>
            </w:tcMar>
          </w:tcPr>
          <w:p>
            <w:r>
              <w:rPr>
                <w:rFonts w:ascii="Arial" w:hAnsi="Arial"/>
              </w:rPr>
              <w:t>£6,000/hub</w:t>
            </w:r>
          </w:p>
        </w:tc>
        <w:tc>
          <w:tcPr>
            <w:tcW w:type="dxa" w:w="5112"/>
            <w:shd w:fill="F3F5F6"/>
            <w:vAlign w:val="center"/>
            <w:tcMar>
              <w:top w:w="100" w:type="dxa"/>
              <w:start w:w="120" w:type="dxa"/>
              <w:bottom w:w="100" w:type="dxa"/>
              <w:end w:w="120" w:type="dxa"/>
            </w:tcMar>
          </w:tcPr>
          <w:p>
            <w:r>
              <w:rPr>
                <w:rFonts w:ascii="Arial" w:hAnsi="Arial"/>
              </w:rPr>
              <w:t>Central planning assumption annualised over 10 years; not a supplier quote. A £12,000/hub sensitivity is reported separately.</w:t>
            </w:r>
          </w:p>
        </w:tc>
      </w:tr>
      <w:tr>
        <w:trPr>
          <w:cantSplit/>
        </w:trPr>
        <w:tc>
          <w:tcPr>
            <w:tcW w:type="dxa" w:w="2592"/>
            <w:vAlign w:val="center"/>
            <w:tcMar>
              <w:top w:w="100" w:type="dxa"/>
              <w:start w:w="120" w:type="dxa"/>
              <w:bottom w:w="100" w:type="dxa"/>
              <w:end w:w="120" w:type="dxa"/>
            </w:tcMar>
          </w:tcPr>
          <w:p>
            <w:r>
              <w:rPr>
                <w:sz w:val="15"/>
              </w:rPr>
              <w:t>Cleaning/maintenance</w:t>
            </w:r>
          </w:p>
        </w:tc>
        <w:tc>
          <w:tcPr>
            <w:tcW w:type="dxa" w:w="2088"/>
            <w:vAlign w:val="center"/>
            <w:tcMar>
              <w:top w:w="100" w:type="dxa"/>
              <w:start w:w="120" w:type="dxa"/>
              <w:bottom w:w="100" w:type="dxa"/>
              <w:end w:w="120" w:type="dxa"/>
            </w:tcMar>
          </w:tcPr>
          <w:p>
            <w:r>
              <w:rPr>
                <w:sz w:val="15"/>
              </w:rPr>
              <w:t>£500/hub/year</w:t>
            </w:r>
          </w:p>
        </w:tc>
        <w:tc>
          <w:tcPr>
            <w:tcW w:type="dxa" w:w="5112"/>
            <w:vAlign w:val="center"/>
            <w:tcMar>
              <w:top w:w="100" w:type="dxa"/>
              <w:start w:w="120" w:type="dxa"/>
              <w:bottom w:w="100" w:type="dxa"/>
              <w:end w:w="120" w:type="dxa"/>
            </w:tcMar>
          </w:tcPr>
          <w:p>
            <w:r>
              <w:rPr>
                <w:sz w:val="15"/>
              </w:rPr>
              <w:t>Planning estimate</w:t>
            </w:r>
          </w:p>
        </w:tc>
      </w:tr>
      <w:tr>
        <w:trPr>
          <w:cantSplit/>
        </w:trPr>
        <w:tc>
          <w:tcPr>
            <w:tcW w:type="dxa" w:w="2592"/>
            <w:shd w:fill="F3F5F6"/>
            <w:vAlign w:val="center"/>
            <w:tcMar>
              <w:top w:w="100" w:type="dxa"/>
              <w:start w:w="120" w:type="dxa"/>
              <w:bottom w:w="100" w:type="dxa"/>
              <w:end w:w="120" w:type="dxa"/>
            </w:tcMar>
          </w:tcPr>
          <w:p>
            <w:r>
              <w:rPr>
                <w:sz w:val="15"/>
              </w:rPr>
              <w:t>Administration</w:t>
            </w:r>
          </w:p>
        </w:tc>
        <w:tc>
          <w:tcPr>
            <w:tcW w:type="dxa" w:w="2088"/>
            <w:shd w:fill="F3F5F6"/>
            <w:vAlign w:val="center"/>
            <w:tcMar>
              <w:top w:w="100" w:type="dxa"/>
              <w:start w:w="120" w:type="dxa"/>
              <w:bottom w:w="100" w:type="dxa"/>
              <w:end w:w="120" w:type="dxa"/>
            </w:tcMar>
          </w:tcPr>
          <w:p>
            <w:r>
              <w:rPr>
                <w:sz w:val="15"/>
              </w:rPr>
              <w:t>£3/household/year</w:t>
            </w:r>
          </w:p>
        </w:tc>
        <w:tc>
          <w:tcPr>
            <w:tcW w:type="dxa" w:w="5112"/>
            <w:shd w:fill="F3F5F6"/>
            <w:vAlign w:val="center"/>
            <w:tcMar>
              <w:top w:w="100" w:type="dxa"/>
              <w:start w:w="120" w:type="dxa"/>
              <w:bottom w:w="100" w:type="dxa"/>
              <w:end w:w="120" w:type="dxa"/>
            </w:tcMar>
          </w:tcPr>
          <w:p>
            <w:r>
              <w:rPr>
                <w:sz w:val="15"/>
              </w:rPr>
              <w:t>Communications, monitoring and case handling</w:t>
            </w:r>
          </w:p>
        </w:tc>
      </w:tr>
      <w:tr>
        <w:trPr>
          <w:cantSplit/>
        </w:trPr>
        <w:tc>
          <w:tcPr>
            <w:tcW w:type="dxa" w:w="2592"/>
            <w:vAlign w:val="center"/>
            <w:tcMar>
              <w:top w:w="100" w:type="dxa"/>
              <w:start w:w="120" w:type="dxa"/>
              <w:bottom w:w="100" w:type="dxa"/>
              <w:end w:w="120" w:type="dxa"/>
            </w:tcMar>
          </w:tcPr>
          <w:p>
            <w:r>
              <w:rPr>
                <w:sz w:val="15"/>
              </w:rPr>
              <w:t>Contamination cost</w:t>
            </w:r>
          </w:p>
        </w:tc>
        <w:tc>
          <w:tcPr>
            <w:tcW w:type="dxa" w:w="2088"/>
            <w:vAlign w:val="center"/>
            <w:tcMar>
              <w:top w:w="100" w:type="dxa"/>
              <w:start w:w="120" w:type="dxa"/>
              <w:bottom w:w="100" w:type="dxa"/>
              <w:end w:w="120" w:type="dxa"/>
            </w:tcMar>
          </w:tcPr>
          <w:p>
            <w:r>
              <w:rPr>
                <w:sz w:val="15"/>
              </w:rPr>
              <w:t>£12,299/year</w:t>
            </w:r>
          </w:p>
        </w:tc>
        <w:tc>
          <w:tcPr>
            <w:tcW w:type="dxa" w:w="5112"/>
            <w:vAlign w:val="center"/>
            <w:tcMar>
              <w:top w:w="100" w:type="dxa"/>
              <w:start w:w="120" w:type="dxa"/>
              <w:bottom w:w="100" w:type="dxa"/>
              <w:end w:w="120" w:type="dxa"/>
            </w:tcMar>
          </w:tcPr>
          <w:p>
            <w:r>
              <w:rPr>
                <w:sz w:val="15"/>
              </w:rPr>
              <w:t>Model allowance; treatment contract effects vary locally</w:t>
            </w:r>
          </w:p>
        </w:tc>
      </w:tr>
      <w:tr>
        <w:trPr>
          <w:cantSplit/>
        </w:trPr>
        <w:tc>
          <w:tcPr>
            <w:tcW w:type="dxa" w:w="2592"/>
            <w:shd w:fill="F3F5F6"/>
            <w:vAlign w:val="center"/>
            <w:tcMar>
              <w:top w:w="100" w:type="dxa"/>
              <w:start w:w="120" w:type="dxa"/>
              <w:bottom w:w="100" w:type="dxa"/>
              <w:end w:w="120" w:type="dxa"/>
            </w:tcMar>
          </w:tcPr>
          <w:p>
            <w:r>
              <w:rPr>
                <w:sz w:val="15"/>
              </w:rPr>
              <w:t>Diesel price</w:t>
            </w:r>
          </w:p>
        </w:tc>
        <w:tc>
          <w:tcPr>
            <w:tcW w:type="dxa" w:w="2088"/>
            <w:shd w:fill="F3F5F6"/>
            <w:vAlign w:val="center"/>
            <w:tcMar>
              <w:top w:w="100" w:type="dxa"/>
              <w:start w:w="120" w:type="dxa"/>
              <w:bottom w:w="100" w:type="dxa"/>
              <w:end w:w="120" w:type="dxa"/>
            </w:tcMar>
          </w:tcPr>
          <w:p>
            <w:r>
              <w:rPr>
                <w:sz w:val="15"/>
              </w:rPr>
              <w:t>182.82 p/litre</w:t>
            </w:r>
          </w:p>
        </w:tc>
        <w:tc>
          <w:tcPr>
            <w:tcW w:type="dxa" w:w="5112"/>
            <w:shd w:fill="F3F5F6"/>
            <w:vAlign w:val="center"/>
            <w:tcMar>
              <w:top w:w="100" w:type="dxa"/>
              <w:start w:w="120" w:type="dxa"/>
              <w:bottom w:w="100" w:type="dxa"/>
              <w:end w:w="120" w:type="dxa"/>
            </w:tcMar>
          </w:tcPr>
          <w:p>
            <w:r>
              <w:rPr>
                <w:sz w:val="15"/>
              </w:rPr>
              <w:t>UK weekly road-fuel series, 24 August 2026 [3]</w:t>
            </w:r>
          </w:p>
        </w:tc>
      </w:tr>
      <w:tr>
        <w:trPr>
          <w:cantSplit/>
        </w:trPr>
        <w:tc>
          <w:tcPr>
            <w:tcW w:type="dxa" w:w="2592"/>
            <w:vAlign w:val="center"/>
            <w:tcMar>
              <w:top w:w="100" w:type="dxa"/>
              <w:start w:w="120" w:type="dxa"/>
              <w:bottom w:w="100" w:type="dxa"/>
              <w:end w:w="120" w:type="dxa"/>
            </w:tcMar>
          </w:tcPr>
          <w:p>
            <w:r>
              <w:rPr>
                <w:sz w:val="15"/>
              </w:rPr>
              <w:t>Diesel emissions factor</w:t>
            </w:r>
          </w:p>
        </w:tc>
        <w:tc>
          <w:tcPr>
            <w:tcW w:type="dxa" w:w="2088"/>
            <w:vAlign w:val="center"/>
            <w:tcMar>
              <w:top w:w="100" w:type="dxa"/>
              <w:start w:w="120" w:type="dxa"/>
              <w:bottom w:w="100" w:type="dxa"/>
              <w:end w:w="120" w:type="dxa"/>
            </w:tcMar>
          </w:tcPr>
          <w:p>
            <w:r>
              <w:rPr>
                <w:sz w:val="15"/>
              </w:rPr>
              <w:t>2.58354 kgCO₂e/litre</w:t>
            </w:r>
          </w:p>
        </w:tc>
        <w:tc>
          <w:tcPr>
            <w:tcW w:type="dxa" w:w="5112"/>
            <w:vAlign w:val="center"/>
            <w:tcMar>
              <w:top w:w="100" w:type="dxa"/>
              <w:start w:w="120" w:type="dxa"/>
              <w:bottom w:w="100" w:type="dxa"/>
              <w:end w:w="120" w:type="dxa"/>
            </w:tcMar>
          </w:tcPr>
          <w:p>
            <w:r>
              <w:rPr>
                <w:sz w:val="15"/>
              </w:rPr>
              <w:t>2026 UK average biofuel blend factor [4]</w:t>
            </w:r>
          </w:p>
        </w:tc>
      </w:tr>
    </w:tbl>
    <w:p>
      <w:pPr>
        <w:spacing w:after="0"/>
      </w:pPr>
    </w:p>
    <w:p>
      <w:pPr>
        <w:pStyle w:val="CaptionSmall"/>
      </w:pPr>
      <w:r>
        <w:t>Important: time, cost and capital assumptions are transparent test values, not official UK averages. They are designed to be overwritten with local evidence.</w:t>
      </w:r>
    </w:p>
    <w:p>
      <w:pPr>
        <w:pStyle w:val="Heading1"/>
      </w:pPr>
      <w:r>
        <w:t>3. Results</w:t>
      </w:r>
    </w:p>
    <w:p>
      <w:pPr>
        <w:pStyle w:val="Heading2"/>
      </w:pPr>
      <w:r>
        <w:t>Central case</w:t>
      </w:r>
    </w:p>
    <w:tbl>
      <w:tblPr>
        <w:tblStyle w:val="TableGrid"/>
        <w:tblW w:type="auto" w:w="0"/>
        <w:jc w:val="center"/>
        <w:tblLayout w:type="fixed"/>
        <w:tblLook w:firstColumn="1" w:firstRow="1" w:lastColumn="0" w:lastRow="0" w:noHBand="0" w:noVBand="1" w:val="04A0"/>
      </w:tblPr>
      <w:tblGrid>
        <w:gridCol w:w="2484"/>
        <w:gridCol w:w="2484"/>
        <w:gridCol w:w="2484"/>
        <w:gridCol w:w="2484"/>
      </w:tblGrid>
      <w:tr>
        <w:trPr>
          <w:tblHeader w:val="true"/>
          <w:cantSplit/>
        </w:trPr>
        <w:tc>
          <w:tcPr>
            <w:tcW w:type="dxa" w:w="2736"/>
            <w:shd w:fill="15344A"/>
            <w:tcMar>
              <w:top w:w="100" w:type="dxa"/>
              <w:start w:w="120" w:type="dxa"/>
              <w:bottom w:w="100" w:type="dxa"/>
              <w:end w:w="120" w:type="dxa"/>
            </w:tcMar>
          </w:tcPr>
          <w:p>
            <w:pPr>
              <w:jc w:val="left"/>
            </w:pPr>
            <w:r>
              <w:rPr>
                <w:b/>
                <w:color w:val="FFFFFF"/>
                <w:sz w:val="16"/>
              </w:rPr>
              <w:t>Measure</w:t>
            </w:r>
          </w:p>
        </w:tc>
        <w:tc>
          <w:tcPr>
            <w:tcW w:type="dxa" w:w="2376"/>
            <w:shd w:fill="15344A"/>
            <w:tcMar>
              <w:top w:w="100" w:type="dxa"/>
              <w:start w:w="120" w:type="dxa"/>
              <w:bottom w:w="100" w:type="dxa"/>
              <w:end w:w="120" w:type="dxa"/>
            </w:tcMar>
          </w:tcPr>
          <w:p>
            <w:pPr>
              <w:jc w:val="left"/>
            </w:pPr>
            <w:r>
              <w:rPr>
                <w:b/>
                <w:color w:val="FFFFFF"/>
                <w:sz w:val="16"/>
              </w:rPr>
              <w:t>Kerbside baseline</w:t>
            </w:r>
          </w:p>
        </w:tc>
        <w:tc>
          <w:tcPr>
            <w:tcW w:type="dxa" w:w="2448"/>
            <w:shd w:fill="15344A"/>
            <w:tcMar>
              <w:top w:w="100" w:type="dxa"/>
              <w:start w:w="120" w:type="dxa"/>
              <w:bottom w:w="100" w:type="dxa"/>
              <w:end w:w="120" w:type="dxa"/>
            </w:tcMar>
          </w:tcPr>
          <w:p>
            <w:pPr>
              <w:jc w:val="left"/>
            </w:pPr>
            <w:r>
              <w:rPr>
                <w:b/>
                <w:color w:val="FFFFFF"/>
                <w:sz w:val="16"/>
              </w:rPr>
              <w:t>Weekly communal hubs</w:t>
            </w:r>
          </w:p>
        </w:tc>
        <w:tc>
          <w:tcPr>
            <w:tcW w:type="dxa" w:w="2232"/>
            <w:shd w:fill="15344A"/>
            <w:tcMar>
              <w:top w:w="100" w:type="dxa"/>
              <w:start w:w="120" w:type="dxa"/>
              <w:bottom w:w="100" w:type="dxa"/>
              <w:end w:w="120" w:type="dxa"/>
            </w:tcMar>
          </w:tcPr>
          <w:p>
            <w:pPr>
              <w:jc w:val="left"/>
            </w:pPr>
            <w:r>
              <w:rPr>
                <w:b/>
                <w:color w:val="FFFFFF"/>
                <w:sz w:val="16"/>
              </w:rPr>
              <w:t>Difference</w:t>
            </w:r>
          </w:p>
        </w:tc>
      </w:tr>
      <w:tr>
        <w:trPr>
          <w:cantSplit/>
        </w:trPr>
        <w:tc>
          <w:tcPr>
            <w:tcW w:type="dxa" w:w="2736"/>
            <w:vAlign w:val="center"/>
            <w:tcMar>
              <w:top w:w="100" w:type="dxa"/>
              <w:start w:w="120" w:type="dxa"/>
              <w:bottom w:w="100" w:type="dxa"/>
              <w:end w:w="120" w:type="dxa"/>
            </w:tcMar>
          </w:tcPr>
          <w:p>
            <w:r>
              <w:rPr>
                <w:sz w:val="16"/>
              </w:rPr>
              <w:t>Annual collection stops/service events</w:t>
            </w:r>
          </w:p>
        </w:tc>
        <w:tc>
          <w:tcPr>
            <w:tcW w:type="dxa" w:w="2376"/>
            <w:vAlign w:val="center"/>
            <w:tcMar>
              <w:top w:w="100" w:type="dxa"/>
              <w:start w:w="120" w:type="dxa"/>
              <w:bottom w:w="100" w:type="dxa"/>
              <w:end w:w="120" w:type="dxa"/>
            </w:tcMar>
          </w:tcPr>
          <w:p>
            <w:pPr>
              <w:jc w:val="right"/>
            </w:pPr>
            <w:r>
              <w:rPr>
                <w:sz w:val="16"/>
              </w:rPr>
              <w:t>260,000 household stops</w:t>
            </w:r>
          </w:p>
        </w:tc>
        <w:tc>
          <w:tcPr>
            <w:tcW w:type="dxa" w:w="2448"/>
            <w:vAlign w:val="center"/>
            <w:tcMar>
              <w:top w:w="100" w:type="dxa"/>
              <w:start w:w="120" w:type="dxa"/>
              <w:bottom w:w="100" w:type="dxa"/>
              <w:end w:w="120" w:type="dxa"/>
            </w:tcMar>
          </w:tcPr>
          <w:p>
            <w:pPr>
              <w:jc w:val="right"/>
            </w:pPr>
            <w:r>
              <w:rPr>
                <w:sz w:val="16"/>
              </w:rPr>
              <w:t>13,000 hub services</w:t>
            </w:r>
          </w:p>
        </w:tc>
        <w:tc>
          <w:tcPr>
            <w:tcW w:type="dxa" w:w="2232"/>
            <w:vAlign w:val="center"/>
            <w:tcMar>
              <w:top w:w="100" w:type="dxa"/>
              <w:start w:w="120" w:type="dxa"/>
              <w:bottom w:w="100" w:type="dxa"/>
              <w:end w:w="120" w:type="dxa"/>
            </w:tcMar>
          </w:tcPr>
          <w:p>
            <w:pPr>
              <w:jc w:val="right"/>
            </w:pPr>
            <w:r>
              <w:rPr>
                <w:sz w:val="16"/>
              </w:rPr>
              <w:t>−247,000 events</w:t>
            </w:r>
          </w:p>
        </w:tc>
      </w:tr>
      <w:tr>
        <w:trPr>
          <w:cantSplit/>
        </w:trPr>
        <w:tc>
          <w:tcPr>
            <w:tcW w:type="dxa" w:w="2736"/>
            <w:shd w:fill="F3F5F6"/>
            <w:vAlign w:val="center"/>
            <w:tcMar>
              <w:top w:w="100" w:type="dxa"/>
              <w:start w:w="120" w:type="dxa"/>
              <w:bottom w:w="100" w:type="dxa"/>
              <w:end w:w="120" w:type="dxa"/>
            </w:tcMar>
          </w:tcPr>
          <w:p>
            <w:r>
              <w:rPr>
                <w:sz w:val="16"/>
              </w:rPr>
              <w:t>Annual stop-hours</w:t>
            </w:r>
          </w:p>
        </w:tc>
        <w:tc>
          <w:tcPr>
            <w:tcW w:type="dxa" w:w="2376"/>
            <w:shd w:fill="F3F5F6"/>
            <w:vAlign w:val="center"/>
            <w:tcMar>
              <w:top w:w="100" w:type="dxa"/>
              <w:start w:w="120" w:type="dxa"/>
              <w:bottom w:w="100" w:type="dxa"/>
              <w:end w:w="120" w:type="dxa"/>
            </w:tcMar>
          </w:tcPr>
          <w:p>
            <w:pPr>
              <w:jc w:val="right"/>
            </w:pPr>
            <w:r>
              <w:rPr>
                <w:sz w:val="16"/>
              </w:rPr>
              <w:t>4,044.4</w:t>
            </w:r>
          </w:p>
        </w:tc>
        <w:tc>
          <w:tcPr>
            <w:tcW w:type="dxa" w:w="2448"/>
            <w:shd w:fill="F3F5F6"/>
            <w:vAlign w:val="center"/>
            <w:tcMar>
              <w:top w:w="100" w:type="dxa"/>
              <w:start w:w="120" w:type="dxa"/>
              <w:bottom w:w="100" w:type="dxa"/>
              <w:end w:w="120" w:type="dxa"/>
            </w:tcMar>
          </w:tcPr>
          <w:p>
            <w:pPr>
              <w:jc w:val="right"/>
            </w:pPr>
            <w:r>
              <w:rPr>
                <w:sz w:val="16"/>
              </w:rPr>
              <w:t>1,516.7</w:t>
            </w:r>
          </w:p>
        </w:tc>
        <w:tc>
          <w:tcPr>
            <w:tcW w:type="dxa" w:w="2232"/>
            <w:shd w:fill="F3F5F6"/>
            <w:vAlign w:val="center"/>
            <w:tcMar>
              <w:top w:w="100" w:type="dxa"/>
              <w:start w:w="120" w:type="dxa"/>
              <w:bottom w:w="100" w:type="dxa"/>
              <w:end w:w="120" w:type="dxa"/>
            </w:tcMar>
          </w:tcPr>
          <w:p>
            <w:pPr>
              <w:jc w:val="right"/>
            </w:pPr>
            <w:r>
              <w:rPr>
                <w:sz w:val="16"/>
              </w:rPr>
              <w:t>−2,527.8 (−62.5%)</w:t>
            </w:r>
          </w:p>
        </w:tc>
      </w:tr>
      <w:tr>
        <w:trPr>
          <w:cantSplit/>
        </w:trPr>
        <w:tc>
          <w:tcPr>
            <w:tcW w:type="dxa" w:w="2736"/>
            <w:vAlign w:val="center"/>
            <w:tcMar>
              <w:top w:w="100" w:type="dxa"/>
              <w:start w:w="120" w:type="dxa"/>
              <w:bottom w:w="100" w:type="dxa"/>
              <w:end w:w="120" w:type="dxa"/>
            </w:tcMar>
          </w:tcPr>
          <w:p>
            <w:r>
              <w:rPr>
                <w:sz w:val="16"/>
              </w:rPr>
              <w:t>Gross route cost</w:t>
            </w:r>
          </w:p>
        </w:tc>
        <w:tc>
          <w:tcPr>
            <w:tcW w:type="dxa" w:w="2376"/>
            <w:vAlign w:val="center"/>
            <w:tcMar>
              <w:top w:w="100" w:type="dxa"/>
              <w:start w:w="120" w:type="dxa"/>
              <w:bottom w:w="100" w:type="dxa"/>
              <w:end w:w="120" w:type="dxa"/>
            </w:tcMar>
          </w:tcPr>
          <w:p>
            <w:pPr>
              <w:jc w:val="right"/>
            </w:pPr>
            <w:r>
              <w:rPr>
                <w:sz w:val="16"/>
              </w:rPr>
              <w:t>£518,013</w:t>
            </w:r>
          </w:p>
        </w:tc>
        <w:tc>
          <w:tcPr>
            <w:tcW w:type="dxa" w:w="2448"/>
            <w:vAlign w:val="center"/>
            <w:tcMar>
              <w:top w:w="100" w:type="dxa"/>
              <w:start w:w="120" w:type="dxa"/>
              <w:bottom w:w="100" w:type="dxa"/>
              <w:end w:w="120" w:type="dxa"/>
            </w:tcMar>
          </w:tcPr>
          <w:p>
            <w:pPr>
              <w:jc w:val="right"/>
            </w:pPr>
            <w:r>
              <w:rPr>
                <w:sz w:val="16"/>
              </w:rPr>
              <w:t>£194,230</w:t>
            </w:r>
          </w:p>
        </w:tc>
        <w:tc>
          <w:tcPr>
            <w:tcW w:type="dxa" w:w="2232"/>
            <w:vAlign w:val="center"/>
            <w:tcMar>
              <w:top w:w="100" w:type="dxa"/>
              <w:start w:w="120" w:type="dxa"/>
              <w:bottom w:w="100" w:type="dxa"/>
              <w:end w:w="120" w:type="dxa"/>
            </w:tcMar>
          </w:tcPr>
          <w:p>
            <w:pPr>
              <w:jc w:val="right"/>
            </w:pPr>
            <w:r>
              <w:rPr>
                <w:sz w:val="16"/>
              </w:rPr>
              <w:t>−£323,783</w:t>
            </w:r>
          </w:p>
        </w:tc>
      </w:tr>
      <w:tr>
        <w:trPr>
          <w:cantSplit/>
        </w:trPr>
        <w:tc>
          <w:tcPr>
            <w:tcW w:type="dxa" w:w="2736"/>
            <w:shd w:fill="F3F5F6"/>
            <w:vAlign w:val="center"/>
            <w:tcMar>
              <w:top w:w="100" w:type="dxa"/>
              <w:start w:w="120" w:type="dxa"/>
              <w:bottom w:w="100" w:type="dxa"/>
              <w:end w:w="120" w:type="dxa"/>
            </w:tcMar>
          </w:tcPr>
          <w:p>
            <w:r>
              <w:rPr>
                <w:sz w:val="16"/>
              </w:rPr>
              <w:t>Added hub-system costs</w:t>
            </w:r>
          </w:p>
        </w:tc>
        <w:tc>
          <w:tcPr>
            <w:tcW w:type="dxa" w:w="2376"/>
            <w:shd w:fill="F3F5F6"/>
            <w:vAlign w:val="center"/>
            <w:tcMar>
              <w:top w:w="100" w:type="dxa"/>
              <w:start w:w="120" w:type="dxa"/>
              <w:bottom w:w="100" w:type="dxa"/>
              <w:end w:w="120" w:type="dxa"/>
            </w:tcMar>
          </w:tcPr>
          <w:p>
            <w:pPr>
              <w:jc w:val="right"/>
            </w:pPr>
            <w:r>
              <w:rPr>
                <w:sz w:val="16"/>
              </w:rPr>
              <w:t>—</w:t>
            </w:r>
          </w:p>
        </w:tc>
        <w:tc>
          <w:tcPr>
            <w:tcW w:type="dxa" w:w="2448"/>
            <w:shd w:fill="F3F5F6"/>
            <w:vAlign w:val="center"/>
            <w:tcMar>
              <w:top w:w="100" w:type="dxa"/>
              <w:start w:w="120" w:type="dxa"/>
              <w:bottom w:w="100" w:type="dxa"/>
              <w:end w:w="120" w:type="dxa"/>
            </w:tcMar>
          </w:tcPr>
          <w:p>
            <w:pPr>
              <w:jc w:val="right"/>
            </w:pPr>
            <w:r>
              <w:rPr>
                <w:sz w:val="16"/>
              </w:rPr>
              <w:t>£312,299</w:t>
            </w:r>
          </w:p>
        </w:tc>
        <w:tc>
          <w:tcPr>
            <w:tcW w:type="dxa" w:w="2232"/>
            <w:shd w:fill="F3F5F6"/>
            <w:vAlign w:val="center"/>
            <w:tcMar>
              <w:top w:w="100" w:type="dxa"/>
              <w:start w:w="120" w:type="dxa"/>
              <w:bottom w:w="100" w:type="dxa"/>
              <w:end w:w="120" w:type="dxa"/>
            </w:tcMar>
          </w:tcPr>
          <w:p>
            <w:pPr>
              <w:jc w:val="right"/>
            </w:pPr>
            <w:r>
              <w:rPr>
                <w:sz w:val="16"/>
              </w:rPr>
              <w:t>+£312,299</w:t>
            </w:r>
          </w:p>
        </w:tc>
      </w:tr>
      <w:tr>
        <w:trPr>
          <w:cantSplit/>
        </w:trPr>
        <w:tc>
          <w:tcPr>
            <w:tcW w:type="dxa" w:w="2736"/>
            <w:vAlign w:val="center"/>
            <w:tcMar>
              <w:top w:w="100" w:type="dxa"/>
              <w:start w:w="120" w:type="dxa"/>
              <w:bottom w:w="100" w:type="dxa"/>
              <w:end w:w="120" w:type="dxa"/>
            </w:tcMar>
          </w:tcPr>
          <w:p>
            <w:r>
              <w:rPr>
                <w:sz w:val="16"/>
              </w:rPr>
              <w:t>Net annual result</w:t>
            </w:r>
          </w:p>
        </w:tc>
        <w:tc>
          <w:tcPr>
            <w:tcW w:type="dxa" w:w="2376"/>
            <w:vAlign w:val="center"/>
            <w:tcMar>
              <w:top w:w="100" w:type="dxa"/>
              <w:start w:w="120" w:type="dxa"/>
              <w:bottom w:w="100" w:type="dxa"/>
              <w:end w:w="120" w:type="dxa"/>
            </w:tcMar>
          </w:tcPr>
          <w:p>
            <w:pPr>
              <w:jc w:val="right"/>
            </w:pPr>
            <w:r>
              <w:rPr>
                <w:sz w:val="16"/>
              </w:rPr>
              <w:t>Reference</w:t>
            </w:r>
          </w:p>
        </w:tc>
        <w:tc>
          <w:tcPr>
            <w:tcW w:type="dxa" w:w="2448"/>
            <w:vAlign w:val="center"/>
            <w:tcMar>
              <w:top w:w="100" w:type="dxa"/>
              <w:start w:w="120" w:type="dxa"/>
              <w:bottom w:w="100" w:type="dxa"/>
              <w:end w:w="120" w:type="dxa"/>
            </w:tcMar>
          </w:tcPr>
          <w:p>
            <w:pPr>
              <w:jc w:val="right"/>
            </w:pPr>
            <w:r>
              <w:rPr>
                <w:sz w:val="16"/>
              </w:rPr>
              <w:t>£11,484 lower cost</w:t>
            </w:r>
          </w:p>
        </w:tc>
        <w:tc>
          <w:tcPr>
            <w:tcW w:type="dxa" w:w="2232"/>
            <w:vAlign w:val="center"/>
            <w:tcMar>
              <w:top w:w="100" w:type="dxa"/>
              <w:start w:w="120" w:type="dxa"/>
              <w:bottom w:w="100" w:type="dxa"/>
              <w:end w:w="120" w:type="dxa"/>
            </w:tcMar>
          </w:tcPr>
          <w:p>
            <w:pPr>
              <w:jc w:val="right"/>
            </w:pPr>
            <w:r>
              <w:rPr>
                <w:sz w:val="16"/>
              </w:rPr>
              <w:t>+£1.15/household</w:t>
            </w:r>
          </w:p>
        </w:tc>
      </w:tr>
    </w:tbl>
    <w:p>
      <w:pPr>
        <w:spacing w:after="0"/>
      </w:pPr>
    </w:p>
    <w:tbl>
      <w:tblPr>
        <w:tblW w:type="auto" w:w="0"/>
        <w:jc w:val="center"/>
        <w:tblLayout w:type="fixed"/>
        <w:tblLook w:firstColumn="1" w:firstRow="1" w:lastColumn="0" w:lastRow="0" w:noHBand="0" w:noVBand="1" w:val="04A0"/>
      </w:tblPr>
      <w:tblGrid>
        <w:gridCol w:w="9936"/>
      </w:tblGrid>
      <w:tr>
        <w:trPr>
          <w:cantSplit/>
        </w:trPr>
        <w:tc>
          <w:tcPr>
            <w:tcW w:type="dxa" w:w="9792"/>
            <w:shd w:fill="EDF6F0"/>
            <w:tcMar>
              <w:top w:w="160" w:type="dxa"/>
              <w:start w:w="180" w:type="dxa"/>
              <w:bottom w:w="160" w:type="dxa"/>
              <w:end w:w="180" w:type="dxa"/>
            </w:tcMar>
          </w:tcPr>
          <w:p>
            <w:pPr>
              <w:pStyle w:val="Callout"/>
            </w:pPr>
            <w:r>
              <w:rPr>
                <w:color w:val="26734D"/>
              </w:rPr>
              <w:t>The central case does what the proposal suggests operationally: it doubles recycling frequency while cutting modelled collection stop-hours by 62.5%. Financially, however, it only just breaks even after hub-system costs.</w:t>
            </w:r>
          </w:p>
        </w:tc>
      </w:tr>
    </w:tbl>
    <w:p>
      <w:pPr>
        <w:spacing w:after="0"/>
      </w:pPr>
    </w:p>
    <w:p>
      <w:pPr>
        <w:pStyle w:val="Heading2"/>
      </w:pPr>
      <w:r>
        <w:t>Fuel and operational emissions</w:t>
      </w:r>
    </w:p>
    <w:p>
      <w:pPr>
        <w:keepLines/>
      </w:pPr>
      <w:r>
        <w:t>The central model associates the avoided vehicle time with 22,244 litres of diesel and 57.5 tonnes CO₂e per year. This is an operational estimate, not a whole-life carbon assessment: manufacturing and installing containers, civil works, resident travel changes, altered mileage, end treatment and vehicle replacement are excluded. Because the fuel estimate is time-based, a route-engineered mileage/fuel model should replace it during a pilot business case.</w:t>
      </w:r>
    </w:p>
    <w:p>
      <w:pPr>
        <w:pStyle w:val="Heading2"/>
      </w:pPr>
      <w:r>
        <w:t>Break-even interpretation</w:t>
      </w:r>
    </w:p>
    <w:p>
      <w:pPr>
        <w:keepLines/>
      </w:pPr>
      <w:r>
        <w:t>Holding the other central assumptions fixed, financial break-even occurs at roughly 39 households per hub. At 40, the result is a small saving. Below that density, capital and servicing more hubs overwhelms the stop-time saving. This is the model’s most important practical insight: the concept depends less on the label “communal” than on how many suitable households can safely and conveniently share each installation.</w:t>
      </w:r>
    </w:p>
    <w:p>
      <w:pPr>
        <w:pStyle w:val="Heading2"/>
      </w:pPr>
      <w:r>
        <w:t>Scenario tests</w:t>
      </w:r>
    </w:p>
    <w:tbl>
      <w:tblPr>
        <w:tblStyle w:val="TableGrid"/>
        <w:tblW w:type="auto" w:w="0"/>
        <w:jc w:val="center"/>
        <w:tblLayout w:type="fixed"/>
        <w:tblLook w:firstColumn="1" w:firstRow="1" w:lastColumn="0" w:lastRow="0" w:noHBand="0" w:noVBand="1" w:val="04A0"/>
      </w:tblPr>
      <w:tblGrid>
        <w:gridCol w:w="1987"/>
        <w:gridCol w:w="1987"/>
        <w:gridCol w:w="1987"/>
        <w:gridCol w:w="1987"/>
        <w:gridCol w:w="1987"/>
      </w:tblGrid>
      <w:tr>
        <w:trPr>
          <w:tblHeader w:val="true"/>
          <w:cantSplit/>
        </w:trPr>
        <w:tc>
          <w:tcPr>
            <w:tcW w:type="dxa" w:w="1800"/>
            <w:shd w:fill="15344A"/>
            <w:tcMar>
              <w:top w:w="100" w:type="dxa"/>
              <w:start w:w="120" w:type="dxa"/>
              <w:bottom w:w="100" w:type="dxa"/>
              <w:end w:w="120" w:type="dxa"/>
            </w:tcMar>
          </w:tcPr>
          <w:p>
            <w:pPr>
              <w:jc w:val="left"/>
            </w:pPr>
            <w:r>
              <w:rPr>
                <w:b/>
                <w:color w:val="FFFFFF"/>
                <w:sz w:val="15"/>
              </w:rPr>
              <w:t>Scenario</w:t>
            </w:r>
          </w:p>
        </w:tc>
        <w:tc>
          <w:tcPr>
            <w:tcW w:type="dxa" w:w="1512"/>
            <w:shd w:fill="15344A"/>
            <w:tcMar>
              <w:top w:w="100" w:type="dxa"/>
              <w:start w:w="120" w:type="dxa"/>
              <w:bottom w:w="100" w:type="dxa"/>
              <w:end w:w="120" w:type="dxa"/>
            </w:tcMar>
          </w:tcPr>
          <w:p>
            <w:pPr>
              <w:jc w:val="left"/>
            </w:pPr>
            <w:r>
              <w:rPr>
                <w:b/>
                <w:color w:val="FFFFFF"/>
                <w:sz w:val="15"/>
              </w:rPr>
              <w:t>Stop-hours saved</w:t>
            </w:r>
          </w:p>
        </w:tc>
        <w:tc>
          <w:tcPr>
            <w:tcW w:type="dxa" w:w="1728"/>
            <w:shd w:fill="15344A"/>
            <w:tcMar>
              <w:top w:w="100" w:type="dxa"/>
              <w:start w:w="120" w:type="dxa"/>
              <w:bottom w:w="100" w:type="dxa"/>
              <w:end w:w="120" w:type="dxa"/>
            </w:tcMar>
          </w:tcPr>
          <w:p>
            <w:pPr>
              <w:jc w:val="left"/>
            </w:pPr>
            <w:r>
              <w:rPr>
                <w:b/>
                <w:color w:val="FFFFFF"/>
                <w:sz w:val="15"/>
              </w:rPr>
              <w:t>Net annual result</w:t>
            </w:r>
          </w:p>
        </w:tc>
        <w:tc>
          <w:tcPr>
            <w:tcW w:type="dxa" w:w="1584"/>
            <w:shd w:fill="15344A"/>
            <w:tcMar>
              <w:top w:w="100" w:type="dxa"/>
              <w:start w:w="120" w:type="dxa"/>
              <w:bottom w:w="100" w:type="dxa"/>
              <w:end w:w="120" w:type="dxa"/>
            </w:tcMar>
          </w:tcPr>
          <w:p>
            <w:pPr>
              <w:jc w:val="left"/>
            </w:pPr>
            <w:r>
              <w:rPr>
                <w:b/>
                <w:color w:val="FFFFFF"/>
                <w:sz w:val="15"/>
              </w:rPr>
              <w:t>Per household</w:t>
            </w:r>
          </w:p>
        </w:tc>
        <w:tc>
          <w:tcPr>
            <w:tcW w:type="dxa" w:w="3168"/>
            <w:shd w:fill="15344A"/>
            <w:tcMar>
              <w:top w:w="100" w:type="dxa"/>
              <w:start w:w="120" w:type="dxa"/>
              <w:bottom w:w="100" w:type="dxa"/>
              <w:end w:w="120" w:type="dxa"/>
            </w:tcMar>
          </w:tcPr>
          <w:p>
            <w:pPr>
              <w:jc w:val="left"/>
            </w:pPr>
            <w:r>
              <w:rPr>
                <w:b/>
                <w:color w:val="FFFFFF"/>
                <w:sz w:val="15"/>
              </w:rPr>
              <w:t>Interpretation</w:t>
            </w:r>
          </w:p>
        </w:tc>
      </w:tr>
      <w:tr>
        <w:trPr>
          <w:cantSplit/>
        </w:trPr>
        <w:tc>
          <w:tcPr>
            <w:tcW w:type="dxa" w:w="1800"/>
            <w:vAlign w:val="center"/>
            <w:tcMar>
              <w:top w:w="100" w:type="dxa"/>
              <w:start w:w="120" w:type="dxa"/>
              <w:bottom w:w="100" w:type="dxa"/>
              <w:end w:w="120" w:type="dxa"/>
            </w:tcMar>
          </w:tcPr>
          <w:p>
            <w:r>
              <w:rPr>
                <w:sz w:val="15"/>
              </w:rPr>
              <w:t>Optimistic dense</w:t>
            </w:r>
          </w:p>
        </w:tc>
        <w:tc>
          <w:tcPr>
            <w:tcW w:type="dxa" w:w="1512"/>
            <w:vAlign w:val="center"/>
            <w:tcMar>
              <w:top w:w="100" w:type="dxa"/>
              <w:start w:w="120" w:type="dxa"/>
              <w:bottom w:w="100" w:type="dxa"/>
              <w:end w:w="120" w:type="dxa"/>
            </w:tcMar>
          </w:tcPr>
          <w:p>
            <w:pPr>
              <w:jc w:val="right"/>
            </w:pPr>
            <w:r>
              <w:rPr>
                <w:sz w:val="15"/>
              </w:rPr>
              <w:t>78.0%</w:t>
            </w:r>
          </w:p>
        </w:tc>
        <w:tc>
          <w:tcPr>
            <w:tcW w:type="dxa" w:w="1728"/>
            <w:vAlign w:val="center"/>
            <w:tcMar>
              <w:top w:w="100" w:type="dxa"/>
              <w:start w:w="120" w:type="dxa"/>
              <w:bottom w:w="100" w:type="dxa"/>
              <w:end w:w="120" w:type="dxa"/>
            </w:tcMar>
          </w:tcPr>
          <w:p>
            <w:pPr>
              <w:jc w:val="right"/>
            </w:pPr>
            <w:r>
              <w:rPr>
                <w:sz w:val="15"/>
              </w:rPr>
              <w:t>+£281,402</w:t>
            </w:r>
          </w:p>
        </w:tc>
        <w:tc>
          <w:tcPr>
            <w:tcW w:type="dxa" w:w="1584"/>
            <w:vAlign w:val="center"/>
            <w:tcMar>
              <w:top w:w="100" w:type="dxa"/>
              <w:start w:w="120" w:type="dxa"/>
              <w:bottom w:w="100" w:type="dxa"/>
              <w:end w:w="120" w:type="dxa"/>
            </w:tcMar>
          </w:tcPr>
          <w:p>
            <w:pPr>
              <w:jc w:val="right"/>
            </w:pPr>
            <w:r>
              <w:rPr>
                <w:sz w:val="15"/>
              </w:rPr>
              <w:t>+£28.14</w:t>
            </w:r>
          </w:p>
        </w:tc>
        <w:tc>
          <w:tcPr>
            <w:tcW w:type="dxa" w:w="3168"/>
            <w:vAlign w:val="center"/>
            <w:tcMar>
              <w:top w:w="100" w:type="dxa"/>
              <w:start w:w="120" w:type="dxa"/>
              <w:bottom w:w="100" w:type="dxa"/>
              <w:end w:w="120" w:type="dxa"/>
            </w:tcMar>
          </w:tcPr>
          <w:p>
            <w:r>
              <w:rPr>
                <w:sz w:val="15"/>
              </w:rPr>
              <w:t>Strong consolidation, efficient servicing and controlled costs</w:t>
            </w:r>
          </w:p>
        </w:tc>
      </w:tr>
      <w:tr>
        <w:trPr>
          <w:cantSplit/>
        </w:trPr>
        <w:tc>
          <w:tcPr>
            <w:tcW w:type="dxa" w:w="1800"/>
            <w:shd w:fill="F3F5F6"/>
            <w:vAlign w:val="center"/>
            <w:tcMar>
              <w:top w:w="100" w:type="dxa"/>
              <w:start w:w="120" w:type="dxa"/>
              <w:bottom w:w="100" w:type="dxa"/>
              <w:end w:w="120" w:type="dxa"/>
            </w:tcMar>
          </w:tcPr>
          <w:p>
            <w:r>
              <w:rPr>
                <w:sz w:val="15"/>
              </w:rPr>
              <w:t>Central</w:t>
            </w:r>
          </w:p>
        </w:tc>
        <w:tc>
          <w:tcPr>
            <w:tcW w:type="dxa" w:w="1512"/>
            <w:shd w:fill="F3F5F6"/>
            <w:vAlign w:val="center"/>
            <w:tcMar>
              <w:top w:w="100" w:type="dxa"/>
              <w:start w:w="120" w:type="dxa"/>
              <w:bottom w:w="100" w:type="dxa"/>
              <w:end w:w="120" w:type="dxa"/>
            </w:tcMar>
          </w:tcPr>
          <w:p>
            <w:pPr>
              <w:jc w:val="right"/>
            </w:pPr>
            <w:r>
              <w:rPr>
                <w:sz w:val="15"/>
              </w:rPr>
              <w:t>62.5%</w:t>
            </w:r>
          </w:p>
        </w:tc>
        <w:tc>
          <w:tcPr>
            <w:tcW w:type="dxa" w:w="1728"/>
            <w:shd w:fill="F3F5F6"/>
            <w:vAlign w:val="center"/>
            <w:tcMar>
              <w:top w:w="100" w:type="dxa"/>
              <w:start w:w="120" w:type="dxa"/>
              <w:bottom w:w="100" w:type="dxa"/>
              <w:end w:w="120" w:type="dxa"/>
            </w:tcMar>
          </w:tcPr>
          <w:p>
            <w:pPr>
              <w:jc w:val="right"/>
            </w:pPr>
            <w:r>
              <w:rPr>
                <w:sz w:val="15"/>
              </w:rPr>
              <w:t>+£11,484</w:t>
            </w:r>
          </w:p>
        </w:tc>
        <w:tc>
          <w:tcPr>
            <w:tcW w:type="dxa" w:w="1584"/>
            <w:shd w:fill="F3F5F6"/>
            <w:vAlign w:val="center"/>
            <w:tcMar>
              <w:top w:w="100" w:type="dxa"/>
              <w:start w:w="120" w:type="dxa"/>
              <w:bottom w:w="100" w:type="dxa"/>
              <w:end w:w="120" w:type="dxa"/>
            </w:tcMar>
          </w:tcPr>
          <w:p>
            <w:pPr>
              <w:jc w:val="right"/>
            </w:pPr>
            <w:r>
              <w:rPr>
                <w:sz w:val="15"/>
              </w:rPr>
              <w:t>+£1.15</w:t>
            </w:r>
          </w:p>
        </w:tc>
        <w:tc>
          <w:tcPr>
            <w:tcW w:type="dxa" w:w="3168"/>
            <w:shd w:fill="F3F5F6"/>
            <w:vAlign w:val="center"/>
            <w:tcMar>
              <w:top w:w="100" w:type="dxa"/>
              <w:start w:w="120" w:type="dxa"/>
              <w:bottom w:w="100" w:type="dxa"/>
              <w:end w:w="120" w:type="dxa"/>
            </w:tcMar>
          </w:tcPr>
          <w:p>
            <w:r>
              <w:rPr>
                <w:sz w:val="15"/>
              </w:rPr>
              <w:t>Near break-even; evidence-gathering case</w:t>
            </w:r>
          </w:p>
        </w:tc>
      </w:tr>
      <w:tr>
        <w:trPr>
          <w:cantSplit/>
        </w:trPr>
        <w:tc>
          <w:tcPr>
            <w:tcW w:type="dxa" w:w="1800"/>
            <w:vAlign w:val="center"/>
            <w:tcMar>
              <w:top w:w="100" w:type="dxa"/>
              <w:start w:w="120" w:type="dxa"/>
              <w:bottom w:w="100" w:type="dxa"/>
              <w:end w:w="120" w:type="dxa"/>
            </w:tcMar>
          </w:tcPr>
          <w:p>
            <w:r>
              <w:rPr>
                <w:sz w:val="15"/>
              </w:rPr>
              <w:t>Difficult dense</w:t>
            </w:r>
          </w:p>
        </w:tc>
        <w:tc>
          <w:tcPr>
            <w:tcW w:type="dxa" w:w="1512"/>
            <w:vAlign w:val="center"/>
            <w:tcMar>
              <w:top w:w="100" w:type="dxa"/>
              <w:start w:w="120" w:type="dxa"/>
              <w:bottom w:w="100" w:type="dxa"/>
              <w:end w:w="120" w:type="dxa"/>
            </w:tcMar>
          </w:tcPr>
          <w:p>
            <w:pPr>
              <w:jc w:val="right"/>
            </w:pPr>
            <w:r>
              <w:rPr>
                <w:sz w:val="15"/>
              </w:rPr>
              <w:t>16.9%</w:t>
            </w:r>
          </w:p>
        </w:tc>
        <w:tc>
          <w:tcPr>
            <w:tcW w:type="dxa" w:w="1728"/>
            <w:vAlign w:val="center"/>
            <w:tcMar>
              <w:top w:w="100" w:type="dxa"/>
              <w:start w:w="120" w:type="dxa"/>
              <w:bottom w:w="100" w:type="dxa"/>
              <w:end w:w="120" w:type="dxa"/>
            </w:tcMar>
          </w:tcPr>
          <w:p>
            <w:pPr>
              <w:jc w:val="right"/>
            </w:pPr>
            <w:r>
              <w:rPr>
                <w:sz w:val="15"/>
              </w:rPr>
              <w:t>−£818,707</w:t>
            </w:r>
          </w:p>
        </w:tc>
        <w:tc>
          <w:tcPr>
            <w:tcW w:type="dxa" w:w="1584"/>
            <w:vAlign w:val="center"/>
            <w:tcMar>
              <w:top w:w="100" w:type="dxa"/>
              <w:start w:w="120" w:type="dxa"/>
              <w:bottom w:w="100" w:type="dxa"/>
              <w:end w:w="120" w:type="dxa"/>
            </w:tcMar>
          </w:tcPr>
          <w:p>
            <w:pPr>
              <w:jc w:val="right"/>
            </w:pPr>
            <w:r>
              <w:rPr>
                <w:sz w:val="15"/>
              </w:rPr>
              <w:t>−£81.87</w:t>
            </w:r>
          </w:p>
        </w:tc>
        <w:tc>
          <w:tcPr>
            <w:tcW w:type="dxa" w:w="3168"/>
            <w:vAlign w:val="center"/>
            <w:tcMar>
              <w:top w:w="100" w:type="dxa"/>
              <w:start w:w="120" w:type="dxa"/>
              <w:bottom w:w="100" w:type="dxa"/>
              <w:end w:w="120" w:type="dxa"/>
            </w:tcMar>
          </w:tcPr>
          <w:p>
            <w:r>
              <w:rPr>
                <w:sz w:val="15"/>
              </w:rPr>
              <w:t>Slow hub service, high capital/cleaning or weak consolidation</w:t>
            </w:r>
          </w:p>
        </w:tc>
      </w:tr>
      <w:tr>
        <w:trPr>
          <w:cantSplit/>
        </w:trPr>
        <w:tc>
          <w:tcPr>
            <w:tcW w:type="dxa" w:w="1800"/>
            <w:shd w:fill="F3F5F6"/>
            <w:vAlign w:val="center"/>
            <w:tcMar>
              <w:top w:w="100" w:type="dxa"/>
              <w:start w:w="120" w:type="dxa"/>
              <w:bottom w:w="100" w:type="dxa"/>
              <w:end w:w="120" w:type="dxa"/>
            </w:tcMar>
          </w:tcPr>
          <w:p>
            <w:r>
              <w:rPr>
                <w:sz w:val="15"/>
              </w:rPr>
              <w:t>Lower density</w:t>
            </w:r>
          </w:p>
        </w:tc>
        <w:tc>
          <w:tcPr>
            <w:tcW w:type="dxa" w:w="1512"/>
            <w:shd w:fill="F3F5F6"/>
            <w:vAlign w:val="center"/>
            <w:tcMar>
              <w:top w:w="100" w:type="dxa"/>
              <w:start w:w="120" w:type="dxa"/>
              <w:bottom w:w="100" w:type="dxa"/>
              <w:end w:w="120" w:type="dxa"/>
            </w:tcMar>
          </w:tcPr>
          <w:p>
            <w:pPr>
              <w:jc w:val="right"/>
            </w:pPr>
            <w:r>
              <w:rPr>
                <w:sz w:val="15"/>
              </w:rPr>
              <w:t>0.0%</w:t>
            </w:r>
          </w:p>
        </w:tc>
        <w:tc>
          <w:tcPr>
            <w:tcW w:type="dxa" w:w="1728"/>
            <w:shd w:fill="F3F5F6"/>
            <w:vAlign w:val="center"/>
            <w:tcMar>
              <w:top w:w="100" w:type="dxa"/>
              <w:start w:w="120" w:type="dxa"/>
              <w:bottom w:w="100" w:type="dxa"/>
              <w:end w:w="120" w:type="dxa"/>
            </w:tcMar>
          </w:tcPr>
          <w:p>
            <w:pPr>
              <w:jc w:val="right"/>
            </w:pPr>
            <w:r>
              <w:rPr>
                <w:sz w:val="15"/>
              </w:rPr>
              <w:t>−£775,632</w:t>
            </w:r>
          </w:p>
        </w:tc>
        <w:tc>
          <w:tcPr>
            <w:tcW w:type="dxa" w:w="1584"/>
            <w:shd w:fill="F3F5F6"/>
            <w:vAlign w:val="center"/>
            <w:tcMar>
              <w:top w:w="100" w:type="dxa"/>
              <w:start w:w="120" w:type="dxa"/>
              <w:bottom w:w="100" w:type="dxa"/>
              <w:end w:w="120" w:type="dxa"/>
            </w:tcMar>
          </w:tcPr>
          <w:p>
            <w:pPr>
              <w:jc w:val="right"/>
            </w:pPr>
            <w:r>
              <w:rPr>
                <w:sz w:val="15"/>
              </w:rPr>
              <w:t>−£77.56</w:t>
            </w:r>
          </w:p>
        </w:tc>
        <w:tc>
          <w:tcPr>
            <w:tcW w:type="dxa" w:w="3168"/>
            <w:shd w:fill="F3F5F6"/>
            <w:vAlign w:val="center"/>
            <w:tcMar>
              <w:top w:w="100" w:type="dxa"/>
              <w:start w:w="120" w:type="dxa"/>
              <w:bottom w:w="100" w:type="dxa"/>
              <w:end w:w="120" w:type="dxa"/>
            </w:tcMar>
          </w:tcPr>
          <w:p>
            <w:r>
              <w:rPr>
                <w:sz w:val="15"/>
              </w:rPr>
              <w:t>Too many hubs; weekly service creates no stop-hour gain</w:t>
            </w:r>
          </w:p>
        </w:tc>
      </w:tr>
      <w:tr>
        <w:tc>
          <w:tcPr>
            <w:tcW w:type="dxa" w:w="1987"/>
            <w:shd w:fill="F4E2A6"/>
            <w:tcBorders>
              <w:top w:val="single" w:sz="5" w:color="D5C16E"/>
              <w:left w:val="single" w:sz="5" w:color="D5C16E"/>
              <w:bottom w:val="single" w:sz="5" w:color="D5C16E"/>
              <w:right w:val="single" w:sz="5" w:color="D5C16E"/>
            </w:tcBorders>
            <w:tcMar>
              <w:top w:w="100" w:type="dxa"/>
              <w:start w:w="120" w:type="dxa"/>
              <w:bottom w:w="100" w:type="dxa"/>
              <w:end w:w="120" w:type="dxa"/>
            </w:tcMar>
          </w:tcPr>
          <w:p>
            <w:r>
              <w:rPr>
                <w:rFonts w:ascii="Arial" w:hAnsi="Arial"/>
              </w:rPr>
              <w:t>Central · £12k hub</w:t>
            </w:r>
          </w:p>
        </w:tc>
        <w:tc>
          <w:tcPr>
            <w:tcW w:type="dxa" w:w="1987"/>
            <w:shd w:fill="F4E2A6"/>
            <w:tcBorders>
              <w:top w:val="single" w:sz="5" w:color="D5C16E"/>
              <w:left w:val="single" w:sz="5" w:color="D5C16E"/>
              <w:bottom w:val="single" w:sz="5" w:color="D5C16E"/>
              <w:right w:val="single" w:sz="5" w:color="D5C16E"/>
            </w:tcBorders>
            <w:tcMar>
              <w:top w:w="100" w:type="dxa"/>
              <w:start w:w="120" w:type="dxa"/>
              <w:bottom w:w="100" w:type="dxa"/>
              <w:end w:w="120" w:type="dxa"/>
            </w:tcMar>
          </w:tcPr>
          <w:p>
            <w:r>
              <w:rPr>
                <w:rFonts w:ascii="Arial" w:hAnsi="Arial"/>
              </w:rPr>
              <w:t>62.5%</w:t>
            </w:r>
          </w:p>
        </w:tc>
        <w:tc>
          <w:tcPr>
            <w:tcW w:type="dxa" w:w="1987"/>
            <w:shd w:fill="F4E2A6"/>
            <w:tcBorders>
              <w:top w:val="single" w:sz="5" w:color="D5C16E"/>
              <w:left w:val="single" w:sz="5" w:color="D5C16E"/>
              <w:bottom w:val="single" w:sz="5" w:color="D5C16E"/>
              <w:right w:val="single" w:sz="5" w:color="D5C16E"/>
            </w:tcBorders>
            <w:tcMar>
              <w:top w:w="100" w:type="dxa"/>
              <w:start w:w="120" w:type="dxa"/>
              <w:bottom w:w="100" w:type="dxa"/>
              <w:end w:w="120" w:type="dxa"/>
            </w:tcMar>
          </w:tcPr>
          <w:p>
            <w:r>
              <w:rPr>
                <w:rFonts w:ascii="Arial" w:hAnsi="Arial"/>
              </w:rPr>
              <w:t>−£138,516</w:t>
            </w:r>
          </w:p>
        </w:tc>
        <w:tc>
          <w:tcPr>
            <w:tcW w:type="dxa" w:w="1987"/>
            <w:shd w:fill="F4E2A6"/>
            <w:tcBorders>
              <w:top w:val="single" w:sz="5" w:color="D5C16E"/>
              <w:left w:val="single" w:sz="5" w:color="D5C16E"/>
              <w:bottom w:val="single" w:sz="5" w:color="D5C16E"/>
              <w:right w:val="single" w:sz="5" w:color="D5C16E"/>
            </w:tcBorders>
            <w:tcMar>
              <w:top w:w="100" w:type="dxa"/>
              <w:start w:w="120" w:type="dxa"/>
              <w:bottom w:w="100" w:type="dxa"/>
              <w:end w:w="120" w:type="dxa"/>
            </w:tcMar>
          </w:tcPr>
          <w:p>
            <w:r>
              <w:rPr>
                <w:rFonts w:ascii="Arial" w:hAnsi="Arial"/>
              </w:rPr>
              <w:t>−£13.85</w:t>
            </w:r>
          </w:p>
        </w:tc>
        <w:tc>
          <w:tcPr>
            <w:tcW w:type="dxa" w:w="1987"/>
            <w:shd w:fill="F4E2A6"/>
            <w:tcBorders>
              <w:top w:val="single" w:sz="5" w:color="D5C16E"/>
              <w:left w:val="single" w:sz="5" w:color="D5C16E"/>
              <w:bottom w:val="single" w:sz="5" w:color="D5C16E"/>
              <w:right w:val="single" w:sz="5" w:color="D5C16E"/>
            </w:tcBorders>
            <w:tcMar>
              <w:top w:w="100" w:type="dxa"/>
              <w:start w:w="120" w:type="dxa"/>
              <w:bottom w:w="100" w:type="dxa"/>
              <w:end w:w="120" w:type="dxa"/>
            </w:tcMar>
          </w:tcPr>
          <w:p>
            <w:r>
              <w:rPr>
                <w:rFonts w:ascii="Arial" w:hAnsi="Arial"/>
              </w:rPr>
              <w:t>Capital-only sensitivity: all other central assumptions fixed</w:t>
            </w:r>
          </w:p>
        </w:tc>
      </w:tr>
    </w:tbl>
    <w:p>
      <w:pPr>
        <w:spacing w:before="100" w:after="100"/>
      </w:pPr>
      <w:r>
        <w:rPr>
          <w:color w:val="17231F"/>
        </w:rPr>
        <w:t>Reconciliation note. The workbook’s central case has always used £6,000 per hub. An earlier paper table accidentally stated £12,000 while still reporting the £6,000-based result. This edition corrects that label and preserves £12,000 as a downside sensitivity: doubling hub capital alone changes the annual result from +£11,484 to −£138,516.</w:t>
      </w:r>
    </w:p>
    <w:p>
      <w:pPr>
        <w:spacing w:after="0"/>
      </w:pPr>
    </w:p>
    <w:p>
      <w:pPr>
        <w:pStyle w:val="Heading2"/>
      </w:pPr>
      <w:r>
        <w:t>Uncertainty test</w:t>
      </w:r>
    </w:p>
    <w:p>
      <w:pPr>
        <w:keepLines/>
      </w:pPr>
      <w:r>
        <w:t>A deterministic 5,000-draw sensitivity exercise varies hub density, service times, vehicle cost, capital, maintenance, administration, contamination and fuel-related inputs over plausible planning ranges. Results: 54.1% of draws are positive; mean −£4,578; median +£15,990; 5th percentile −£289,052; 95th percentile +£214,790. Median emissions avoided are 61.1 tCO₂e. These figures reveal outcome sensitivity; they are not a measured probability distribution and should not be described as a 54.1% chance of success.</w:t>
      </w:r>
    </w:p>
    <w:p>
      <w:pPr>
        <w:pStyle w:val="Heading1"/>
      </w:pPr>
      <w:r>
        <w:t>4. Benefits that are credible—but conditional</w:t>
      </w:r>
    </w:p>
    <w:p>
      <w:pPr>
        <w:pStyle w:val="Heading2"/>
      </w:pPr>
      <w:r>
        <w:t>More frequent service with fewer crew stops</w:t>
      </w:r>
    </w:p>
    <w:p>
      <w:pPr>
        <w:keepLines/>
      </w:pPr>
      <w:r>
        <w:t>The model supports the operational claim in dense settings. Weekly hub servicing can require fewer service hours than fortnightly doorstep collection because service frequency doubles while service points fall much more sharply. The gain is available for reinvestment in frequency, resilience or savings. Whether a council can schedule “another pickup day” also depends on shift patterns, depot constraints, unloading trips, vehicle payload, traffic and the treatment-site timetable—all outside the stop model.</w:t>
      </w:r>
    </w:p>
    <w:p>
      <w:pPr>
        <w:pStyle w:val="Heading2"/>
      </w:pPr>
      <w:r>
        <w:t>Less waste stored inside small homes</w:t>
      </w:r>
    </w:p>
    <w:p>
      <w:pPr>
        <w:keepLines/>
      </w:pPr>
      <w:r>
        <w:t>For flats, terraces without front gardens and homes using indoor sacks or boxes, a nearby always-available hub can transfer storage away from the dwelling. Liverpool’s scheme explicitly targeted dense terraced neighbourhoods affected by black-bag presentation and street cleanliness [8]. This benefit is real but uneven: residents with garages or private bins may gain little, while people with limited mobility may face a new burden.</w:t>
      </w:r>
    </w:p>
    <w:p>
      <w:pPr>
        <w:pStyle w:val="Heading2"/>
      </w:pPr>
      <w:r>
        <w:t>Street environment and data</w:t>
      </w:r>
    </w:p>
    <w:p>
      <w:pPr>
        <w:keepLines/>
      </w:pPr>
      <w:r>
        <w:t>Well-sited hubs can reduce loose bags, scattered small containers and repeated set-out days. Standardised equipment may support fill sensors, predictable sweeping and clearer signage. Yet a poorly maintained hub can concentrate litter, odour and fly-tipping in one contested location. Service standards—not the container alone—determine which outcome appears.</w:t>
      </w:r>
    </w:p>
    <w:p>
      <w:pPr>
        <w:pStyle w:val="Heading2"/>
      </w:pPr>
      <w:r>
        <w:t>Wellbeing, harm prevention and local work</w:t>
      </w:r>
    </w:p>
    <w:p>
      <w:pPr>
        <w:keepLines/>
      </w:pPr>
      <w:r>
        <w:t>A narrow collection budget does not capture the whole public value. Less loose rubbish may improve how safe, cared-for and pleasant a neighbourhood feels, while potentially reducing blocked pavements, slips or cuts, pests, scavenging, vehicle damage and material entering drains or green space. A hub programme can also support paid work in cleaning, inspection, repair, resident engagement and reuse or recycling support. These are legitimate social benefits, but they must be treated consistently: wages are an operating cost to the authority and an employment benefit to the community, not a cash saving as well. The pilot should therefore report a separate social-value account alongside the financial account, recording street cleanliness, incidents, resident wellbeing and the number, quality and locality of jobs created or redeployed.</w:t>
      </w:r>
    </w:p>
    <w:p>
      <w:pPr>
        <w:pStyle w:val="Heading2"/>
      </w:pPr>
      <w:r>
        <w:t>Recycling participation</w:t>
      </w:r>
    </w:p>
    <w:p>
      <w:pPr>
        <w:keepLines/>
      </w:pPr>
      <w:r>
        <w:t>Convenience can improve participation when hubs are close, open at all times, intuitively labelled and provide enough capacity for all core streams. Conversely, anonymous communal capacity can weaken feedback and increase contamination. WRAP’s Spring 2025 tracker reported that 81% of UK households put at least one non-recyclable item in recycling, showing that contamination is already widespread [9]. Scottish evidence warns that communal systems are challenging and, when unavoidable, require comprehensive capacity, communications and management controls [12].</w:t>
      </w:r>
    </w:p>
    <w:p>
      <w:pPr>
        <w:pStyle w:val="Heading1"/>
      </w:pPr>
      <w:r>
        <w:t>5. Extra losses and costs</w:t>
      </w:r>
    </w:p>
    <w:tbl>
      <w:tblPr>
        <w:tblStyle w:val="TableGrid"/>
        <w:tblW w:type="auto" w:w="0"/>
        <w:jc w:val="center"/>
        <w:tblLayout w:type="fixed"/>
        <w:tblLook w:firstColumn="1" w:firstRow="1" w:lastColumn="0" w:lastRow="0" w:noHBand="0" w:noVBand="1" w:val="04A0"/>
      </w:tblPr>
      <w:tblGrid>
        <w:gridCol w:w="3312"/>
        <w:gridCol w:w="3312"/>
        <w:gridCol w:w="3312"/>
      </w:tblGrid>
      <w:tr>
        <w:trPr>
          <w:tblHeader w:val="true"/>
          <w:cantSplit/>
        </w:trPr>
        <w:tc>
          <w:tcPr>
            <w:tcW w:type="dxa" w:w="1944"/>
            <w:shd w:fill="15344A"/>
            <w:tcMar>
              <w:top w:w="100" w:type="dxa"/>
              <w:start w:w="120" w:type="dxa"/>
              <w:bottom w:w="100" w:type="dxa"/>
              <w:end w:w="120" w:type="dxa"/>
            </w:tcMar>
          </w:tcPr>
          <w:p>
            <w:pPr>
              <w:jc w:val="left"/>
            </w:pPr>
            <w:r>
              <w:rPr>
                <w:b/>
                <w:color w:val="FFFFFF"/>
                <w:sz w:val="14"/>
              </w:rPr>
              <w:t>Cost or risk</w:t>
            </w:r>
          </w:p>
        </w:tc>
        <w:tc>
          <w:tcPr>
            <w:tcW w:type="dxa" w:w="3528"/>
            <w:shd w:fill="15344A"/>
            <w:tcMar>
              <w:top w:w="100" w:type="dxa"/>
              <w:start w:w="120" w:type="dxa"/>
              <w:bottom w:w="100" w:type="dxa"/>
              <w:end w:w="120" w:type="dxa"/>
            </w:tcMar>
          </w:tcPr>
          <w:p>
            <w:pPr>
              <w:jc w:val="left"/>
            </w:pPr>
            <w:r>
              <w:rPr>
                <w:b/>
                <w:color w:val="FFFFFF"/>
                <w:sz w:val="14"/>
              </w:rPr>
              <w:t>How it appears</w:t>
            </w:r>
          </w:p>
        </w:tc>
        <w:tc>
          <w:tcPr>
            <w:tcW w:type="dxa" w:w="4320"/>
            <w:shd w:fill="15344A"/>
            <w:tcMar>
              <w:top w:w="100" w:type="dxa"/>
              <w:start w:w="120" w:type="dxa"/>
              <w:bottom w:w="100" w:type="dxa"/>
              <w:end w:w="120" w:type="dxa"/>
            </w:tcMar>
          </w:tcPr>
          <w:p>
            <w:pPr>
              <w:jc w:val="left"/>
            </w:pPr>
            <w:r>
              <w:rPr>
                <w:b/>
                <w:color w:val="FFFFFF"/>
                <w:sz w:val="14"/>
              </w:rPr>
              <w:t>Required response</w:t>
            </w:r>
          </w:p>
        </w:tc>
      </w:tr>
      <w:tr>
        <w:trPr>
          <w:cantSplit/>
        </w:trPr>
        <w:tc>
          <w:tcPr>
            <w:tcW w:type="dxa" w:w="1944"/>
            <w:vAlign w:val="center"/>
            <w:tcMar>
              <w:top w:w="100" w:type="dxa"/>
              <w:start w:w="120" w:type="dxa"/>
              <w:bottom w:w="100" w:type="dxa"/>
              <w:end w:w="120" w:type="dxa"/>
            </w:tcMar>
          </w:tcPr>
          <w:p>
            <w:r>
              <w:rPr>
                <w:sz w:val="14"/>
              </w:rPr>
              <w:t>Capital and civil works</w:t>
            </w:r>
          </w:p>
        </w:tc>
        <w:tc>
          <w:tcPr>
            <w:tcW w:type="dxa" w:w="3528"/>
            <w:vAlign w:val="center"/>
            <w:tcMar>
              <w:top w:w="100" w:type="dxa"/>
              <w:start w:w="120" w:type="dxa"/>
              <w:bottom w:w="100" w:type="dxa"/>
              <w:end w:w="120" w:type="dxa"/>
            </w:tcMar>
          </w:tcPr>
          <w:p>
            <w:r>
              <w:rPr>
                <w:sz w:val="14"/>
              </w:rPr>
              <w:t>Containers, foundations, highways orders, utility surveys, fire protection and reinstatement.</w:t>
            </w:r>
          </w:p>
        </w:tc>
        <w:tc>
          <w:tcPr>
            <w:tcW w:type="dxa" w:w="4320"/>
            <w:vAlign w:val="center"/>
            <w:tcMar>
              <w:top w:w="100" w:type="dxa"/>
              <w:start w:w="120" w:type="dxa"/>
              <w:bottom w:w="100" w:type="dxa"/>
              <w:end w:w="120" w:type="dxa"/>
            </w:tcMar>
          </w:tcPr>
          <w:p>
            <w:r>
              <w:rPr>
                <w:sz w:val="14"/>
              </w:rPr>
              <w:t>Survey sites before estimating; annualise full installed cost, not container purchase only.</w:t>
            </w:r>
          </w:p>
        </w:tc>
      </w:tr>
      <w:tr>
        <w:trPr>
          <w:cantSplit/>
        </w:trPr>
        <w:tc>
          <w:tcPr>
            <w:tcW w:type="dxa" w:w="1944"/>
            <w:shd w:fill="F3F5F6"/>
            <w:vAlign w:val="center"/>
            <w:tcMar>
              <w:top w:w="100" w:type="dxa"/>
              <w:start w:w="120" w:type="dxa"/>
              <w:bottom w:w="100" w:type="dxa"/>
              <w:end w:w="120" w:type="dxa"/>
            </w:tcMar>
          </w:tcPr>
          <w:p>
            <w:r>
              <w:rPr>
                <w:sz w:val="14"/>
              </w:rPr>
              <w:t>Cleaning and repair</w:t>
            </w:r>
          </w:p>
        </w:tc>
        <w:tc>
          <w:tcPr>
            <w:tcW w:type="dxa" w:w="3528"/>
            <w:shd w:fill="F3F5F6"/>
            <w:vAlign w:val="center"/>
            <w:tcMar>
              <w:top w:w="100" w:type="dxa"/>
              <w:start w:w="120" w:type="dxa"/>
              <w:bottom w:w="100" w:type="dxa"/>
              <w:end w:w="120" w:type="dxa"/>
            </w:tcMar>
          </w:tcPr>
          <w:p>
            <w:r>
              <w:rPr>
                <w:sz w:val="14"/>
              </w:rPr>
              <w:t>Spillage, graffiti, lid/lift faults, odour, pests and wash-down.</w:t>
            </w:r>
          </w:p>
        </w:tc>
        <w:tc>
          <w:tcPr>
            <w:tcW w:type="dxa" w:w="4320"/>
            <w:shd w:fill="F3F5F6"/>
            <w:vAlign w:val="center"/>
            <w:tcMar>
              <w:top w:w="100" w:type="dxa"/>
              <w:start w:w="120" w:type="dxa"/>
              <w:bottom w:w="100" w:type="dxa"/>
              <w:end w:w="120" w:type="dxa"/>
            </w:tcMar>
          </w:tcPr>
          <w:p>
            <w:r>
              <w:rPr>
                <w:sz w:val="14"/>
              </w:rPr>
              <w:t>Fund a published rapid-response standard with inspection records.</w:t>
            </w:r>
          </w:p>
        </w:tc>
      </w:tr>
      <w:tr>
        <w:trPr>
          <w:cantSplit/>
        </w:trPr>
        <w:tc>
          <w:tcPr>
            <w:tcW w:type="dxa" w:w="1944"/>
            <w:vAlign w:val="center"/>
            <w:tcMar>
              <w:top w:w="100" w:type="dxa"/>
              <w:start w:w="120" w:type="dxa"/>
              <w:bottom w:w="100" w:type="dxa"/>
              <w:end w:w="120" w:type="dxa"/>
            </w:tcMar>
          </w:tcPr>
          <w:p>
            <w:r>
              <w:rPr>
                <w:sz w:val="14"/>
              </w:rPr>
              <w:t>Contamination/rejection</w:t>
            </w:r>
          </w:p>
        </w:tc>
        <w:tc>
          <w:tcPr>
            <w:tcW w:type="dxa" w:w="3528"/>
            <w:vAlign w:val="center"/>
            <w:tcMar>
              <w:top w:w="100" w:type="dxa"/>
              <w:start w:w="120" w:type="dxa"/>
              <w:bottom w:w="100" w:type="dxa"/>
              <w:end w:w="120" w:type="dxa"/>
            </w:tcMar>
          </w:tcPr>
          <w:p>
            <w:r>
              <w:rPr>
                <w:sz w:val="14"/>
              </w:rPr>
              <w:t>Anonymous deposits can increase sorting loss or gate fees.</w:t>
            </w:r>
          </w:p>
        </w:tc>
        <w:tc>
          <w:tcPr>
            <w:tcW w:type="dxa" w:w="4320"/>
            <w:vAlign w:val="center"/>
            <w:tcMar>
              <w:top w:w="100" w:type="dxa"/>
              <w:start w:w="120" w:type="dxa"/>
              <w:bottom w:w="100" w:type="dxa"/>
              <w:end w:w="120" w:type="dxa"/>
            </w:tcMar>
          </w:tcPr>
          <w:p>
            <w:r>
              <w:rPr>
                <w:sz w:val="14"/>
              </w:rPr>
              <w:t>Aperture design, consistent colours, resident education, audits and contract-specific cost data.</w:t>
            </w:r>
          </w:p>
        </w:tc>
      </w:tr>
      <w:tr>
        <w:trPr>
          <w:cantSplit/>
        </w:trPr>
        <w:tc>
          <w:tcPr>
            <w:tcW w:type="dxa" w:w="1944"/>
            <w:shd w:fill="F3F5F6"/>
            <w:vAlign w:val="center"/>
            <w:tcMar>
              <w:top w:w="100" w:type="dxa"/>
              <w:start w:w="120" w:type="dxa"/>
              <w:bottom w:w="100" w:type="dxa"/>
              <w:end w:w="120" w:type="dxa"/>
            </w:tcMar>
          </w:tcPr>
          <w:p>
            <w:r>
              <w:rPr>
                <w:sz w:val="14"/>
              </w:rPr>
              <w:t>Access and equality</w:t>
            </w:r>
          </w:p>
        </w:tc>
        <w:tc>
          <w:tcPr>
            <w:tcW w:type="dxa" w:w="3528"/>
            <w:shd w:fill="F3F5F6"/>
            <w:vAlign w:val="center"/>
            <w:tcMar>
              <w:top w:w="100" w:type="dxa"/>
              <w:start w:w="120" w:type="dxa"/>
              <w:bottom w:w="100" w:type="dxa"/>
              <w:end w:w="120" w:type="dxa"/>
            </w:tcMar>
          </w:tcPr>
          <w:p>
            <w:r>
              <w:rPr>
                <w:sz w:val="14"/>
              </w:rPr>
              <w:t>Extra carrying distance, heavy lids, height/reach barriers, sensory or cognitive difficulty.</w:t>
            </w:r>
          </w:p>
        </w:tc>
        <w:tc>
          <w:tcPr>
            <w:tcW w:type="dxa" w:w="4320"/>
            <w:shd w:fill="F3F5F6"/>
            <w:vAlign w:val="center"/>
            <w:tcMar>
              <w:top w:w="100" w:type="dxa"/>
              <w:start w:w="120" w:type="dxa"/>
              <w:bottom w:w="100" w:type="dxa"/>
              <w:end w:w="120" w:type="dxa"/>
            </w:tcMar>
          </w:tcPr>
          <w:p>
            <w:r>
              <w:rPr>
                <w:sz w:val="14"/>
              </w:rPr>
              <w:t>Co-design; accessible openings and routes; assisted/alternative collection without stigma.</w:t>
            </w:r>
          </w:p>
        </w:tc>
      </w:tr>
      <w:tr>
        <w:trPr>
          <w:cantSplit/>
        </w:trPr>
        <w:tc>
          <w:tcPr>
            <w:tcW w:type="dxa" w:w="1944"/>
            <w:vAlign w:val="center"/>
            <w:tcMar>
              <w:top w:w="100" w:type="dxa"/>
              <w:start w:w="120" w:type="dxa"/>
              <w:bottom w:w="100" w:type="dxa"/>
              <w:end w:w="120" w:type="dxa"/>
            </w:tcMar>
          </w:tcPr>
          <w:p>
            <w:r>
              <w:rPr>
                <w:sz w:val="14"/>
              </w:rPr>
              <w:t>Parking and public realm</w:t>
            </w:r>
          </w:p>
        </w:tc>
        <w:tc>
          <w:tcPr>
            <w:tcW w:type="dxa" w:w="3528"/>
            <w:vAlign w:val="center"/>
            <w:tcMar>
              <w:top w:w="100" w:type="dxa"/>
              <w:start w:w="120" w:type="dxa"/>
              <w:bottom w:w="100" w:type="dxa"/>
              <w:end w:w="120" w:type="dxa"/>
            </w:tcMar>
          </w:tcPr>
          <w:p>
            <w:r>
              <w:rPr>
                <w:sz w:val="14"/>
              </w:rPr>
              <w:t>Loss of bays, visibility, footway obstruction and neighbour objections.</w:t>
            </w:r>
          </w:p>
        </w:tc>
        <w:tc>
          <w:tcPr>
            <w:tcW w:type="dxa" w:w="4320"/>
            <w:vAlign w:val="center"/>
            <w:tcMar>
              <w:top w:w="100" w:type="dxa"/>
              <w:start w:w="120" w:type="dxa"/>
              <w:bottom w:w="100" w:type="dxa"/>
              <w:end w:w="120" w:type="dxa"/>
            </w:tcMar>
          </w:tcPr>
          <w:p>
            <w:r>
              <w:rPr>
                <w:sz w:val="14"/>
              </w:rPr>
              <w:t>Value displaced space; consult; preserve sight lines and pedestrian clear width.</w:t>
            </w:r>
          </w:p>
        </w:tc>
      </w:tr>
      <w:tr>
        <w:trPr>
          <w:cantSplit/>
        </w:trPr>
        <w:tc>
          <w:tcPr>
            <w:tcW w:type="dxa" w:w="1944"/>
            <w:shd w:fill="F3F5F6"/>
            <w:vAlign w:val="center"/>
            <w:tcMar>
              <w:top w:w="100" w:type="dxa"/>
              <w:start w:w="120" w:type="dxa"/>
              <w:bottom w:w="100" w:type="dxa"/>
              <w:end w:w="120" w:type="dxa"/>
            </w:tcMar>
          </w:tcPr>
          <w:p>
            <w:r>
              <w:rPr>
                <w:sz w:val="14"/>
              </w:rPr>
              <w:t>Fire and safety</w:t>
            </w:r>
          </w:p>
        </w:tc>
        <w:tc>
          <w:tcPr>
            <w:tcW w:type="dxa" w:w="3528"/>
            <w:shd w:fill="F3F5F6"/>
            <w:vAlign w:val="center"/>
            <w:tcMar>
              <w:top w:w="100" w:type="dxa"/>
              <w:start w:w="120" w:type="dxa"/>
              <w:bottom w:w="100" w:type="dxa"/>
              <w:end w:w="120" w:type="dxa"/>
            </w:tcMar>
          </w:tcPr>
          <w:p>
            <w:r>
              <w:rPr>
                <w:sz w:val="14"/>
              </w:rPr>
              <w:t>Combustible material near buildings, vehicles or escape routes.</w:t>
            </w:r>
          </w:p>
        </w:tc>
        <w:tc>
          <w:tcPr>
            <w:tcW w:type="dxa" w:w="4320"/>
            <w:shd w:fill="F3F5F6"/>
            <w:vAlign w:val="center"/>
            <w:tcMar>
              <w:top w:w="100" w:type="dxa"/>
              <w:start w:w="120" w:type="dxa"/>
              <w:bottom w:w="100" w:type="dxa"/>
              <w:end w:w="120" w:type="dxa"/>
            </w:tcMar>
          </w:tcPr>
          <w:p>
            <w:r>
              <w:rPr>
                <w:sz w:val="14"/>
              </w:rPr>
              <w:t>Site-specific fire-risk review; apply separation/protection guidance [15].</w:t>
            </w:r>
          </w:p>
        </w:tc>
      </w:tr>
      <w:tr>
        <w:trPr>
          <w:cantSplit/>
        </w:trPr>
        <w:tc>
          <w:tcPr>
            <w:tcW w:type="dxa" w:w="1944"/>
            <w:vAlign w:val="center"/>
            <w:tcMar>
              <w:top w:w="100" w:type="dxa"/>
              <w:start w:w="120" w:type="dxa"/>
              <w:bottom w:w="100" w:type="dxa"/>
              <w:end w:w="120" w:type="dxa"/>
            </w:tcMar>
          </w:tcPr>
          <w:p>
            <w:r>
              <w:rPr>
                <w:sz w:val="14"/>
              </w:rPr>
              <w:t>Fly-tipping and misuse</w:t>
            </w:r>
          </w:p>
        </w:tc>
        <w:tc>
          <w:tcPr>
            <w:tcW w:type="dxa" w:w="3528"/>
            <w:vAlign w:val="center"/>
            <w:tcMar>
              <w:top w:w="100" w:type="dxa"/>
              <w:start w:w="120" w:type="dxa"/>
              <w:bottom w:w="100" w:type="dxa"/>
              <w:end w:w="120" w:type="dxa"/>
            </w:tcMar>
          </w:tcPr>
          <w:p>
            <w:r>
              <w:rPr>
                <w:sz w:val="14"/>
              </w:rPr>
              <w:t>Bulky items or trade waste left beside hubs.</w:t>
            </w:r>
          </w:p>
        </w:tc>
        <w:tc>
          <w:tcPr>
            <w:tcW w:type="dxa" w:w="4320"/>
            <w:vAlign w:val="center"/>
            <w:tcMar>
              <w:top w:w="100" w:type="dxa"/>
              <w:start w:w="120" w:type="dxa"/>
              <w:bottom w:w="100" w:type="dxa"/>
              <w:end w:w="120" w:type="dxa"/>
            </w:tcMar>
          </w:tcPr>
          <w:p>
            <w:r>
              <w:rPr>
                <w:sz w:val="14"/>
              </w:rPr>
              <w:t>Clear ownership, prompt removal, lawful monitoring and enforcement after service design.</w:t>
            </w:r>
          </w:p>
        </w:tc>
      </w:tr>
      <w:tr>
        <w:trPr>
          <w:cantSplit/>
        </w:trPr>
        <w:tc>
          <w:tcPr>
            <w:tcW w:type="dxa" w:w="1944"/>
            <w:shd w:fill="F3F5F6"/>
            <w:vAlign w:val="center"/>
            <w:tcMar>
              <w:top w:w="100" w:type="dxa"/>
              <w:start w:w="120" w:type="dxa"/>
              <w:bottom w:w="100" w:type="dxa"/>
              <w:end w:w="120" w:type="dxa"/>
            </w:tcMar>
          </w:tcPr>
          <w:p>
            <w:r>
              <w:rPr>
                <w:sz w:val="14"/>
              </w:rPr>
              <w:t>Resident time</w:t>
            </w:r>
          </w:p>
        </w:tc>
        <w:tc>
          <w:tcPr>
            <w:tcW w:type="dxa" w:w="3528"/>
            <w:shd w:fill="F3F5F6"/>
            <w:vAlign w:val="center"/>
            <w:tcMar>
              <w:top w:w="100" w:type="dxa"/>
              <w:start w:w="120" w:type="dxa"/>
              <w:bottom w:w="100" w:type="dxa"/>
              <w:end w:w="120" w:type="dxa"/>
            </w:tcMar>
          </w:tcPr>
          <w:p>
            <w:r>
              <w:rPr>
                <w:sz w:val="14"/>
              </w:rPr>
              <w:t>Walking and carrying shift effort from crews to households.</w:t>
            </w:r>
          </w:p>
        </w:tc>
        <w:tc>
          <w:tcPr>
            <w:tcW w:type="dxa" w:w="4320"/>
            <w:shd w:fill="F3F5F6"/>
            <w:vAlign w:val="center"/>
            <w:tcMar>
              <w:top w:w="100" w:type="dxa"/>
              <w:start w:w="120" w:type="dxa"/>
              <w:bottom w:w="100" w:type="dxa"/>
              <w:end w:w="120" w:type="dxa"/>
            </w:tcMar>
          </w:tcPr>
          <w:p>
            <w:r>
              <w:rPr>
                <w:sz w:val="14"/>
              </w:rPr>
              <w:t>Use conservative distance limits; measure actual door-to-hub journey and satisfaction.</w:t>
            </w:r>
          </w:p>
        </w:tc>
      </w:tr>
    </w:tbl>
    <w:p>
      <w:pPr>
        <w:spacing w:after="0"/>
      </w:pPr>
    </w:p>
    <w:p>
      <w:pPr>
        <w:pStyle w:val="Heading1"/>
      </w:pPr>
      <w:r>
        <w:t>6. Fairness, accessibility and lawful design</w:t>
      </w:r>
    </w:p>
    <w:p>
      <w:pPr>
        <w:keepLines/>
      </w:pPr>
      <w:r>
        <w:t>A collection system that saves council time by imposing unreasonable resident effort would not be a defensible success. The Equality Act 2010 public-sector equality duty requires due regard to eliminating discrimination, advancing equality of opportunity and fostering good relations [13]. Edinburgh’s impact assessment identifies issues including wheelchair-accessible opening heights, dropped-kerb routes, tactile interactions and the need for assisted collection [7].</w:t>
      </w:r>
    </w:p>
    <w:p>
      <w:pPr>
        <w:pStyle w:val="Heading2"/>
      </w:pPr>
      <w:r>
        <w:t>Design principles</w:t>
      </w:r>
    </w:p>
    <w:p>
      <w:pPr>
        <w:pStyle w:val="ListNumber"/>
        <w:spacing w:after="60"/>
      </w:pPr>
      <w:r>
        <w:t>Target streets where indoor storage and repeated vehicle stops are demonstrably problematic; do not begin with a citywide mandate.</w:t>
      </w:r>
    </w:p>
    <w:p>
      <w:pPr>
        <w:pStyle w:val="ListNumber"/>
        <w:spacing w:after="60"/>
      </w:pPr>
      <w:r>
        <w:t>Map the actual step-free route from every entrance, not straight-line distance. Treat published distance values as planning references, not automatic proof of accessibility.</w:t>
      </w:r>
    </w:p>
    <w:p>
      <w:pPr>
        <w:pStyle w:val="ListNumber"/>
        <w:spacing w:after="60"/>
      </w:pPr>
      <w:r>
        <w:t>Provide inclusive aperture height, reach force, contrast, tactile information, lighting and manoeuvring space; test with disabled residents before installation.</w:t>
      </w:r>
    </w:p>
    <w:p>
      <w:pPr>
        <w:pStyle w:val="ListNumber"/>
        <w:spacing w:after="60"/>
      </w:pPr>
      <w:r>
        <w:t>Retain a straightforward assisted or alternative collection for people who cannot use the hub, with no digital-only application requirement.</w:t>
      </w:r>
    </w:p>
    <w:p>
      <w:pPr>
        <w:pStyle w:val="ListNumber"/>
        <w:spacing w:after="60"/>
      </w:pPr>
      <w:r>
        <w:t>Separate residual, dry recycling, glass and food streams clearly. Avoid creating a convenient residual-only outlet that undermines recycling.</w:t>
      </w:r>
    </w:p>
    <w:p>
      <w:pPr>
        <w:pStyle w:val="ListNumber"/>
        <w:spacing w:after="60"/>
      </w:pPr>
      <w:r>
        <w:t>Publish cleaning, overflow and repair response times and an accessible reporting route.</w:t>
      </w:r>
    </w:p>
    <w:p>
      <w:pPr>
        <w:pStyle w:val="ListNumber"/>
        <w:spacing w:after="60"/>
      </w:pPr>
      <w:r>
        <w:t>Complete fire, highways, utilities, drainage and road-safety reviews for every final site.</w:t>
      </w:r>
    </w:p>
    <w:p>
      <w:pPr>
        <w:pStyle w:val="Heading2"/>
      </w:pPr>
      <w:r>
        <w:t>Distance and siting</w:t>
      </w:r>
    </w:p>
    <w:p>
      <w:pPr>
        <w:keepLines/>
      </w:pPr>
      <w:r>
        <w:t>Edinburgh’s programme evolved its review thresholds from 50 m to 100 m and then 120 m in response to operational and resident considerations [6]. Oxford technical guidance gives a much shorter 30 m resident carrying distance for development design and limits bin movement to collection points [14]. These are different contexts, not directly competing national rules. A pilot should report median and 90th-percentile step-free door-to-hub distance and should compare satisfaction by disability, age and housing type.</w:t>
      </w:r>
    </w:p>
    <w:p>
      <w:pPr>
        <w:pStyle w:val="Heading2"/>
      </w:pPr>
      <w:r>
        <w:t>Fire and security</w:t>
      </w:r>
    </w:p>
    <w:p>
      <w:pPr>
        <w:keepLines/>
      </w:pPr>
      <w:r>
        <w:t>Fire-prevention guidance commonly seeks substantial separation between combustible bins and buildings, or appropriate fire-resistant protection; the Fire Protection Association cites 6 m separation or a 30-minute fire-resistant structure in relevant testing guidance [15]. Exact requirements depend on bin type, building façade, escape routes, local fire service and risk assessment. Cameras or access controls can address misuse but introduce privacy, administration and exclusion risks and therefore require necessity and proportionality tests.</w:t>
      </w:r>
    </w:p>
    <w:p>
      <w:pPr>
        <w:pStyle w:val="Heading1"/>
      </w:pPr>
      <w:r>
        <w:t>7. Recommended pilot</w:t>
      </w:r>
    </w:p>
    <w:tbl>
      <w:tblPr>
        <w:tblW w:type="auto" w:w="0"/>
        <w:jc w:val="center"/>
        <w:tblLayout w:type="fixed"/>
        <w:tblLook w:firstColumn="1" w:firstRow="1" w:lastColumn="0" w:lastRow="0" w:noHBand="0" w:noVBand="1" w:val="04A0"/>
      </w:tblPr>
      <w:tblGrid>
        <w:gridCol w:w="9936"/>
      </w:tblGrid>
      <w:tr>
        <w:trPr>
          <w:cantSplit/>
        </w:trPr>
        <w:tc>
          <w:tcPr>
            <w:tcW w:type="dxa" w:w="9792"/>
            <w:shd w:fill="EAF4F4"/>
            <w:tcMar>
              <w:top w:w="160" w:type="dxa"/>
              <w:start w:w="180" w:type="dxa"/>
              <w:bottom w:w="160" w:type="dxa"/>
              <w:end w:w="180" w:type="dxa"/>
            </w:tcMar>
          </w:tcPr>
          <w:p>
            <w:pPr>
              <w:pStyle w:val="Callout"/>
            </w:pPr>
            <w:r>
              <w:rPr>
                <w:color w:val="15344A"/>
              </w:rPr>
              <w:t>Recommendation: authorise a reversible, independently evaluated dense-street pilot—not procurement for universal replacement.</w:t>
            </w:r>
          </w:p>
        </w:tc>
      </w:tr>
    </w:tbl>
    <w:p>
      <w:pPr>
        <w:spacing w:after="0"/>
      </w:pPr>
    </w:p>
    <w:p>
      <w:pPr>
        <w:pStyle w:val="Heading2"/>
      </w:pPr>
      <w:r>
        <w:t>Pilot structure</w:t>
      </w:r>
    </w:p>
    <w:tbl>
      <w:tblPr>
        <w:tblStyle w:val="TableGrid"/>
        <w:tblW w:type="auto" w:w="0"/>
        <w:jc w:val="center"/>
        <w:tblLayout w:type="fixed"/>
        <w:tblLook w:firstColumn="1" w:firstRow="1" w:lastColumn="0" w:lastRow="0" w:noHBand="0" w:noVBand="1" w:val="04A0"/>
      </w:tblPr>
      <w:tblGrid>
        <w:gridCol w:w="4968"/>
        <w:gridCol w:w="4968"/>
      </w:tblGrid>
      <w:tr>
        <w:trPr>
          <w:tblHeader w:val="true"/>
          <w:cantSplit/>
        </w:trPr>
        <w:tc>
          <w:tcPr>
            <w:tcW w:type="dxa" w:w="1800"/>
            <w:shd w:fill="15344A"/>
            <w:tcMar>
              <w:top w:w="100" w:type="dxa"/>
              <w:start w:w="120" w:type="dxa"/>
              <w:bottom w:w="100" w:type="dxa"/>
              <w:end w:w="120" w:type="dxa"/>
            </w:tcMar>
          </w:tcPr>
          <w:p>
            <w:pPr>
              <w:jc w:val="left"/>
            </w:pPr>
            <w:r>
              <w:rPr>
                <w:b/>
                <w:color w:val="FFFFFF"/>
                <w:sz w:val="16"/>
              </w:rPr>
              <w:t>Element</w:t>
            </w:r>
          </w:p>
        </w:tc>
        <w:tc>
          <w:tcPr>
            <w:tcW w:type="dxa" w:w="7992"/>
            <w:shd w:fill="15344A"/>
            <w:tcMar>
              <w:top w:w="100" w:type="dxa"/>
              <w:start w:w="120" w:type="dxa"/>
              <w:bottom w:w="100" w:type="dxa"/>
              <w:end w:w="120" w:type="dxa"/>
            </w:tcMar>
          </w:tcPr>
          <w:p>
            <w:pPr>
              <w:jc w:val="left"/>
            </w:pPr>
            <w:r>
              <w:rPr>
                <w:b/>
                <w:color w:val="FFFFFF"/>
                <w:sz w:val="16"/>
              </w:rPr>
              <w:t>Recommended design</w:t>
            </w:r>
          </w:p>
        </w:tc>
      </w:tr>
      <w:tr>
        <w:trPr>
          <w:cantSplit/>
        </w:trPr>
        <w:tc>
          <w:tcPr>
            <w:tcW w:type="dxa" w:w="1800"/>
            <w:vAlign w:val="center"/>
            <w:tcMar>
              <w:top w:w="100" w:type="dxa"/>
              <w:start w:w="120" w:type="dxa"/>
              <w:bottom w:w="100" w:type="dxa"/>
              <w:end w:w="120" w:type="dxa"/>
            </w:tcMar>
          </w:tcPr>
          <w:p>
            <w:r>
              <w:rPr>
                <w:sz w:val="16"/>
              </w:rPr>
              <w:t>Scale</w:t>
            </w:r>
          </w:p>
        </w:tc>
        <w:tc>
          <w:tcPr>
            <w:tcW w:type="dxa" w:w="7992"/>
            <w:vAlign w:val="center"/>
            <w:tcMar>
              <w:top w:w="100" w:type="dxa"/>
              <w:start w:w="120" w:type="dxa"/>
              <w:bottom w:w="100" w:type="dxa"/>
              <w:end w:w="120" w:type="dxa"/>
            </w:tcMar>
          </w:tcPr>
          <w:p>
            <w:r>
              <w:rPr>
                <w:sz w:val="16"/>
              </w:rPr>
              <w:t>Three to six matched neighbourhood clusters, including at least one comparison area retaining the existing service.</w:t>
            </w:r>
          </w:p>
        </w:tc>
      </w:tr>
      <w:tr>
        <w:trPr>
          <w:cantSplit/>
        </w:trPr>
        <w:tc>
          <w:tcPr>
            <w:tcW w:type="dxa" w:w="1800"/>
            <w:shd w:fill="F3F5F6"/>
            <w:vAlign w:val="center"/>
            <w:tcMar>
              <w:top w:w="100" w:type="dxa"/>
              <w:start w:w="120" w:type="dxa"/>
              <w:bottom w:w="100" w:type="dxa"/>
              <w:end w:w="120" w:type="dxa"/>
            </w:tcMar>
          </w:tcPr>
          <w:p>
            <w:r>
              <w:rPr>
                <w:sz w:val="16"/>
              </w:rPr>
              <w:t>Duration</w:t>
            </w:r>
          </w:p>
        </w:tc>
        <w:tc>
          <w:tcPr>
            <w:tcW w:type="dxa" w:w="7992"/>
            <w:shd w:fill="F3F5F6"/>
            <w:vAlign w:val="center"/>
            <w:tcMar>
              <w:top w:w="100" w:type="dxa"/>
              <w:start w:w="120" w:type="dxa"/>
              <w:bottom w:w="100" w:type="dxa"/>
              <w:end w:w="120" w:type="dxa"/>
            </w:tcMar>
          </w:tcPr>
          <w:p>
            <w:r>
              <w:rPr>
                <w:sz w:val="16"/>
              </w:rPr>
              <w:t>At least 9–12 months to include seasonal waste volumes, holidays and winter access.</w:t>
            </w:r>
          </w:p>
        </w:tc>
      </w:tr>
      <w:tr>
        <w:trPr>
          <w:cantSplit/>
        </w:trPr>
        <w:tc>
          <w:tcPr>
            <w:tcW w:type="dxa" w:w="1800"/>
            <w:vAlign w:val="center"/>
            <w:tcMar>
              <w:top w:w="100" w:type="dxa"/>
              <w:start w:w="120" w:type="dxa"/>
              <w:bottom w:w="100" w:type="dxa"/>
              <w:end w:w="120" w:type="dxa"/>
            </w:tcMar>
          </w:tcPr>
          <w:p>
            <w:r>
              <w:rPr>
                <w:sz w:val="16"/>
              </w:rPr>
              <w:t>Selection</w:t>
            </w:r>
          </w:p>
        </w:tc>
        <w:tc>
          <w:tcPr>
            <w:tcW w:type="dxa" w:w="7992"/>
            <w:vAlign w:val="center"/>
            <w:tcMar>
              <w:top w:w="100" w:type="dxa"/>
              <w:start w:w="120" w:type="dxa"/>
              <w:bottom w:w="100" w:type="dxa"/>
              <w:end w:w="120" w:type="dxa"/>
            </w:tcMar>
          </w:tcPr>
          <w:p>
            <w:r>
              <w:rPr>
                <w:sz w:val="16"/>
              </w:rPr>
              <w:t>Dense flats/terraces with limited storage, high stop counts and feasible accessible sites; exclude unsuitable streets explicitly.</w:t>
            </w:r>
          </w:p>
        </w:tc>
      </w:tr>
      <w:tr>
        <w:trPr>
          <w:cantSplit/>
        </w:trPr>
        <w:tc>
          <w:tcPr>
            <w:tcW w:type="dxa" w:w="1800"/>
            <w:shd w:fill="F3F5F6"/>
            <w:vAlign w:val="center"/>
            <w:tcMar>
              <w:top w:w="100" w:type="dxa"/>
              <w:start w:w="120" w:type="dxa"/>
              <w:bottom w:w="100" w:type="dxa"/>
              <w:end w:w="120" w:type="dxa"/>
            </w:tcMar>
          </w:tcPr>
          <w:p>
            <w:r>
              <w:rPr>
                <w:sz w:val="16"/>
              </w:rPr>
              <w:t>Intervention</w:t>
            </w:r>
          </w:p>
        </w:tc>
        <w:tc>
          <w:tcPr>
            <w:tcW w:type="dxa" w:w="7992"/>
            <w:shd w:fill="F3F5F6"/>
            <w:vAlign w:val="center"/>
            <w:tcMar>
              <w:top w:w="100" w:type="dxa"/>
              <w:start w:w="120" w:type="dxa"/>
              <w:bottom w:w="100" w:type="dxa"/>
              <w:end w:w="120" w:type="dxa"/>
            </w:tcMar>
          </w:tcPr>
          <w:p>
            <w:r>
              <w:rPr>
                <w:sz w:val="16"/>
              </w:rPr>
              <w:t>Weekly dry-recycling hubs plus compliant food-waste arrangements; retain exception service where required.</w:t>
            </w:r>
          </w:p>
        </w:tc>
      </w:tr>
      <w:tr>
        <w:trPr>
          <w:cantSplit/>
        </w:trPr>
        <w:tc>
          <w:tcPr>
            <w:tcW w:type="dxa" w:w="1800"/>
            <w:vAlign w:val="center"/>
            <w:tcMar>
              <w:top w:w="100" w:type="dxa"/>
              <w:start w:w="120" w:type="dxa"/>
              <w:bottom w:w="100" w:type="dxa"/>
              <w:end w:w="120" w:type="dxa"/>
            </w:tcMar>
          </w:tcPr>
          <w:p>
            <w:r>
              <w:rPr>
                <w:sz w:val="16"/>
              </w:rPr>
              <w:t>Measurement</w:t>
            </w:r>
          </w:p>
        </w:tc>
        <w:tc>
          <w:tcPr>
            <w:tcW w:type="dxa" w:w="7992"/>
            <w:vAlign w:val="center"/>
            <w:tcMar>
              <w:top w:w="100" w:type="dxa"/>
              <w:start w:w="120" w:type="dxa"/>
              <w:bottom w:w="100" w:type="dxa"/>
              <w:end w:w="120" w:type="dxa"/>
            </w:tcMar>
          </w:tcPr>
          <w:p>
            <w:r>
              <w:rPr>
                <w:sz w:val="16"/>
              </w:rPr>
              <w:t>GPS/telematics, crew time-and-motion, weighed tonnage, contamination audits, overflow response, complaints, cleaning, collisions/near misses and full invoices.</w:t>
            </w:r>
          </w:p>
        </w:tc>
      </w:tr>
      <w:tr>
        <w:trPr>
          <w:cantSplit/>
        </w:trPr>
        <w:tc>
          <w:tcPr>
            <w:tcW w:type="dxa" w:w="1800"/>
            <w:shd w:fill="F3F5F6"/>
            <w:vAlign w:val="center"/>
            <w:tcMar>
              <w:top w:w="100" w:type="dxa"/>
              <w:start w:w="120" w:type="dxa"/>
              <w:bottom w:w="100" w:type="dxa"/>
              <w:end w:w="120" w:type="dxa"/>
            </w:tcMar>
          </w:tcPr>
          <w:p>
            <w:r>
              <w:rPr>
                <w:sz w:val="16"/>
              </w:rPr>
              <w:t>Resident study</w:t>
            </w:r>
          </w:p>
        </w:tc>
        <w:tc>
          <w:tcPr>
            <w:tcW w:type="dxa" w:w="7992"/>
            <w:shd w:fill="F3F5F6"/>
            <w:vAlign w:val="center"/>
            <w:tcMar>
              <w:top w:w="100" w:type="dxa"/>
              <w:start w:w="120" w:type="dxa"/>
              <w:bottom w:w="100" w:type="dxa"/>
              <w:end w:w="120" w:type="dxa"/>
            </w:tcMar>
          </w:tcPr>
          <w:p>
            <w:r>
              <w:rPr>
                <w:sz w:val="16"/>
              </w:rPr>
              <w:t>Pre/post survey plus accessible interviews, with results disaggregated by disability, age, tenure, housing type and distance.</w:t>
            </w:r>
          </w:p>
        </w:tc>
      </w:tr>
      <w:tr>
        <w:trPr>
          <w:cantSplit/>
        </w:trPr>
        <w:tc>
          <w:tcPr>
            <w:tcW w:type="dxa" w:w="1800"/>
            <w:vAlign w:val="center"/>
            <w:tcMar>
              <w:top w:w="100" w:type="dxa"/>
              <w:start w:w="120" w:type="dxa"/>
              <w:bottom w:w="100" w:type="dxa"/>
              <w:end w:w="120" w:type="dxa"/>
            </w:tcMar>
          </w:tcPr>
          <w:p>
            <w:r>
              <w:rPr>
                <w:sz w:val="16"/>
              </w:rPr>
              <w:t>Social value</w:t>
            </w:r>
          </w:p>
        </w:tc>
        <w:tc>
          <w:tcPr>
            <w:tcW w:type="dxa" w:w="7992"/>
            <w:vAlign w:val="center"/>
            <w:tcMar>
              <w:top w:w="100" w:type="dxa"/>
              <w:start w:w="120" w:type="dxa"/>
              <w:bottom w:w="100" w:type="dxa"/>
              <w:end w:w="120" w:type="dxa"/>
            </w:tcMar>
          </w:tcPr>
          <w:p>
            <w:r>
              <w:rPr>
                <w:sz w:val="16"/>
              </w:rPr>
              <w:t>Measure litter and obstruction, pest/fire/safety incidents, resident wellbeing, and jobs created or redeployed; report these separately from cash savings.</w:t>
            </w:r>
          </w:p>
        </w:tc>
      </w:tr>
      <w:tr>
        <w:trPr>
          <w:cantSplit/>
        </w:trPr>
        <w:tc>
          <w:tcPr>
            <w:tcW w:type="dxa" w:w="1800"/>
            <w:shd w:fill="F3F5F6"/>
            <w:vAlign w:val="center"/>
            <w:tcMar>
              <w:top w:w="100" w:type="dxa"/>
              <w:start w:w="120" w:type="dxa"/>
              <w:bottom w:w="100" w:type="dxa"/>
              <w:end w:w="120" w:type="dxa"/>
            </w:tcMar>
          </w:tcPr>
          <w:p>
            <w:r>
              <w:rPr>
                <w:sz w:val="16"/>
              </w:rPr>
              <w:t>Governance</w:t>
            </w:r>
          </w:p>
        </w:tc>
        <w:tc>
          <w:tcPr>
            <w:tcW w:type="dxa" w:w="7992"/>
            <w:shd w:fill="F3F5F6"/>
            <w:vAlign w:val="center"/>
            <w:tcMar>
              <w:top w:w="100" w:type="dxa"/>
              <w:start w:w="120" w:type="dxa"/>
              <w:bottom w:w="100" w:type="dxa"/>
              <w:end w:w="120" w:type="dxa"/>
            </w:tcMar>
          </w:tcPr>
          <w:p>
            <w:r>
              <w:rPr>
                <w:sz w:val="16"/>
              </w:rPr>
              <w:t>Publish site criteria, consultation changes, data-protection basis, equality assessment and a hub-removal/relocation process.</w:t>
            </w:r>
          </w:p>
        </w:tc>
      </w:tr>
    </w:tbl>
    <w:p>
      <w:pPr>
        <w:spacing w:after="0"/>
      </w:pPr>
    </w:p>
    <w:p>
      <w:pPr>
        <w:pStyle w:val="Heading2"/>
      </w:pPr>
      <w:r>
        <w:t>Pre-agreed decision gates</w:t>
      </w:r>
    </w:p>
    <w:tbl>
      <w:tblPr>
        <w:tblStyle w:val="TableGrid"/>
        <w:tblW w:type="auto" w:w="0"/>
        <w:jc w:val="center"/>
        <w:tblLayout w:type="fixed"/>
        <w:tblLook w:firstColumn="1" w:firstRow="1" w:lastColumn="0" w:lastRow="0" w:noHBand="0" w:noVBand="1" w:val="04A0"/>
      </w:tblPr>
      <w:tblGrid>
        <w:gridCol w:w="4968"/>
        <w:gridCol w:w="4968"/>
      </w:tblGrid>
      <w:tr>
        <w:trPr>
          <w:tblHeader w:val="true"/>
          <w:cantSplit/>
        </w:trPr>
        <w:tc>
          <w:tcPr>
            <w:tcW w:type="dxa" w:w="1800"/>
            <w:shd w:fill="15344A"/>
            <w:tcMar>
              <w:top w:w="100" w:type="dxa"/>
              <w:start w:w="120" w:type="dxa"/>
              <w:bottom w:w="100" w:type="dxa"/>
              <w:end w:w="120" w:type="dxa"/>
            </w:tcMar>
          </w:tcPr>
          <w:p>
            <w:pPr>
              <w:jc w:val="left"/>
            </w:pPr>
            <w:r>
              <w:rPr>
                <w:b/>
                <w:color w:val="FFFFFF"/>
                <w:sz w:val="16"/>
              </w:rPr>
              <w:t>Gate</w:t>
            </w:r>
          </w:p>
        </w:tc>
        <w:tc>
          <w:tcPr>
            <w:tcW w:type="dxa" w:w="7992"/>
            <w:shd w:fill="15344A"/>
            <w:tcMar>
              <w:top w:w="100" w:type="dxa"/>
              <w:start w:w="120" w:type="dxa"/>
              <w:bottom w:w="100" w:type="dxa"/>
              <w:end w:w="120" w:type="dxa"/>
            </w:tcMar>
          </w:tcPr>
          <w:p>
            <w:pPr>
              <w:jc w:val="left"/>
            </w:pPr>
            <w:r>
              <w:rPr>
                <w:b/>
                <w:color w:val="FFFFFF"/>
                <w:sz w:val="16"/>
              </w:rPr>
              <w:t>Suggested test before expansion</w:t>
            </w:r>
          </w:p>
        </w:tc>
      </w:tr>
      <w:tr>
        <w:trPr>
          <w:cantSplit/>
        </w:trPr>
        <w:tc>
          <w:tcPr>
            <w:tcW w:type="dxa" w:w="1800"/>
            <w:vAlign w:val="center"/>
            <w:tcMar>
              <w:top w:w="100" w:type="dxa"/>
              <w:start w:w="120" w:type="dxa"/>
              <w:bottom w:w="100" w:type="dxa"/>
              <w:end w:w="120" w:type="dxa"/>
            </w:tcMar>
          </w:tcPr>
          <w:p>
            <w:r>
              <w:rPr>
                <w:sz w:val="16"/>
              </w:rPr>
              <w:t>Economics</w:t>
            </w:r>
          </w:p>
        </w:tc>
        <w:tc>
          <w:tcPr>
            <w:tcW w:type="dxa" w:w="7992"/>
            <w:vAlign w:val="center"/>
            <w:tcMar>
              <w:top w:w="100" w:type="dxa"/>
              <w:start w:w="120" w:type="dxa"/>
              <w:bottom w:w="100" w:type="dxa"/>
              <w:end w:w="120" w:type="dxa"/>
            </w:tcMar>
          </w:tcPr>
          <w:p>
            <w:r>
              <w:rPr>
                <w:sz w:val="16"/>
              </w:rPr>
              <w:t>Positive net present value after actual civil works, cleaning, contamination, parking and programme costs; stress-tested at conservative assumptions.</w:t>
            </w:r>
          </w:p>
        </w:tc>
      </w:tr>
      <w:tr>
        <w:trPr>
          <w:cantSplit/>
        </w:trPr>
        <w:tc>
          <w:tcPr>
            <w:tcW w:type="dxa" w:w="1800"/>
            <w:shd w:fill="F3F5F6"/>
            <w:vAlign w:val="center"/>
            <w:tcMar>
              <w:top w:w="100" w:type="dxa"/>
              <w:start w:w="120" w:type="dxa"/>
              <w:bottom w:w="100" w:type="dxa"/>
              <w:end w:w="120" w:type="dxa"/>
            </w:tcMar>
          </w:tcPr>
          <w:p>
            <w:r>
              <w:rPr>
                <w:sz w:val="16"/>
              </w:rPr>
              <w:t>Operations</w:t>
            </w:r>
          </w:p>
        </w:tc>
        <w:tc>
          <w:tcPr>
            <w:tcW w:type="dxa" w:w="7992"/>
            <w:shd w:fill="F3F5F6"/>
            <w:vAlign w:val="center"/>
            <w:tcMar>
              <w:top w:w="100" w:type="dxa"/>
              <w:start w:w="120" w:type="dxa"/>
              <w:bottom w:w="100" w:type="dxa"/>
              <w:end w:w="120" w:type="dxa"/>
            </w:tcMar>
          </w:tcPr>
          <w:p>
            <w:r>
              <w:rPr>
                <w:sz w:val="16"/>
              </w:rPr>
              <w:t>Measured vehicle-hours per tonne improve, with no unsafe workload or material increase in missed/overflowing capacity.</w:t>
            </w:r>
          </w:p>
        </w:tc>
      </w:tr>
      <w:tr>
        <w:trPr>
          <w:cantSplit/>
        </w:trPr>
        <w:tc>
          <w:tcPr>
            <w:tcW w:type="dxa" w:w="1800"/>
            <w:vAlign w:val="center"/>
            <w:tcMar>
              <w:top w:w="100" w:type="dxa"/>
              <w:start w:w="120" w:type="dxa"/>
              <w:bottom w:w="100" w:type="dxa"/>
              <w:end w:w="120" w:type="dxa"/>
            </w:tcMar>
          </w:tcPr>
          <w:p>
            <w:r>
              <w:rPr>
                <w:sz w:val="16"/>
              </w:rPr>
              <w:t>Recycling</w:t>
            </w:r>
          </w:p>
        </w:tc>
        <w:tc>
          <w:tcPr>
            <w:tcW w:type="dxa" w:w="7992"/>
            <w:vAlign w:val="center"/>
            <w:tcMar>
              <w:top w:w="100" w:type="dxa"/>
              <w:start w:w="120" w:type="dxa"/>
              <w:bottom w:w="100" w:type="dxa"/>
              <w:end w:w="120" w:type="dxa"/>
            </w:tcMar>
          </w:tcPr>
          <w:p>
            <w:r>
              <w:rPr>
                <w:sz w:val="16"/>
              </w:rPr>
              <w:t>No material deterioration in capture or contamination; analyse residual displacement and rejected loads.</w:t>
            </w:r>
          </w:p>
        </w:tc>
      </w:tr>
      <w:tr>
        <w:trPr>
          <w:cantSplit/>
        </w:trPr>
        <w:tc>
          <w:tcPr>
            <w:tcW w:type="dxa" w:w="1800"/>
            <w:shd w:fill="F3F5F6"/>
            <w:vAlign w:val="center"/>
            <w:tcMar>
              <w:top w:w="100" w:type="dxa"/>
              <w:start w:w="120" w:type="dxa"/>
              <w:bottom w:w="100" w:type="dxa"/>
              <w:end w:w="120" w:type="dxa"/>
            </w:tcMar>
          </w:tcPr>
          <w:p>
            <w:r>
              <w:rPr>
                <w:sz w:val="16"/>
              </w:rPr>
              <w:t>Access</w:t>
            </w:r>
          </w:p>
        </w:tc>
        <w:tc>
          <w:tcPr>
            <w:tcW w:type="dxa" w:w="7992"/>
            <w:shd w:fill="F3F5F6"/>
            <w:vAlign w:val="center"/>
            <w:tcMar>
              <w:top w:w="100" w:type="dxa"/>
              <w:start w:w="120" w:type="dxa"/>
              <w:bottom w:w="100" w:type="dxa"/>
              <w:end w:w="120" w:type="dxa"/>
            </w:tcMar>
          </w:tcPr>
          <w:p>
            <w:r>
              <w:rPr>
                <w:sz w:val="16"/>
              </w:rPr>
              <w:t>No group experiences an unmitigated material disadvantage; assisted/alternative service performs to standard.</w:t>
            </w:r>
          </w:p>
        </w:tc>
      </w:tr>
      <w:tr>
        <w:trPr>
          <w:cantSplit/>
        </w:trPr>
        <w:tc>
          <w:tcPr>
            <w:tcW w:type="dxa" w:w="1800"/>
            <w:vAlign w:val="center"/>
            <w:tcMar>
              <w:top w:w="100" w:type="dxa"/>
              <w:start w:w="120" w:type="dxa"/>
              <w:bottom w:w="100" w:type="dxa"/>
              <w:end w:w="120" w:type="dxa"/>
            </w:tcMar>
          </w:tcPr>
          <w:p>
            <w:r>
              <w:rPr>
                <w:sz w:val="16"/>
              </w:rPr>
              <w:t>Public realm</w:t>
            </w:r>
          </w:p>
        </w:tc>
        <w:tc>
          <w:tcPr>
            <w:tcW w:type="dxa" w:w="7992"/>
            <w:vAlign w:val="center"/>
            <w:tcMar>
              <w:top w:w="100" w:type="dxa"/>
              <w:start w:w="120" w:type="dxa"/>
              <w:bottom w:w="100" w:type="dxa"/>
              <w:end w:w="120" w:type="dxa"/>
            </w:tcMar>
          </w:tcPr>
          <w:p>
            <w:r>
              <w:rPr>
                <w:sz w:val="16"/>
              </w:rPr>
              <w:t>Litter, fly-tipping, fire incidents, obstruction and parking effects stay within published thresholds.</w:t>
            </w:r>
          </w:p>
        </w:tc>
      </w:tr>
      <w:tr>
        <w:trPr>
          <w:cantSplit/>
        </w:trPr>
        <w:tc>
          <w:tcPr>
            <w:tcW w:type="dxa" w:w="1800"/>
            <w:shd w:fill="F3F5F6"/>
            <w:vAlign w:val="center"/>
            <w:tcMar>
              <w:top w:w="100" w:type="dxa"/>
              <w:start w:w="120" w:type="dxa"/>
              <w:bottom w:w="100" w:type="dxa"/>
              <w:end w:w="120" w:type="dxa"/>
            </w:tcMar>
          </w:tcPr>
          <w:p>
            <w:r>
              <w:rPr>
                <w:sz w:val="16"/>
              </w:rPr>
              <w:t>Social value</w:t>
            </w:r>
          </w:p>
        </w:tc>
        <w:tc>
          <w:tcPr>
            <w:tcW w:type="dxa" w:w="7992"/>
            <w:shd w:fill="F3F5F6"/>
            <w:vAlign w:val="center"/>
            <w:tcMar>
              <w:top w:w="100" w:type="dxa"/>
              <w:start w:w="120" w:type="dxa"/>
              <w:bottom w:w="100" w:type="dxa"/>
              <w:end w:w="120" w:type="dxa"/>
            </w:tcMar>
          </w:tcPr>
          <w:p>
            <w:r>
              <w:rPr>
                <w:sz w:val="16"/>
              </w:rPr>
              <w:t>Cleaner-street and wellbeing indicators improve enough to justify any remaining net cost; employment benefits are stated without double counting wages as savings.</w:t>
            </w:r>
          </w:p>
        </w:tc>
      </w:tr>
      <w:tr>
        <w:trPr>
          <w:cantSplit/>
        </w:trPr>
        <w:tc>
          <w:tcPr>
            <w:tcW w:type="dxa" w:w="1800"/>
            <w:vAlign w:val="center"/>
            <w:tcMar>
              <w:top w:w="100" w:type="dxa"/>
              <w:start w:w="120" w:type="dxa"/>
              <w:bottom w:w="100" w:type="dxa"/>
              <w:end w:w="120" w:type="dxa"/>
            </w:tcMar>
          </w:tcPr>
          <w:p>
            <w:r>
              <w:rPr>
                <w:sz w:val="16"/>
              </w:rPr>
              <w:t>Acceptability</w:t>
            </w:r>
          </w:p>
        </w:tc>
        <w:tc>
          <w:tcPr>
            <w:tcW w:type="dxa" w:w="7992"/>
            <w:vAlign w:val="center"/>
            <w:tcMar>
              <w:top w:w="100" w:type="dxa"/>
              <w:start w:w="120" w:type="dxa"/>
              <w:bottom w:w="100" w:type="dxa"/>
              <w:end w:w="120" w:type="dxa"/>
            </w:tcMar>
          </w:tcPr>
          <w:p>
            <w:r>
              <w:rPr>
                <w:sz w:val="16"/>
              </w:rPr>
              <w:t>Resident support and complaint rates meet a locally agreed bar, reported by distance and demographic group.</w:t>
            </w:r>
          </w:p>
        </w:tc>
      </w:tr>
    </w:tbl>
    <w:p>
      <w:pPr>
        <w:spacing w:after="0"/>
      </w:pPr>
    </w:p>
    <w:p>
      <w:pPr>
        <w:pStyle w:val="Heading2"/>
      </w:pPr>
      <w:r>
        <w:t>Data needed to turn this into a business case</w:t>
      </w:r>
    </w:p>
    <w:p>
      <w:pPr>
        <w:pStyle w:val="ListBullet"/>
        <w:spacing w:after="60"/>
      </w:pPr>
      <w:r>
        <w:t>Current household-stop times and full route cycle times by housing archetype.</w:t>
      </w:r>
    </w:p>
    <w:p>
      <w:pPr>
        <w:pStyle w:val="ListBullet"/>
        <w:spacing w:after="60"/>
      </w:pPr>
      <w:r>
        <w:t>Candidate-site count, household catchments and step-free walking routes.</w:t>
      </w:r>
    </w:p>
    <w:p>
      <w:pPr>
        <w:pStyle w:val="ListBullet"/>
        <w:spacing w:after="60"/>
      </w:pPr>
      <w:r>
        <w:t>Installed quotations including excavation, utility diversion, traffic management and reinstatement.</w:t>
      </w:r>
    </w:p>
    <w:p>
      <w:pPr>
        <w:pStyle w:val="ListBullet"/>
        <w:spacing w:after="60"/>
      </w:pPr>
      <w:r>
        <w:t>Fleet-hour marginal and avoidable costs—not only average accounting costs.</w:t>
      </w:r>
    </w:p>
    <w:p>
      <w:pPr>
        <w:pStyle w:val="ListBullet"/>
        <w:spacing w:after="60"/>
      </w:pPr>
      <w:r>
        <w:t>Material-specific tonnage, capacity, contamination and treatment-contract price effects.</w:t>
      </w:r>
    </w:p>
    <w:p>
      <w:pPr>
        <w:pStyle w:val="ListBullet"/>
        <w:spacing w:after="60"/>
      </w:pPr>
      <w:r>
        <w:t>Cleaning, enforcement, complaints, assisted-collection and parking/public-realm costs.</w:t>
      </w:r>
    </w:p>
    <w:p>
      <w:pPr>
        <w:pStyle w:val="Heading1"/>
      </w:pPr>
      <w:r>
        <w:t>8. Neutral conclusion</w:t>
      </w:r>
    </w:p>
    <w:p>
      <w:pPr>
        <w:keepLines/>
      </w:pPr>
      <w:r>
        <w:t>The proposal is neither disproved nor proven as a universal saving. It has a credible operational logic and real UK precedents. In the central 10,000-household model, weekly communal service saves 2,528 collection stop-hours, 22,244 litres of diesel and 57.5 tCO₂e while producing a modest £11,484 annual saving after included system costs. But the margin is thin, break-even requires about 39 households per hub, and plausible adverse scenarios generate substantial losses.</w:t>
      </w:r>
    </w:p>
    <w:p>
      <w:pPr>
        <w:keepLines/>
      </w:pPr>
      <w:r>
        <w:t>Limitations. This is a published-evidence planning model, not a route-optimisation study or audited local-authority business case. The £6,000 hub cost is a central planning assumption, not a supplier quotation; the separate £12,000 sensitivity demonstrates how strongly procurement cost can change the conclusion. Several other inputs are assumptions because no consistent national benchmark exists. The analysis excludes embodied carbon, land value, treatment-contract details, traffic simulation and monetised resident time. Local operational data and installed quotations are required before commitment.</w:t>
      </w:r>
    </w:p>
    <w:p>
      <w:pPr>
        <w:keepLines/>
      </w:pPr>
      <w:r>
        <w:rPr>
          <w:b/>
        </w:rPr>
        <w:t xml:space="preserve">Limitations. </w:t>
      </w:r>
      <w:r>
        <w:t>This is a published-evidence planning model, not a route-optimisation study or audited local-authority business case. Several inputs are assumptions because no consistent national benchmark exists. It excludes embodied carbon, land value, treatment-contract details, traffic simulation and monetised resident time. Local operational data are required before commitment.</w:t>
      </w:r>
    </w:p>
    <w:p>
      <w:r>
        <w:br w:type="page"/>
      </w:r>
    </w:p>
    <w:p>
      <w:pPr>
        <w:pStyle w:val="Heading1"/>
      </w:pPr>
      <w:r>
        <w:t>References</w:t>
      </w:r>
    </w:p>
    <w:p>
      <w:pPr>
        <w:spacing w:after="100"/>
        <w:ind w:left="259" w:hanging="259"/>
      </w:pPr>
      <w:r>
        <w:rPr>
          <w:b/>
        </w:rPr>
        <w:t xml:space="preserve">1. Department for Environment, Food &amp; Rural Affairs (2025). </w:t>
      </w:r>
      <w:r>
        <w:t xml:space="preserve">Local authority collected waste management: annual results 2024/25. </w:t>
      </w:r>
      <w:hyperlink r:id="rId11">
        <w:r>
          <w:rPr>
            <w:color w:val="0C7C86"/>
            <w:u w:val="single"/>
          </w:rPr>
          <w:t>Source</w:t>
        </w:r>
      </w:hyperlink>
      <w:r>
        <w:t xml:space="preserve"> — Household waste, recycling and residual-waste statistics for England.</w:t>
      </w:r>
    </w:p>
    <w:p>
      <w:pPr>
        <w:spacing w:after="100"/>
        <w:ind w:left="259" w:hanging="259"/>
      </w:pPr>
      <w:r>
        <w:rPr>
          <w:b/>
        </w:rPr>
        <w:t xml:space="preserve">2. Defra (updated 2026). </w:t>
      </w:r>
      <w:r>
        <w:t xml:space="preserve">Simpler Recycling: household recycling in England. </w:t>
      </w:r>
      <w:hyperlink r:id="rId12">
        <w:r>
          <w:rPr>
            <w:color w:val="0C7C86"/>
            <w:u w:val="single"/>
          </w:rPr>
          <w:t>Source</w:t>
        </w:r>
      </w:hyperlink>
      <w:r>
        <w:t xml:space="preserve"> — Collection requirements, including weekly food waste and guidance on communal on-site bins for some flats.</w:t>
      </w:r>
    </w:p>
    <w:p>
      <w:pPr>
        <w:spacing w:after="100"/>
        <w:ind w:left="259" w:hanging="259"/>
      </w:pPr>
      <w:r>
        <w:rPr>
          <w:b/>
        </w:rPr>
        <w:t xml:space="preserve">3. Department for Energy Security and Net Zero (2026). </w:t>
      </w:r>
      <w:r>
        <w:t xml:space="preserve">Weekly road fuel prices. </w:t>
      </w:r>
      <w:hyperlink r:id="rId13">
        <w:r>
          <w:rPr>
            <w:color w:val="0C7C86"/>
            <w:u w:val="single"/>
          </w:rPr>
          <w:t>Source</w:t>
        </w:r>
      </w:hyperlink>
      <w:r>
        <w:t xml:space="preserve"> — Official UK diesel-price series; workbook uses 182.82 pence/litre for 24 August 2026.</w:t>
      </w:r>
    </w:p>
    <w:p>
      <w:pPr>
        <w:spacing w:after="100"/>
        <w:ind w:left="259" w:hanging="259"/>
      </w:pPr>
      <w:r>
        <w:rPr>
          <w:b/>
        </w:rPr>
        <w:t xml:space="preserve">4. DESNZ (2026). </w:t>
      </w:r>
      <w:r>
        <w:t xml:space="preserve">Greenhouse gas reporting: conversion factors 2026. </w:t>
      </w:r>
      <w:hyperlink r:id="rId14">
        <w:r>
          <w:rPr>
            <w:color w:val="0C7C86"/>
            <w:u w:val="single"/>
          </w:rPr>
          <w:t>Source</w:t>
        </w:r>
      </w:hyperlink>
      <w:r>
        <w:t xml:space="preserve"> — Workbook uses 2.58354 kgCO₂e/litre for average biofuel-blend diesel.</w:t>
      </w:r>
    </w:p>
    <w:p>
      <w:pPr>
        <w:spacing w:after="100"/>
        <w:ind w:left="259" w:hanging="259"/>
      </w:pPr>
      <w:r>
        <w:rPr>
          <w:b/>
        </w:rPr>
        <w:t xml:space="preserve">5. Glasgow City Council (accessed 2026). </w:t>
      </w:r>
      <w:r>
        <w:t xml:space="preserve">Bin hubs. </w:t>
      </w:r>
      <w:hyperlink r:id="rId15">
        <w:r>
          <w:rPr>
            <w:color w:val="0C7C86"/>
            <w:u w:val="single"/>
          </w:rPr>
          <w:t>Source</w:t>
        </w:r>
      </w:hyperlink>
      <w:r>
        <w:t xml:space="preserve"> — Programme description, average hub catchment and indicative service frequencies.</w:t>
      </w:r>
    </w:p>
    <w:p>
      <w:pPr>
        <w:spacing w:after="100"/>
        <w:ind w:left="259" w:hanging="259"/>
      </w:pPr>
      <w:r>
        <w:rPr>
          <w:b/>
        </w:rPr>
        <w:t xml:space="preserve">6. City of Edinburgh Council (accessed 2026). </w:t>
      </w:r>
      <w:r>
        <w:t xml:space="preserve">Communal bin review. </w:t>
      </w:r>
      <w:hyperlink r:id="rId16">
        <w:r>
          <w:rPr>
            <w:color w:val="0C7C86"/>
            <w:u w:val="single"/>
          </w:rPr>
          <w:t>Source</w:t>
        </w:r>
      </w:hyperlink>
      <w:r>
        <w:t xml:space="preserve"> — Programme background, service frequency and access-distance information.</w:t>
      </w:r>
    </w:p>
    <w:p>
      <w:pPr>
        <w:spacing w:after="100"/>
        <w:ind w:left="259" w:hanging="259"/>
      </w:pPr>
      <w:r>
        <w:rPr>
          <w:b/>
        </w:rPr>
        <w:t xml:space="preserve">7. City of Edinburgh Council (2023–2025). </w:t>
      </w:r>
      <w:r>
        <w:t xml:space="preserve">Communal bin review: second review of bin hubs; On-street bin hubs integrated impact assessment. </w:t>
      </w:r>
      <w:hyperlink r:id="rId17">
        <w:r>
          <w:rPr>
            <w:color w:val="0C7C86"/>
            <w:u w:val="single"/>
          </w:rPr>
          <w:t>Source</w:t>
        </w:r>
      </w:hyperlink>
      <w:r>
        <w:t xml:space="preserve"> — Siting review process and accessibility/equality considerations. Impact assessment: https://www.edinburgh.gov.uk/downloads/file/30207/on-street-bin-hubs-iia</w:t>
      </w:r>
    </w:p>
    <w:p>
      <w:pPr>
        <w:spacing w:after="100"/>
        <w:ind w:left="259" w:hanging="259"/>
      </w:pPr>
      <w:r>
        <w:rPr>
          <w:b/>
        </w:rPr>
        <w:t xml:space="preserve">8. Liverpool City Council (2022). </w:t>
      </w:r>
      <w:r>
        <w:t xml:space="preserve">Subterranean “super-bin” scheme launched. </w:t>
      </w:r>
      <w:hyperlink r:id="rId18">
        <w:r>
          <w:rPr>
            <w:color w:val="0C7C86"/>
            <w:u w:val="single"/>
          </w:rPr>
          <w:t>Source</w:t>
        </w:r>
      </w:hyperlink>
      <w:r>
        <w:t xml:space="preserve"> — Scheme scope, intended households and street-cleanliness rationale.</w:t>
      </w:r>
    </w:p>
    <w:p>
      <w:pPr>
        <w:spacing w:after="100"/>
        <w:ind w:left="259" w:hanging="259"/>
      </w:pPr>
      <w:r>
        <w:rPr>
          <w:b/>
        </w:rPr>
        <w:t xml:space="preserve">9. WRAP (2025). </w:t>
      </w:r>
      <w:r>
        <w:t xml:space="preserve">Recycling Tracker Survey: UK Spring 2025. </w:t>
      </w:r>
      <w:hyperlink r:id="rId19">
        <w:r>
          <w:rPr>
            <w:color w:val="0C7C86"/>
            <w:u w:val="single"/>
          </w:rPr>
          <w:t>Source</w:t>
        </w:r>
      </w:hyperlink>
      <w:r>
        <w:t xml:space="preserve"> — Evidence on household recycling contamination behaviours.</w:t>
      </w:r>
    </w:p>
    <w:p>
      <w:pPr>
        <w:spacing w:after="100"/>
        <w:ind w:left="259" w:hanging="259"/>
      </w:pPr>
      <w:r>
        <w:rPr>
          <w:b/>
        </w:rPr>
        <w:t xml:space="preserve">10. Nguyen, T.T.T. and Wilson, B.G. (2010). </w:t>
      </w:r>
      <w:r>
        <w:t xml:space="preserve">Fuel consumption estimation for kerbside municipal solid waste collection activities. </w:t>
      </w:r>
      <w:hyperlink r:id="rId20">
        <w:r>
          <w:rPr>
            <w:color w:val="0C7C86"/>
            <w:u w:val="single"/>
          </w:rPr>
          <w:t>Source</w:t>
        </w:r>
      </w:hyperlink>
      <w:r>
        <w:t xml:space="preserve"> — Peer-reviewed evidence on collection-mode fuel use and route optimisation.</w:t>
      </w:r>
    </w:p>
    <w:p>
      <w:pPr>
        <w:spacing w:after="100"/>
        <w:ind w:left="259" w:hanging="259"/>
      </w:pPr>
      <w:r>
        <w:rPr>
          <w:b/>
        </w:rPr>
        <w:t xml:space="preserve">11. UK Parliament (1990, as amended). </w:t>
      </w:r>
      <w:r>
        <w:t xml:space="preserve">Environmental Protection Act 1990, section 45. </w:t>
      </w:r>
      <w:hyperlink r:id="rId21">
        <w:r>
          <w:rPr>
            <w:color w:val="0C7C86"/>
            <w:u w:val="single"/>
          </w:rPr>
          <w:t>Source</w:t>
        </w:r>
      </w:hyperlink>
      <w:r>
        <w:t xml:space="preserve"> — Waste collection authority duties.</w:t>
      </w:r>
    </w:p>
    <w:p>
      <w:pPr>
        <w:spacing w:after="100"/>
        <w:ind w:left="259" w:hanging="259"/>
      </w:pPr>
      <w:r>
        <w:rPr>
          <w:b/>
        </w:rPr>
        <w:t xml:space="preserve">12. Scottish Government (2015). </w:t>
      </w:r>
      <w:r>
        <w:t xml:space="preserve">Review of high-performing recycling systems. </w:t>
      </w:r>
      <w:hyperlink r:id="rId22">
        <w:r>
          <w:rPr>
            <w:color w:val="0C7C86"/>
            <w:u w:val="single"/>
          </w:rPr>
          <w:t>Source</w:t>
        </w:r>
      </w:hyperlink>
      <w:r>
        <w:t xml:space="preserve"> — Challenges and management requirements for communal recycling systems.</w:t>
      </w:r>
    </w:p>
    <w:p>
      <w:pPr>
        <w:spacing w:after="100"/>
        <w:ind w:left="259" w:hanging="259"/>
      </w:pPr>
      <w:r>
        <w:rPr>
          <w:b/>
        </w:rPr>
        <w:t xml:space="preserve">13. UK Parliament (2010, as amended). </w:t>
      </w:r>
      <w:r>
        <w:t xml:space="preserve">Equality Act 2010, section 149. </w:t>
      </w:r>
      <w:hyperlink r:id="rId23">
        <w:r>
          <w:rPr>
            <w:color w:val="0C7C86"/>
            <w:u w:val="single"/>
          </w:rPr>
          <w:t>Source</w:t>
        </w:r>
      </w:hyperlink>
      <w:r>
        <w:t xml:space="preserve"> — Public-sector equality duty.</w:t>
      </w:r>
    </w:p>
    <w:p>
      <w:pPr>
        <w:spacing w:after="100"/>
        <w:ind w:left="259" w:hanging="259"/>
      </w:pPr>
      <w:r>
        <w:rPr>
          <w:b/>
        </w:rPr>
        <w:t xml:space="preserve">14. Oxford City Council (accessed 2026). </w:t>
      </w:r>
      <w:r>
        <w:t xml:space="preserve">Technical Advice Note 3: Waste storage. </w:t>
      </w:r>
      <w:hyperlink r:id="rId24">
        <w:r>
          <w:rPr>
            <w:color w:val="0C7C86"/>
            <w:u w:val="single"/>
          </w:rPr>
          <w:t>Source</w:t>
        </w:r>
      </w:hyperlink>
      <w:r>
        <w:t xml:space="preserve"> — Development-design carrying and collection-distance guidance.</w:t>
      </w:r>
    </w:p>
    <w:p>
      <w:pPr>
        <w:spacing w:after="100"/>
        <w:ind w:left="259" w:hanging="259"/>
      </w:pPr>
      <w:r>
        <w:rPr>
          <w:b/>
        </w:rPr>
        <w:t xml:space="preserve">15. Fire Protection Association (accessed 2026). </w:t>
      </w:r>
      <w:r>
        <w:t xml:space="preserve">How to fire test a bin. </w:t>
      </w:r>
      <w:hyperlink r:id="rId25">
        <w:r>
          <w:rPr>
            <w:color w:val="0C7C86"/>
            <w:u w:val="single"/>
          </w:rPr>
          <w:t>Source</w:t>
        </w:r>
      </w:hyperlink>
      <w:r>
        <w:t xml:space="preserve"> — Fire separation and resistance considerations for external waste containers.</w:t>
      </w:r>
    </w:p>
    <w:p>
      <w:pPr>
        <w:spacing w:after="100"/>
        <w:ind w:left="259" w:hanging="259"/>
      </w:pPr>
      <w:r>
        <w:rPr>
          <w:b/>
        </w:rPr>
        <w:t xml:space="preserve">16. Blackpool Council (2025). </w:t>
      </w:r>
      <w:r>
        <w:t xml:space="preserve">Blackpool trials new bin hubs to support Simpler Recycling rollout. </w:t>
      </w:r>
      <w:hyperlink r:id="rId26">
        <w:r>
          <w:rPr>
            <w:color w:val="0C7C86"/>
            <w:u w:val="single"/>
          </w:rPr>
          <w:t>Source</w:t>
        </w:r>
      </w:hyperlink>
      <w:r>
        <w:t xml:space="preserve"> — Current local-authority trial example.</w:t>
      </w:r>
    </w:p>
    <w:p>
      <w:pPr>
        <w:spacing w:after="100"/>
        <w:ind w:left="259" w:hanging="259"/>
      </w:pPr>
      <w:r>
        <w:t>Companion workbook: UK_Neighbourhood_Communal_Bin_Simulation_Reconciled.xlsx. Calculations are formula-driven and assumptions are editable. This edition resolves the earlier £6,000/£12,000 hub-cost mismatch without concealing either case. Figures in the paper are rounded.</w:t>
      </w:r>
    </w:p>
    <w:p>
      <w:pPr>
        <w:pStyle w:val="CaptionSmall"/>
        <w:spacing w:before="200"/>
      </w:pPr>
      <w:r>
        <w:t>Companion workbook: UK_Neighbourhood_Communal_Bin_Simulation.xlsx. Calculations are formula-driven and assumptions are editable. Figures in this paper are rounded, so totals may differ by £1 from displayed components.</w:t>
      </w:r>
    </w:p>
    <w:sectPr w:rsidR="00FC693F" w:rsidRPr="0006063C" w:rsidSect="00034616">
      <w:headerReference w:type="default" r:id="rId9"/>
      <w:footerReference w:type="default" r:id="rId10"/>
      <w:pgSz w:w="12240" w:h="15840"/>
      <w:pgMar w:top="1152"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Small"/>
      <w:pBdr>
        <w:bottom w:val="single" w:sz="8" w:space="8" w:color="D5DEE2"/>
      </w:pBdr>
    </w:pPr>
    <w:r>
      <w:t>NEIGHBOURHOOD COMMUNAL BINS  /  UK FEASIBILITY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1723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b/>
      <w:bCs/>
      <w:color w:val="15344A"/>
      <w:sz w:val="3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0C7C86"/>
      <w:sz w:val="26"/>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ascii="Calibri" w:hAnsi="Calibri"/>
      <w:b/>
      <w:bCs/>
      <w:color w:val="1534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b/>
      <w:color w:val="15344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52636E"/>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Small">
    <w:name w:val="Caption Small"/>
    <w:pPr>
      <w:spacing w:after="80"/>
    </w:pPr>
    <w:rPr>
      <w:rFonts w:ascii="Calibri" w:hAnsi="Calibri"/>
      <w:color w:val="52636E"/>
      <w:sz w:val="16"/>
    </w:rPr>
  </w:style>
  <w:style w:type="paragraph" w:customStyle="1" w:styleId="Callout">
    <w:name w:val="Callout"/>
    <w:pPr>
      <w:spacing w:before="100" w:after="100"/>
    </w:pPr>
    <w:rPr>
      <w:rFonts w:ascii="Calibri" w:hAnsi="Calibri"/>
      <w:b/>
      <w:color w:val="15344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uk/government/statistics/local-authority-collected-waste-management-annual-results/local-authority-collected-waste-management-annual-results-202425" TargetMode="External"/><Relationship Id="rId12" Type="http://schemas.openxmlformats.org/officeDocument/2006/relationships/hyperlink" Target="https://www.gov.uk/guidance/simpler-recycling-household-recycling-in-england" TargetMode="External"/><Relationship Id="rId13" Type="http://schemas.openxmlformats.org/officeDocument/2006/relationships/hyperlink" Target="https://www.gov.uk/government/statistics/weekly-road-fuel-prices" TargetMode="External"/><Relationship Id="rId14" Type="http://schemas.openxmlformats.org/officeDocument/2006/relationships/hyperlink" Target="https://www.gov.uk/government/publications/greenhouse-gas-reporting-conversion-factors-2026" TargetMode="External"/><Relationship Id="rId15" Type="http://schemas.openxmlformats.org/officeDocument/2006/relationships/hyperlink" Target="https://www.glasgow.gov.uk/binhubs" TargetMode="External"/><Relationship Id="rId16" Type="http://schemas.openxmlformats.org/officeDocument/2006/relationships/hyperlink" Target="https://www.edinburgh.gov.uk/bins-recycling/communal-bin-review" TargetMode="External"/><Relationship Id="rId17" Type="http://schemas.openxmlformats.org/officeDocument/2006/relationships/hyperlink" Target="https://www.edinburgh.gov.uk/downloads/file/39435/communal-bin-review-second-review-of-bin-hubs" TargetMode="External"/><Relationship Id="rId18" Type="http://schemas.openxmlformats.org/officeDocument/2006/relationships/hyperlink" Target="https://liverpoolexpress.co.uk/subterranean-super-bin-scheme-launched/" TargetMode="External"/><Relationship Id="rId19" Type="http://schemas.openxmlformats.org/officeDocument/2006/relationships/hyperlink" Target="https://www.wrap.ngo/resources/report/recycling-tracker-survey-uk-spring-2025" TargetMode="External"/><Relationship Id="rId20" Type="http://schemas.openxmlformats.org/officeDocument/2006/relationships/hyperlink" Target="https://pubmed.ncbi.nlm.nih.gov/19723822/" TargetMode="External"/><Relationship Id="rId21" Type="http://schemas.openxmlformats.org/officeDocument/2006/relationships/hyperlink" Target="https://www.legislation.gov.uk/ukpga/1990/43/section/45" TargetMode="External"/><Relationship Id="rId22" Type="http://schemas.openxmlformats.org/officeDocument/2006/relationships/hyperlink" Target="https://www.gov.scot/publications/review-high-performing-recycling-systems-report-scottish-government/" TargetMode="External"/><Relationship Id="rId23" Type="http://schemas.openxmlformats.org/officeDocument/2006/relationships/hyperlink" Target="https://www.legislation.gov.uk/ukpga/2010/15/section/149" TargetMode="External"/><Relationship Id="rId24" Type="http://schemas.openxmlformats.org/officeDocument/2006/relationships/hyperlink" Target="https://www.oxford.gov.uk/downloads/file/1665/technical-advice-note-3---waste-storage" TargetMode="External"/><Relationship Id="rId25" Type="http://schemas.openxmlformats.org/officeDocument/2006/relationships/hyperlink" Target="https://www.thefpa.co.uk/news/how-to-fire-test-a-bin" TargetMode="External"/><Relationship Id="rId26" Type="http://schemas.openxmlformats.org/officeDocument/2006/relationships/hyperlink" Target="https://www.blackpool.gov.uk/news/blackpool-trials-new-bin-hubs-to-support-simpler-recycling-rollout.aspx" TargetMode="External"/><Relationship Id="rId27" Type="http://schemas.openxmlformats.org/officeDocument/2006/relationships/hyperlink" Target="https://www.wrap.ngo/resources/guide/good-practice-guidance-waste-and-recycling-colle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Neighbourhood communal recycling bins — reconciled evidence edition</dc:title>
  <dc:subject>Targeted UK feasibility study and transparent sensitivity model</dc:subject>
  <dc:creator>Independent policy and operations analysis</dc:creator>
  <cp:keywords>communal bins, recycling, UK, collection, simulation, local government</cp:keywords>
  <dc:description>Reconciled 26 August 2026: central £6,000/hub assumption plus explicit £12,000/hub downside sensitivity.</dc:description>
  <cp:lastModifiedBy/>
  <cp:revision>1</cp:revision>
  <dcterms:created xsi:type="dcterms:W3CDTF">2013-12-23T23:15:00Z</dcterms:created>
  <dcterms:modified xsi:type="dcterms:W3CDTF">2013-12-23T23:15:00Z</dcterms:modified>
  <cp:category/>
</cp:coreProperties>
</file>