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rand"/>
      </w:pPr>
      <w:r>
        <w:t>THE GREEN TANK · SOCIAL TECHNOLOGY</w:t>
      </w:r>
    </w:p>
    <w:p>
      <w:pPr>
        <w:pStyle w:val="Title"/>
      </w:pPr>
      <w:r>
        <w:t>THE DEMOCRATIC CENTRE AS A SHARED CIVIC SPACE</w:t>
      </w:r>
    </w:p>
    <w:p>
      <w:pPr>
        <w:pStyle w:val="Subtitle"/>
      </w:pPr>
      <w:r>
        <w:t>A global research paper on inclusive deliberation consensus seeking and democratic legitimacy</w:t>
      </w:r>
    </w:p>
    <w:p>
      <w:pPr>
        <w:spacing w:after="0"/>
      </w:pPr>
    </w:p>
    <w:p>
      <w:pPr>
        <w:pStyle w:val="Meta"/>
      </w:pPr>
      <w:r>
        <w:rPr>
          <w:b/>
        </w:rPr>
        <w:t>Author:</w:t>
      </w:r>
      <w:r>
        <w:t xml:space="preserve"> Alex Anderson</w:t>
      </w:r>
    </w:p>
    <w:p>
      <w:pPr>
        <w:pStyle w:val="Meta"/>
      </w:pPr>
      <w:r>
        <w:rPr>
          <w:b/>
        </w:rPr>
        <w:t>Project:</w:t>
      </w:r>
      <w:r>
        <w:t xml:space="preserve"> The Green Tank · Social Technology</w:t>
      </w:r>
    </w:p>
    <w:p>
      <w:pPr>
        <w:pStyle w:val="Meta"/>
      </w:pPr>
      <w:r>
        <w:rPr>
          <w:b/>
        </w:rPr>
        <w:t>Status:</w:t>
      </w:r>
      <w:r>
        <w:t xml:space="preserve"> Research synthesis and open institutional design proposal</w:t>
      </w:r>
    </w:p>
    <w:p>
      <w:pPr>
        <w:pStyle w:val="Meta"/>
      </w:pPr>
      <w:r>
        <w:rPr>
          <w:b/>
        </w:rPr>
        <w:t>Date:</w:t>
      </w:r>
      <w:r>
        <w:t xml:space="preserve"> 16 September 2026</w:t>
      </w:r>
    </w:p>
    <w:p>
      <w:pPr>
        <w:pStyle w:val="Meta"/>
      </w:pPr>
      <w:r>
        <w:rPr>
          <w:b/>
        </w:rPr>
        <w:t>Authorship:</w:t>
      </w:r>
      <w:r>
        <w:t xml:space="preserve"> Concept and first-person reasoning by Alex Anderson · Research drafting and design assistance by AI</w:t>
      </w:r>
    </w:p>
    <w:p>
      <w:pPr>
        <w:pStyle w:val="Meta"/>
      </w:pPr>
      <w:r>
        <w:rPr>
          <w:b/>
        </w:rPr>
        <w:t>Licence:</w:t>
      </w:r>
      <w:r>
        <w:t xml:space="preserve"> Creative Commons Attribution 4.0 International</w:t>
      </w:r>
    </w:p>
    <w:p>
      <w:pPr>
        <w:spacing w:after="0"/>
      </w:pPr>
    </w:p>
    <w:p>
      <w:pPr>
        <w:spacing w:before="280" w:after="160" w:line="283" w:lineRule="auto"/>
        <w:ind w:left="691" w:right="835"/>
        <w:jc w:val="left"/>
      </w:pPr>
      <w:r>
        <w:rPr>
          <w:b/>
          <w:color w:val="123D33"/>
          <w:sz w:val="30"/>
        </w:rPr>
        <w:t>A political centre can be an opinion. The democratic centre defined here is a place: the common table at which people who remain different share power without erasing one another.</w:t>
      </w:r>
    </w:p>
    <w:p>
      <w:pPr>
        <w:pStyle w:val="Meta"/>
        <w:ind w:left="691"/>
      </w:pPr>
      <w:r>
        <w:rPr>
          <w:b/>
          <w:color w:val="0D4F3A"/>
        </w:rPr>
        <w:t>OPEN RESEARCH · GLOBAL EVIDENCE · TESTABLE DESIGN</w:t>
      </w:r>
    </w:p>
    <w:p>
      <w:pPr>
        <w:spacing w:after="0"/>
        <w:sectPr>
          <w:pgSz w:w="12240" w:h="15840"/>
          <w:pgMar w:top="1094" w:right="1181" w:bottom="1037" w:left="1181" w:header="432" w:footer="461" w:gutter="0"/>
          <w:cols w:space="720"/>
          <w:docGrid w:linePitch="360"/>
        </w:sectPr>
      </w:pPr>
    </w:p>
    <w:p>
      <w:pPr>
        <w:pStyle w:val="Heading1"/>
        <w:keepNext/>
      </w:pPr>
      <w:r>
        <w:t>Abstract</w:t>
      </w:r>
    </w:p>
    <w:p>
      <w:pPr>
        <w:pStyle w:val="Executive"/>
      </w:pPr>
      <w:r>
        <w:t xml:space="preserve">This paper distinguishes two meanings that are routinely collapsed into the word </w:t>
      </w:r>
      <w:r>
        <w:rPr>
          <w:i/>
        </w:rPr>
        <w:t>centre</w:t>
      </w:r>
      <w:r>
        <w:t xml:space="preserve">. Ideological centrism is a political position: it selects or combines policies associated with the left and right. The </w:t>
      </w:r>
      <w:r>
        <w:rPr>
          <w:b/>
        </w:rPr>
        <w:t>democratic centre</w:t>
      </w:r>
      <w:r>
        <w:t xml:space="preserve"> proposed here is different. It is a shared civic space and a decision method. People arrive with conservative, socialist, liberal, ecological, religious, nationalist, Indigenous, localist or unaligned convictions; they do not have to abandon those convictions. They meet under rules that protect equal personhood, meaningful participation, evidence, freedom from intimidation, public reasons, minority rights and peaceful correction.</w:t>
      </w:r>
    </w:p>
    <w:p>
      <w:pPr>
        <w:pStyle w:val="Executive"/>
      </w:pPr>
      <w:r>
        <w:t>The strongest conclusion supported by democratic theory, international law and comparative practice is not that every decision must be unanimous, nor that a self-described centrist party is uniquely democratic. It is that democracy is most faithful to its own principles when everyone affected has a fair route into the decision, competing reasons are genuinely heard, institutions seek the broadest workable agreement, and unresolved disagreement is handled by a lawful and revisable rule that does not erase the losing side. This is consensus-seeking rather than compulsory harmony.</w:t>
      </w:r>
    </w:p>
    <w:p>
      <w:pPr>
        <w:pStyle w:val="Executive"/>
      </w:pPr>
      <w:r>
        <w:t>Research on conflict and polarisation also supports a careful version of the paper’s warning. Exclusion, unequal access to power, identity-based humiliation and a felt lack of political voice can intensify fear and grievance. Under political entrepreneurship and weak safeguards, fear can be organised into blame, dehumanisation, hatred and violence. That pathway is conditional, not inevitable. Contact and deliberation sometimes reduce hostility, but sometimes fail or backfire. The design of the room, who enters it, who speaks, who answers, what happens afterwards and whether rights are protected all matter.</w:t>
      </w:r>
    </w:p>
    <w:p>
      <w:pPr>
        <w:pStyle w:val="Executive"/>
      </w:pPr>
      <w:r>
        <w:t xml:space="preserve">The paper therefore proposes a </w:t>
      </w:r>
      <w:r>
        <w:rPr>
          <w:b/>
        </w:rPr>
        <w:t>Democratic Centre Standard</w:t>
      </w:r>
      <w:r>
        <w:t>. It joins open participation to a human-rights floor, representative selection, affected-person standing, an accessible evidence record, trained facilitation, a transparent decision ladder, bounded blocking, minority reports, implementation duties, appeal, sunset and review. It gives political parties a roof under which to cooperate without merging, and citizens a route to govern with them rather than merely be governed by them.</w:t>
      </w:r>
    </w:p>
    <w:p>
      <w:pPr>
        <w:pStyle w:val="Heading1"/>
        <w:keepNext/>
      </w:pPr>
      <w:r>
        <w:t>Executive conclusion</w:t>
      </w:r>
    </w:p>
    <w:p>
      <w:pPr/>
      <w:r>
        <w:t xml:space="preserve">I use the word </w:t>
      </w:r>
      <w:r>
        <w:rPr>
          <w:i/>
        </w:rPr>
        <w:t>centre</w:t>
      </w:r>
      <w:r>
        <w:t xml:space="preserve"> here to name a place, not a political opinion. It is the common table at which every political conviction must meet when a decision will bind everyone. Nobody has to surrender a belief in order to enter. Nobody may deny another person’s equal standing once inside. Fear is allowed to speak, but it is not allowed to become an instruction to exclude.</w:t>
      </w:r>
    </w:p>
    <w:p>
      <w:pPr>
        <w:pStyle w:val="Heading2"/>
        <w:keepNext/>
      </w:pPr>
      <w:r>
        <w:t>The verdict in one sentence</w:t>
      </w:r>
    </w:p>
    <w:p>
      <w:pPr/>
      <w:r>
        <w:t>The democratic centre is not the midpoint between ideologies; it is the protected process through which ideological opponents share political power, seek an acceptable common decision and remain members of the same public when agreement is incomplete.</w:t>
      </w:r>
    </w:p>
    <w:p>
      <w:pPr>
        <w:pStyle w:val="Heading2"/>
        <w:keepNext/>
      </w:pPr>
      <w:r>
        <w:t>What the evidence supports and what it does not</w:t>
      </w:r>
    </w:p>
    <w:tbl>
      <w:tblPr>
        <w:tblW w:type="auto" w:w="0"/>
        <w:jc w:val="left"/>
        <w:tblLayout w:type="autofit"/>
        <w:tblLook w:firstColumn="1" w:firstRow="1" w:lastColumn="0" w:lastRow="0" w:noHBand="0" w:noVBand="1" w:val="04A0"/>
        <w:tblBorders>
          <w:top w:val="single" w:sz="4" w:space="0" w:color="C7D0CC"/>
          <w:left w:val="single" w:sz="4" w:space="0" w:color="C7D0CC"/>
          <w:bottom w:val="single" w:sz="4" w:space="0" w:color="C7D0CC"/>
          <w:right w:val="single" w:sz="4" w:space="0" w:color="C7D0CC"/>
          <w:insideH w:val="single" w:sz="4" w:space="0" w:color="C7D0CC"/>
          <w:insideV w:val="single" w:sz="4" w:space="0" w:color="C7D0CC"/>
        </w:tblBorders>
      </w:tblPr>
      <w:tblGrid>
        <w:gridCol w:w="4939"/>
        <w:gridCol w:w="4939"/>
      </w:tblGrid>
      <w:tr>
        <w:trPr>
          <w:cantSplit/>
          <w:tblHeader w:val="true"/>
        </w:trPr>
        <w:tc>
          <w:tcPr>
            <w:tcW w:type="dxa" w:w="4939"/>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The evidence supports</w:t>
            </w:r>
          </w:p>
        </w:tc>
        <w:tc>
          <w:tcPr>
            <w:tcW w:type="dxa" w:w="4939"/>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The evidence does not support</w:t>
            </w:r>
          </w:p>
        </w:tc>
      </w:tr>
      <w:tr>
        <w:trPr>
          <w:cantSplit/>
        </w:trPr>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Democracy requires political equality, effective participation, access to relevant information and inclusion in agenda setting.</w:t>
            </w:r>
          </w:p>
        </w:tc>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A claim that any organisation calling itself centrist is therefore democratic.</w:t>
            </w:r>
          </w:p>
        </w:tc>
      </w:tr>
      <w:tr>
        <w:trPr>
          <w:cantSplit/>
        </w:trPr>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Deliberation can improve knowledge, reveal trade-offs, clarify disagreement and sometimes reduce hostility.</w:t>
            </w:r>
          </w:p>
        </w:tc>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A guarantee that dialogue will produce agreement, trust or moderation.</w:t>
            </w:r>
          </w:p>
        </w:tc>
      </w:tr>
      <w:tr>
        <w:trPr>
          <w:cantSplit/>
        </w:trPr>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Consensus-oriented and power-sharing institutions can broaden ownership and restrain winner-takes-all rule.</w:t>
            </w:r>
          </w:p>
        </w:tc>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A requirement that every ordinary public decision obtain literal unanimity.</w:t>
            </w:r>
          </w:p>
        </w:tc>
      </w:tr>
      <w:tr>
        <w:trPr>
          <w:cantSplit/>
        </w:trPr>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Exclusion from power, justice, security and resources can contribute to grievance and violent conflict.</w:t>
            </w:r>
          </w:p>
        </w:tc>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A simple or inevitable sequence in which fear always becomes hatred or violence.</w:t>
            </w:r>
          </w:p>
        </w:tc>
      </w:tr>
      <w:tr>
        <w:trPr>
          <w:cantSplit/>
        </w:trPr>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Democratic legitimacy is strengthened when affected people can speak, receive an answer and see how their reasons altered the decision.</w:t>
            </w:r>
          </w:p>
        </w:tc>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Consultation theatre in which people are heard but decision-makers need not respond or implement.</w:t>
            </w:r>
          </w:p>
        </w:tc>
      </w:tr>
      <w:tr>
        <w:trPr>
          <w:cantSplit/>
        </w:trPr>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Rights, opposition, elections, courts, independent media and civil society remain essential around any consensus process.</w:t>
            </w:r>
          </w:p>
        </w:tc>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A single meeting process capable of replacing the wider democratic constitutional order.</w:t>
            </w:r>
          </w:p>
        </w:tc>
      </w:tr>
    </w:tbl>
    <w:p>
      <w:pPr>
        <w:spacing w:after="0"/>
      </w:pPr>
    </w:p>
    <w:p>
      <w:pPr/>
      <w:r>
        <w:t xml:space="preserve">The phrase </w:t>
      </w:r>
      <w:r>
        <w:rPr>
          <w:i/>
        </w:rPr>
        <w:t>most democratic</w:t>
      </w:r>
      <w:r>
        <w:t xml:space="preserve"> can therefore be defended as a normative judgment about design, not as an empirical title that one party or institution can award itself. A process is more democratic to the extent that it gives political equals meaningful influence, includes those affected, controls domination, explains its reasons and permits correction. No present state completely meets that standard. Many institutions approximate parts of it.</w:t>
      </w:r>
    </w:p>
    <w:p>
      <w:pPr>
        <w:pStyle w:val="Heading1"/>
        <w:keepNext/>
      </w:pPr>
      <w:r>
        <w:t>1 The centre is a constitutional place and not a halfway opinion</w:t>
      </w:r>
    </w:p>
    <w:p>
      <w:pPr>
        <w:pStyle w:val="Heading2"/>
        <w:keepNext/>
      </w:pPr>
      <w:r>
        <w:t>Two different meanings</w:t>
      </w:r>
    </w:p>
    <w:p>
      <w:pPr/>
      <w:r>
        <w:t>Political language usually treats the centre as a point on a left–right line. On that meaning, centrism is plainly a political view. It may prefer moderation, incremental reform, mixed markets or compromises between established parties. It can be principled or opportunistic, democratic or technocratic. Nothing about the label itself guarantees inclusion.</w:t>
      </w:r>
    </w:p>
    <w:p>
      <w:pPr/>
      <w:r>
        <w:t xml:space="preserve">This paper makes an explicit second definition. The </w:t>
      </w:r>
      <w:r>
        <w:rPr>
          <w:b/>
        </w:rPr>
        <w:t>democratic centre</w:t>
      </w:r>
      <w:r>
        <w:t xml:space="preserve"> is the common constitutional place in which the people and organisations who will remain different nevertheless decide what they must do together. It is procedural rather than ideological. Its content is not “half of each side”. Its content is the fair terms on which sides meet.</w:t>
      </w:r>
    </w:p>
    <w:p>
      <w:pPr/>
      <w:r>
        <w:t>The distinction matters because arithmetic compromise can be absurd or unjust. The midpoint between an accurate statement and a false one is not necessarily true. The midpoint between equal citizenship and racial subordination is not fair. The midpoint between safety and abuse does not protect the person being harmed. A democratic centre does not average away evidence or rights. It protects a floor beneath disagreement and then opens the questions that can legitimately be decided.</w:t>
      </w:r>
    </w:p>
    <w:p>
      <w:pPr>
        <w:pStyle w:val="Heading2"/>
        <w:keepNext/>
      </w:pPr>
      <w:r>
        <w:t>A place of political equality</w:t>
      </w:r>
    </w:p>
    <w:p>
      <w:pPr/>
      <w:r>
        <w:t>Robert Dahl’s democratic criteria are a useful starting point: effective participation, equality in voting, enlightened understanding, control of the agenda and inclusion of adults.[9] The Universal Declaration of Human Rights and the International Covenant on Civil and Political Rights likewise join political participation to equal suffrage and access to public service.[1][2] These traditions do not require citizens to think alike. They require that no citizen be treated as naturally entitled to rule another.</w:t>
      </w:r>
    </w:p>
    <w:p>
      <w:pPr/>
      <w:r>
        <w:t>The democratic centre is therefore neither political neutrality nor an escape from values. It rests on demanding values: equal moral standing, freedom of conscience and association, non-violence, truthfulness about evidence, the right to oppose, and the accountability of power. Those are the conditions under which ideological conflict can remain democratic.</w:t>
      </w:r>
    </w:p>
    <w:p>
      <w:pPr>
        <w:pStyle w:val="Heading2"/>
        <w:keepNext/>
      </w:pPr>
      <w:r>
        <w:t>A roof rather than a new tribe</w:t>
      </w:r>
    </w:p>
    <w:p>
      <w:pPr/>
      <w:r>
        <w:t>Parties are expected to organise differences. Elections need alternatives. Opposition exposes failure, gives dissatisfied citizens a peaceful route to replace government and prevents one agreement from becoming permanent orthodoxy. The proposal is not to dissolve parties into a single centrist organisation. It is to require them to meet under a shared roof for decisions that bind people outside their own membership.</w:t>
      </w:r>
    </w:p>
    <w:p>
      <w:pPr/>
      <w:r>
        <w:t>Under that roof, cooperation does not mean ideological merger. A socialist may argue for universal public provision; a conservative may argue for family, local institution and fiscal restraint; a green may insist on ecological limits; a liberal may prioritise individual freedom; an Indigenous community may insist on its own institutions and relationship to land. The democratic task is to discover what can be done without denying the standing, security or future voice of any of them.</w:t>
      </w:r>
    </w:p>
    <w:p>
      <w:pPr>
        <w:pStyle w:val="Heading1"/>
        <w:keepNext/>
      </w:pPr>
      <w:r>
        <w:t>2 Democracy means governing disagreement without erasing people</w:t>
      </w:r>
    </w:p>
    <w:p>
      <w:pPr>
        <w:pStyle w:val="Heading2"/>
        <w:keepNext/>
      </w:pPr>
      <w:r>
        <w:t>Elections are necessary and insufficient</w:t>
      </w:r>
    </w:p>
    <w:p>
      <w:pPr/>
      <w:r>
        <w:t>Competitive elections are indispensable, but a ballot can answer only some democratic questions. It can authorise office-holders and remove them. It does not by itself ensure that the agenda was open, that people understood the alternatives, that money and status did not distort voice, that a permanent minority was protected, or that those who will bear a policy’s cost were heard.</w:t>
      </w:r>
    </w:p>
    <w:p>
      <w:pPr/>
      <w:r>
        <w:t>Majority rule is a decision rule, not a complete theory of democracy. Consensus is also a decision rule, not democracy by itself. Jane Mansbridge’s work is important here: majority voting and consensus can each be appropriate, and each can reproduce power if treated as automatically legitimate.[15][16] Democracy is the larger system that makes decisions answerable to political equals through reciprocal public reasons and institutions open to ordinary citizens.[19][20]</w:t>
      </w:r>
    </w:p>
    <w:p>
      <w:pPr/>
      <w:r>
        <w:t>Arend Lijphart’s influential comparison of majoritarian and consensus democracies shows how coalitions, proportionality, federal arrangements and other institutional choices can distribute power more widely. Scholarly assessment of that framework also shows that its categories, causal claims and measures remain open to criticism rather than supplying a universal constitutional recipe.[10][11]</w:t>
      </w:r>
    </w:p>
    <w:p>
      <w:pPr>
        <w:pStyle w:val="Heading2"/>
        <w:keepNext/>
      </w:pPr>
      <w:r>
        <w:t>The democratic tests</w:t>
      </w:r>
    </w:p>
    <w:p>
      <w:pPr/>
      <w:r>
        <w:t>A public decision approaches the democratic centre when it meets eight tests.</w:t>
      </w:r>
    </w:p>
    <w:p>
      <w:pPr>
        <w:pStyle w:val="ManualNumber"/>
      </w:pPr>
      <w:r>
        <w:t xml:space="preserve">1. </w:t>
      </w:r>
      <w:r>
        <w:rPr>
          <w:b/>
        </w:rPr>
        <w:t>Equal standing</w:t>
      </w:r>
      <w:r>
        <w:t xml:space="preserve"> — every person counts as an equal member of the public; no inherited identity, wealth, office or volume of speech grants greater human worth.</w:t>
      </w:r>
    </w:p>
    <w:p>
      <w:pPr>
        <w:pStyle w:val="ManualNumber"/>
      </w:pPr>
      <w:r>
        <w:t xml:space="preserve">2. </w:t>
      </w:r>
      <w:r>
        <w:rPr>
          <w:b/>
        </w:rPr>
        <w:t>Effective inclusion</w:t>
      </w:r>
      <w:r>
        <w:t xml:space="preserve"> — people affected have a realistic way to participate directly or through representatives they can choose, reach and replace.</w:t>
      </w:r>
    </w:p>
    <w:p>
      <w:pPr>
        <w:pStyle w:val="ManualNumber"/>
      </w:pPr>
      <w:r>
        <w:t xml:space="preserve">3. </w:t>
      </w:r>
      <w:r>
        <w:rPr>
          <w:b/>
        </w:rPr>
        <w:t>Accessible understanding</w:t>
      </w:r>
      <w:r>
        <w:t xml:space="preserve"> — relevant evidence, uncertainties, alternatives, costs and likely effects are available in forms people can use.</w:t>
      </w:r>
    </w:p>
    <w:p>
      <w:pPr>
        <w:pStyle w:val="ManualNumber"/>
      </w:pPr>
      <w:r>
        <w:t xml:space="preserve">4. </w:t>
      </w:r>
      <w:r>
        <w:rPr>
          <w:b/>
        </w:rPr>
        <w:t>Agenda power</w:t>
      </w:r>
      <w:r>
        <w:t xml:space="preserve"> — citizens can place problems and alternatives on the agenda rather than merely react to a finished proposal.</w:t>
      </w:r>
    </w:p>
    <w:p>
      <w:pPr>
        <w:pStyle w:val="ManualNumber"/>
      </w:pPr>
      <w:r>
        <w:t xml:space="preserve">5. </w:t>
      </w:r>
      <w:r>
        <w:rPr>
          <w:b/>
        </w:rPr>
        <w:t>Freedom from domination</w:t>
      </w:r>
      <w:r>
        <w:t xml:space="preserve"> — threats, economic retaliation, humiliation, manipulation and procedural expertise cannot substitute for consent.</w:t>
      </w:r>
    </w:p>
    <w:p>
      <w:pPr>
        <w:pStyle w:val="ManualNumber"/>
      </w:pPr>
      <w:r>
        <w:t xml:space="preserve">6. </w:t>
      </w:r>
      <w:r>
        <w:rPr>
          <w:b/>
        </w:rPr>
        <w:t>Public justification</w:t>
      </w:r>
      <w:r>
        <w:t xml:space="preserve"> — decision-makers state reasons that others can inspect, contest and compare with the evidence.</w:t>
      </w:r>
    </w:p>
    <w:p>
      <w:pPr>
        <w:pStyle w:val="ManualNumber"/>
      </w:pPr>
      <w:r>
        <w:t xml:space="preserve">7. </w:t>
      </w:r>
      <w:r>
        <w:rPr>
          <w:b/>
        </w:rPr>
        <w:t>Rights protection</w:t>
      </w:r>
      <w:r>
        <w:t xml:space="preserve"> — a majority or consensus cannot legitimately remove equal personhood, basic liberties or the lawful status of a minority.</w:t>
      </w:r>
    </w:p>
    <w:p>
      <w:pPr>
        <w:pStyle w:val="ManualNumber"/>
      </w:pPr>
      <w:r>
        <w:t xml:space="preserve">8. </w:t>
      </w:r>
      <w:r>
        <w:rPr>
          <w:b/>
        </w:rPr>
        <w:t>Revisability</w:t>
      </w:r>
      <w:r>
        <w:t xml:space="preserve"> — errors can be appealed, reviewed and corrected without violence.</w:t>
      </w:r>
    </w:p>
    <w:p>
      <w:pPr/>
      <w:r>
        <w:t>These tests explain why the democratic centre cannot be identified by where an outcome sits on a political spectrum. A radical reform reached through an inclusive, rights-respecting process may be more democratic than a moderate policy imposed by an insulated elite. A cautious policy may be democratic when uncertainty and reversibility justify it. The location of the answer is distinct from the fairness of the way it was reached.</w:t>
      </w:r>
    </w:p>
    <w:p>
      <w:pPr>
        <w:pStyle w:val="Heading2"/>
        <w:keepNext/>
      </w:pPr>
      <w:r>
        <w:t>Inclusion is a material condition</w:t>
      </w:r>
    </w:p>
    <w:p>
      <w:pPr/>
      <w:r>
        <w:t>An invitation is not inclusion if attendance requires money, free time, literacy, internet access, physical mobility or confidence in an official language that some affected people do not possess. The Convention on the Rights of Persons with Disabilities requires effective and full participation in political and public life on an equal basis.[4] The Aarhus Convention similarly connects environmental legitimacy to access to information, public participation and access to justice.[6]</w:t>
      </w:r>
    </w:p>
    <w:p>
      <w:pPr/>
      <w:r>
        <w:t>Meaningful inclusion may therefore require payment for time, travel and caring costs; accessible buildings and documents; interpretation; childcare; digital and non-digital routes; confidential testimony; trauma-aware practice; and additional outreach to groups with good reason to distrust the institution. These are not optional courtesies. They redistribute the practical capacity to speak.</w:t>
      </w:r>
    </w:p>
    <w:p>
      <w:pPr>
        <w:pStyle w:val="Heading1"/>
        <w:keepNext/>
      </w:pPr>
      <w:r>
        <w:t>3 Consensus seeking is not compulsory unanimity</w:t>
      </w:r>
    </w:p>
    <w:p>
      <w:pPr>
        <w:pStyle w:val="Heading2"/>
        <w:keepNext/>
      </w:pPr>
      <w:r>
        <w:t>The central distinction</w:t>
      </w:r>
    </w:p>
    <w:p>
      <w:pPr/>
      <w:r>
        <w:t xml:space="preserve">The word </w:t>
      </w:r>
      <w:r>
        <w:rPr>
          <w:i/>
        </w:rPr>
        <w:t>consensus</w:t>
      </w:r>
      <w:r>
        <w:t xml:space="preserve"> is often used for three different things:</w:t>
      </w:r>
    </w:p>
    <w:tbl>
      <w:tblPr>
        <w:tblW w:type="auto" w:w="0"/>
        <w:jc w:val="left"/>
        <w:tblLayout w:type="autofit"/>
        <w:tblLook w:firstColumn="1" w:firstRow="1" w:lastColumn="0" w:lastRow="0" w:noHBand="0" w:noVBand="1" w:val="04A0"/>
        <w:tblBorders>
          <w:top w:val="single" w:sz="4" w:space="0" w:color="C7D0CC"/>
          <w:left w:val="single" w:sz="4" w:space="0" w:color="C7D0CC"/>
          <w:bottom w:val="single" w:sz="4" w:space="0" w:color="C7D0CC"/>
          <w:right w:val="single" w:sz="4" w:space="0" w:color="C7D0CC"/>
          <w:insideH w:val="single" w:sz="4" w:space="0" w:color="C7D0CC"/>
          <w:insideV w:val="single" w:sz="4" w:space="0" w:color="C7D0CC"/>
        </w:tblBorders>
      </w:tblPr>
      <w:tblGrid>
        <w:gridCol w:w="3293"/>
        <w:gridCol w:w="3293"/>
        <w:gridCol w:w="3293"/>
      </w:tblGrid>
      <w:tr>
        <w:trPr>
          <w:cantSplit/>
          <w:tblHeader w:val="true"/>
        </w:trPr>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Term</w:t>
            </w:r>
          </w:p>
        </w:tc>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Meaning in this paper</w:t>
            </w:r>
          </w:p>
        </w:tc>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Democratic risk if confused</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Consensus-seeking</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A duty to search openly for an option that addresses the interests and objections present.</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Can become empty consultation if no response to objections is required.</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Broad consent</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Consent, acceptance or informed stand-aside sufficient for a durable shared action.</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Can conceal pressure if silence or fatigue is counted as agreement.</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Unanimity</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Every authorised decision-maker formally approves.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Can give one actor an unlimited veto, reward obstruction or force private conformity.</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Majority decision</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More than half of authorised votes decide after deliberation.</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Can become permanent winner-takes-all rule and ignore intense minority harm.</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Supermajority decision</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A higher threshold is required for specified high-impact decisions.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Can create deadlock or give a stable minority control without accountability.</w:t>
            </w:r>
          </w:p>
        </w:tc>
      </w:tr>
    </w:tbl>
    <w:p>
      <w:pPr>
        <w:spacing w:after="0"/>
      </w:pPr>
    </w:p>
    <w:p>
      <w:pPr/>
      <w:r>
        <w:t>Consensus-seeking is the general democratic obligation proposed here. Unanimity is one possible threshold, suitable only in defined settings. A friendship group may wait for everyone. A jury may be required to agree because the state proposes punishment. An Indigenous people’s free, prior and informed consent engages distinct collective rights.[5] A constitutional settlement may demand cross-community support. An emergency service deciding where to send a vehicle cannot always wait.</w:t>
      </w:r>
    </w:p>
    <w:p>
      <w:pPr/>
      <w:r>
        <w:t>The more irreversible, identity-defining or rights-sensitive a decision is, the stronger the case for a high threshold, deeper participation and independent review. The more routine, reversible and time-sensitive it is, the stronger the case for a clear fallback after genuine consensus-seeking.</w:t>
      </w:r>
    </w:p>
    <w:p>
      <w:pPr>
        <w:pStyle w:val="Heading2"/>
        <w:keepNext/>
      </w:pPr>
      <w:r>
        <w:t>The Concordance vocabulary</w:t>
      </w:r>
    </w:p>
    <w:p>
      <w:pPr/>
      <w:r>
        <w:t>For durable collective decisions, the Green Tank’s Concordance method separates four responses that conventional voting compresses:</w:t>
      </w:r>
    </w:p>
    <w:p>
      <w:pPr>
        <w:pStyle w:val="ListBullet"/>
      </w:pPr>
      <w:r>
        <w:rPr>
          <w:b/>
        </w:rPr>
        <w:t>Consent</w:t>
      </w:r>
      <w:r>
        <w:t xml:space="preserve"> — I support the proposal and can help carry it.</w:t>
      </w:r>
    </w:p>
    <w:p>
      <w:pPr>
        <w:pStyle w:val="ListBullet"/>
      </w:pPr>
      <w:r>
        <w:rPr>
          <w:b/>
        </w:rPr>
        <w:t>Acceptance</w:t>
      </w:r>
      <w:r>
        <w:t xml:space="preserve"> — this is not my preferred answer, but it is legitimate and workable.</w:t>
      </w:r>
    </w:p>
    <w:p>
      <w:pPr>
        <w:pStyle w:val="ListBullet"/>
      </w:pPr>
      <w:r>
        <w:rPr>
          <w:b/>
        </w:rPr>
        <w:t>Stand-aside</w:t>
      </w:r>
      <w:r>
        <w:t xml:space="preserve"> — I disagree or cannot participate, but I will not prevent the group acting.</w:t>
      </w:r>
    </w:p>
    <w:p>
      <w:pPr>
        <w:pStyle w:val="ListBullet"/>
      </w:pPr>
      <w:r>
        <w:rPr>
          <w:b/>
        </w:rPr>
        <w:t>Reasoned block</w:t>
      </w:r>
      <w:r>
        <w:t xml:space="preserve"> — I believe the proposal breaches an agreed right, safety condition, purpose or evidential standard, and I can state the ground for review.</w:t>
      </w:r>
    </w:p>
    <w:p>
      <w:pPr/>
      <w:r>
        <w:t>Fear, intimidation, exhaustion and enforced silence never count as consent. A block is not a private entitlement to secure one’s preferred policy. It triggers a defined test: Is the objection within the protected grounds? Is the claimed harm evidenced? Can the proposal be amended? Is independent rights or safety review needed? If the objection is outside those grounds, the group proceeds through its agreed fallback while preserving the objection in the public record.</w:t>
      </w:r>
    </w:p>
    <w:p>
      <w:pPr/>
      <w:r>
        <w:t>This arrangement protects both sides of democracy’s problem. It prevents a majority from making a minority disappear, and it prevents one person or faction from making everyone else powerless.</w:t>
      </w:r>
    </w:p>
    <w:p>
      <w:pPr>
        <w:pStyle w:val="Heading2"/>
        <w:keepNext/>
      </w:pPr>
      <w:r>
        <w:t>Productive disagreement remains disagreement</w:t>
      </w:r>
    </w:p>
    <w:p>
      <w:pPr/>
      <w:r>
        <w:t>Deliberative-democracy research does not show that good discussion makes pluralism vanish. A major review concludes that productive deliberation is plural rather than necessarily consensual; voting, negotiation and workable agreements may follow deliberation, and a valuable result may be a better understanding of exactly why disagreement remains.[14] Agonistic and counterpublic theories add a further warning: demands for a single calm public voice can privilege those already fluent in dominant institutions.[17][18]</w:t>
      </w:r>
    </w:p>
    <w:p>
      <w:pPr/>
      <w:r>
        <w:t>The OECD’s cross-national survey documents the use of representative deliberative processes for constitutional, planning, environmental and other public questions. Its examples establish a repertoire of designs, not proof that every process succeeds or that deliberative bodies should displace elections and legislatures.[12]</w:t>
      </w:r>
    </w:p>
    <w:p>
      <w:pPr/>
      <w:r>
        <w:t>The purpose of the centre is therefore not emotional sameness. It is to turn conflict into an accountable exchange of reasons, interests, evidence and protected refusals. Anger may convey injustice. Protest may be necessary to place a suppressed issue on the agenda. The democratic boundary is crossed not by intensity, but by coercion, dehumanisation, deception and denial of equal citizenship.</w:t>
      </w:r>
    </w:p>
    <w:p>
      <w:pPr>
        <w:pStyle w:val="Heading1"/>
        <w:keepNext/>
      </w:pPr>
      <w:r>
        <w:t>4 The human rights floor beneath the common table</w:t>
      </w:r>
    </w:p>
    <w:p>
      <w:pPr/>
      <w:r>
        <w:t>The proposal is globally grounded but not presented as a new rule of international law. Existing instruments establish components of the floor.</w:t>
      </w:r>
    </w:p>
    <w:tbl>
      <w:tblPr>
        <w:tblW w:type="auto" w:w="0"/>
        <w:jc w:val="left"/>
        <w:tblLayout w:type="autofit"/>
        <w:tblLook w:firstColumn="1" w:firstRow="1" w:lastColumn="0" w:lastRow="0" w:noHBand="0" w:noVBand="1" w:val="04A0"/>
        <w:tblBorders>
          <w:top w:val="single" w:sz="4" w:space="0" w:color="C7D0CC"/>
          <w:left w:val="single" w:sz="4" w:space="0" w:color="C7D0CC"/>
          <w:bottom w:val="single" w:sz="4" w:space="0" w:color="C7D0CC"/>
          <w:right w:val="single" w:sz="4" w:space="0" w:color="C7D0CC"/>
          <w:insideH w:val="single" w:sz="4" w:space="0" w:color="C7D0CC"/>
          <w:insideV w:val="single" w:sz="4" w:space="0" w:color="C7D0CC"/>
        </w:tblBorders>
      </w:tblPr>
      <w:tblGrid>
        <w:gridCol w:w="4939"/>
        <w:gridCol w:w="4939"/>
      </w:tblGrid>
      <w:tr>
        <w:trPr>
          <w:cantSplit/>
          <w:tblHeader w:val="true"/>
        </w:trPr>
        <w:tc>
          <w:tcPr>
            <w:tcW w:type="dxa" w:w="4939"/>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Instrument</w:t>
            </w:r>
          </w:p>
        </w:tc>
        <w:tc>
          <w:tcPr>
            <w:tcW w:type="dxa" w:w="4939"/>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Democratic principle relevant to the centre</w:t>
            </w:r>
          </w:p>
        </w:tc>
      </w:tr>
      <w:tr>
        <w:trPr>
          <w:cantSplit/>
        </w:trPr>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Universal Declaration of Human Rights Article 21</w:t>
            </w:r>
          </w:p>
        </w:tc>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Everyone has the right to take part in government; the will of the people is the basis of governmental authority.[1]</w:t>
            </w:r>
          </w:p>
        </w:tc>
      </w:tr>
      <w:tr>
        <w:trPr>
          <w:cantSplit/>
        </w:trPr>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International Covenant on Civil and Political Rights Article 25</w:t>
            </w:r>
          </w:p>
        </w:tc>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Citizens have the right and opportunity, without unreasonable restrictions, to take part in public affairs, vote and have equal access to public service.[2]</w:t>
            </w:r>
          </w:p>
        </w:tc>
      </w:tr>
      <w:tr>
        <w:trPr>
          <w:cantSplit/>
        </w:trPr>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OHCHR Guidelines on participation</w:t>
            </w:r>
          </w:p>
        </w:tc>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States should create safe, inclusive, timely and meaningful participation throughout decision processes, with particular attention to groups facing discrimination.[3]</w:t>
            </w:r>
          </w:p>
        </w:tc>
      </w:tr>
      <w:tr>
        <w:trPr>
          <w:cantSplit/>
        </w:trPr>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Convention on the Rights of Persons with Disabilities Article 29</w:t>
            </w:r>
          </w:p>
        </w:tc>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Political and public participation must be effective, full and on an equal basis, including accessible voting and public organisations.[4]</w:t>
            </w:r>
          </w:p>
        </w:tc>
      </w:tr>
      <w:tr>
        <w:trPr>
          <w:cantSplit/>
        </w:trPr>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UN Declaration on the Rights of Indigenous Peoples Articles 18 and 19</w:t>
            </w:r>
          </w:p>
        </w:tc>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Indigenous peoples participate through representatives chosen by themselves; states consult and cooperate in good faith to obtain free, prior and informed consent on measures that may affect them.[5]</w:t>
            </w:r>
          </w:p>
        </w:tc>
      </w:tr>
      <w:tr>
        <w:trPr>
          <w:cantSplit/>
        </w:trPr>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Aarhus Convention</w:t>
            </w:r>
          </w:p>
        </w:tc>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Environmental governance links access to information, participation in decision-making and access to justice.[6]</w:t>
            </w:r>
          </w:p>
        </w:tc>
      </w:tr>
      <w:tr>
        <w:trPr>
          <w:cantSplit/>
        </w:trPr>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Inter-American Democratic Charter</w:t>
            </w:r>
          </w:p>
        </w:tc>
        <w:tc>
          <w:tcPr>
            <w:tcW w:type="dxa" w:w="4939"/>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Representative democracy is strengthened by permanent, ethical and responsible participation; plural parties, rights and social inclusion are fundamental.[7]</w:t>
            </w:r>
          </w:p>
        </w:tc>
      </w:tr>
      <w:tr>
        <w:trPr>
          <w:cantSplit/>
        </w:trPr>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African Charter on Democracy Elections and Governance</w:t>
            </w:r>
          </w:p>
        </w:tc>
        <w:tc>
          <w:tcPr>
            <w:tcW w:type="dxa" w:w="4939"/>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Democratic culture includes popular participation, pluralism, transparency, equality and citizen participation in democratic and development processes.[8]</w:t>
            </w:r>
          </w:p>
        </w:tc>
      </w:tr>
    </w:tbl>
    <w:p>
      <w:pPr>
        <w:spacing w:after="0"/>
      </w:pPr>
    </w:p>
    <w:p>
      <w:pPr/>
      <w:r>
        <w:t>These sources converge on participation, equality and accountability, but none abolishes disagreement or requires universal personal consent for every public act. Human rights law also protects expression, association, conscience, opposition and judicial remedy. The centre must therefore be an ecology of institutions rather than a single assembly claiming unlimited sovereignty.</w:t>
      </w:r>
    </w:p>
    <w:p>
      <w:pPr>
        <w:pStyle w:val="Heading2"/>
        <w:keepNext/>
      </w:pPr>
      <w:r>
        <w:t>No rights bargaining</w:t>
      </w:r>
    </w:p>
    <w:p>
      <w:pPr/>
      <w:r>
        <w:t>All views may be heard does not mean that all proposed actions are permissible. A participant may express fear about migration, religion, crime, taxation or social change. The institution should hear the fear, test its factual claims and address legitimate needs. It may not translate that fear into the inferior legal status, forced removal or collective punishment of another group. Likewise, a claim to equality cannot justify intimidation or the suppression of peaceful dissent.</w:t>
      </w:r>
    </w:p>
    <w:p>
      <w:pPr/>
      <w:r>
        <w:t>The human-rights floor distinguishes a listening democracy from a market in which basic status is traded. Views enter the room; proposed exercises of public power must pass the rights test.</w:t>
      </w:r>
    </w:p>
    <w:p>
      <w:pPr>
        <w:pStyle w:val="Heading1"/>
        <w:keepNext/>
      </w:pPr>
      <w:r>
        <w:t>5 Fear exclusion hatred and conflict</w:t>
      </w:r>
    </w:p>
    <w:p>
      <w:pPr>
        <w:pStyle w:val="Heading2"/>
        <w:keepNext/>
      </w:pPr>
      <w:r>
        <w:t>A conditional pathway</w:t>
      </w:r>
    </w:p>
    <w:p>
      <w:pPr/>
      <w:r>
        <w:t>The concern behind this paper can be expressed as a risk chain:</w:t>
      </w:r>
    </w:p>
    <w:p>
      <w:pPr/>
      <w:r>
        <w:rPr>
          <w:b/>
        </w:rPr>
        <w:t>Unheard fear → political abandonment → simplified blame → group othering → moral exclusion → permission for coercion or violence</w:t>
      </w:r>
    </w:p>
    <w:p>
      <w:pPr/>
      <w:r>
        <w:t>Each arrow is conditional. Many frightened people do not hate. Many excluded communities organise peacefully. Some well-represented groups still support domination. Economic shocks, conflict entrepreneurs, propaganda, segregated media, impunity, weapons, prior trauma and institutional weakness alter the pathway. Any paper that calls fear an automatic cause of extremism would be both inaccurate and politically dangerous.</w:t>
      </w:r>
    </w:p>
    <w:p>
      <w:pPr/>
      <w:r>
        <w:t xml:space="preserve">The defensible claim is narrower and still important. The joint United Nations and World Bank study </w:t>
      </w:r>
      <w:r>
        <w:rPr>
          <w:i/>
        </w:rPr>
        <w:t>Pathways for Peace</w:t>
      </w:r>
      <w:r>
        <w:t xml:space="preserve"> identifies exclusion from power, resources, security and justice as a central feature of many violent conflicts and argues for inclusive approaches to prevention.[28] Research on “pernicious polarisation” describes how politics can divide society into mutually distrustful camps whose members increasingly treat victory as more important than democratic restraint.[21] Comparative work also shows that polarisation takes different forms and must be understood in its political setting rather than treated as one universal syndrome.[23] Research on political sectarianism identifies othering, aversion and moralisation as a combustible combination.[22]</w:t>
      </w:r>
    </w:p>
    <w:p>
      <w:pPr/>
      <w:r>
        <w:t>These studies do not prove that one deliberative forum prevents violence. They explain why an institutional route for voice, recognition, fair contest and correction is part of prevention.</w:t>
      </w:r>
    </w:p>
    <w:p>
      <w:pPr>
        <w:pStyle w:val="Heading2"/>
        <w:keepNext/>
      </w:pPr>
      <w:r>
        <w:t>Political agency and trust</w:t>
      </w:r>
    </w:p>
    <w:p>
      <w:pPr/>
      <w:r>
        <w:t xml:space="preserve">Across the countries surveyed by the OECD, trust is closely connected to whether people believe they have political agency. In the 2024 trust results, only a minority reported high or moderately high trust in national government, while large shares reported low or no trust.[29] </w:t>
      </w:r>
      <w:r>
        <w:rPr>
          <w:i/>
        </w:rPr>
        <w:t>Government at a Glance 2025</w:t>
      </w:r>
      <w:r>
        <w:t xml:space="preserve"> reports that roughly three in ten people feel the political system allows people like them to have a say, and that people who feel they have a say are more than three times as likely to trust national government.[30]</w:t>
      </w:r>
    </w:p>
    <w:p>
      <w:pPr/>
      <w:r>
        <w:t>This is an association, not proof that a meeting causes trust. People who already trust institutions may be more likely to perceive voice. Performance and integrity also matter. The practical lesson is still strong: a democratic centre must create demonstrable influence, not merely an opportunity to speak into a void.</w:t>
      </w:r>
    </w:p>
    <w:p>
      <w:pPr>
        <w:pStyle w:val="Heading2"/>
        <w:keepNext/>
      </w:pPr>
      <w:r>
        <w:t>Dialogue can help and can fail</w:t>
      </w:r>
    </w:p>
    <w:p>
      <w:pPr/>
      <w:r>
        <w:t>Evidence on cross-partisan discussion is mixed. Some structured conversations reduce hostility towards the other side, sometimes only briefly.[24][25][26] Other discussion settings polarise participants, especially when groups are socially homogeneous, status is unequal or claims are not tested. A cross-disciplinary review found substantially different results across political-science and social-psychology studies.[24]</w:t>
      </w:r>
    </w:p>
    <w:p>
      <w:pPr/>
      <w:r>
        <w:t>There is also evidence that invited participation can backfire if authorities ignore the result. Citizens may leave a mini-public with lower trust when the government celebrates their participation and then gives no adequate response.[27] The centre is therefore not a therapeutic circle. It is a power relationship with duties: to listen, answer, decide, explain and return.</w:t>
      </w:r>
    </w:p>
    <w:p>
      <w:pPr>
        <w:pStyle w:val="Heading1"/>
        <w:keepNext/>
      </w:pPr>
      <w:r>
        <w:t>6 Lessons from democratic practice around the world</w:t>
      </w:r>
    </w:p>
    <w:p>
      <w:pPr/>
      <w:r>
        <w:t>No case below is offered as a complete model. Each reveals one component and one danger.</w:t>
      </w:r>
    </w:p>
    <w:p>
      <w:pPr>
        <w:pStyle w:val="Heading2"/>
        <w:keepNext/>
      </w:pPr>
      <w:r>
        <w:t>Ireland citizens assemblies</w:t>
      </w:r>
    </w:p>
    <w:p>
      <w:pPr/>
      <w:r>
        <w:t>Ireland has used randomly selected citizens’ assemblies to learn about contested issues, hear evidence, deliberate and make recommendations.[31] The process associated with the constitutional prohibition on abortion operated alongside parliamentary action, campaigning and a national referendum; it did not replace them. Research on the Irish experience and deliberative polling suggests that mini-publics can make complex and divisive questions more discussable and broaden the evidence available to elected representatives.[32][45]</w:t>
      </w:r>
    </w:p>
    <w:p>
      <w:pPr/>
      <w:r>
        <w:rPr>
          <w:b/>
        </w:rPr>
        <w:t>Lesson:</w:t>
      </w:r>
      <w:r>
        <w:t xml:space="preserve"> random selection, balanced evidence and time can create a serious listening space across party identities. </w:t>
      </w:r>
      <w:r>
        <w:rPr>
          <w:b/>
        </w:rPr>
        <w:t>Limit:</w:t>
      </w:r>
      <w:r>
        <w:t xml:space="preserve"> recommendations still require a legitimate route through representative and, where constitutionally required, popular decision-making.</w:t>
      </w:r>
    </w:p>
    <w:p>
      <w:pPr>
        <w:pStyle w:val="Heading2"/>
        <w:keepNext/>
      </w:pPr>
      <w:r>
        <w:t>Switzerland collegial government and direct democracy</w:t>
      </w:r>
    </w:p>
    <w:p>
      <w:pPr/>
      <w:r>
        <w:t>Switzerland combines federalism, frequent referendums and initiatives with a seven-member Federal Council that decides collegially and ordinarily seeks consensus.[33] It demonstrates that party competition can coexist with routine cross-party executive cooperation.</w:t>
      </w:r>
    </w:p>
    <w:p>
      <w:pPr/>
      <w:r>
        <w:rPr>
          <w:b/>
        </w:rPr>
        <w:t>Lesson:</w:t>
      </w:r>
      <w:r>
        <w:t xml:space="preserve"> cooperation can be built into ordinary government rather than reserved for crisis. </w:t>
      </w:r>
      <w:r>
        <w:rPr>
          <w:b/>
        </w:rPr>
        <w:t>Limit:</w:t>
      </w:r>
      <w:r>
        <w:t xml:space="preserve"> referendum campaigns remain majoritarian and can raise minority-rights concerns; a consensus executive does not make the whole system consensual.</w:t>
      </w:r>
    </w:p>
    <w:p>
      <w:pPr>
        <w:pStyle w:val="Heading2"/>
        <w:keepNext/>
      </w:pPr>
      <w:r>
        <w:t>Northern Ireland power sharing</w:t>
      </w:r>
    </w:p>
    <w:p>
      <w:pPr/>
      <w:r>
        <w:t>The 1998 Belfast or Good Friday Agreement created institutions based on consent, rights, parity of esteem and cross-community power sharing.[34][35] The First Minister and deputy First Minister exercise joint authority, and important Assembly procedures can require cross-community support.</w:t>
      </w:r>
    </w:p>
    <w:p>
      <w:pPr/>
      <w:r>
        <w:rPr>
          <w:b/>
        </w:rPr>
        <w:t>Lesson:</w:t>
      </w:r>
      <w:r>
        <w:t xml:space="preserve"> where communities reasonably fear permanent domination, simple winner-takes-all government may be unable to sustain peace. </w:t>
      </w:r>
      <w:r>
        <w:rPr>
          <w:b/>
        </w:rPr>
        <w:t>Limit:</w:t>
      </w:r>
      <w:r>
        <w:t xml:space="preserve"> communal designation and mutual veto can freeze identities and contribute to deadlock. Power sharing needs routes for citizens who do not fit the recognised blocs and mechanisms that prevent paralysis.</w:t>
      </w:r>
    </w:p>
    <w:p>
      <w:pPr>
        <w:pStyle w:val="Heading2"/>
        <w:keepNext/>
      </w:pPr>
      <w:r>
        <w:t>South Africa constitution making</w:t>
      </w:r>
    </w:p>
    <w:p>
      <w:pPr/>
      <w:r>
        <w:t>South Africa’s transition combined multiparty negotiation, elected constitution-making, constitutional principles, judicial certification and a large public-participation programme.[36] The resulting constitution did not give every participant their preferred order. It located political conflict within a rights-based constitutional settlement.</w:t>
      </w:r>
    </w:p>
    <w:p>
      <w:pPr/>
      <w:r>
        <w:rPr>
          <w:b/>
        </w:rPr>
        <w:t>Lesson:</w:t>
      </w:r>
      <w:r>
        <w:t xml:space="preserve"> mass participation has greatest force when linked to a clear drafting, response and legal-validation process. </w:t>
      </w:r>
      <w:r>
        <w:rPr>
          <w:b/>
        </w:rPr>
        <w:t>Limit:</w:t>
      </w:r>
      <w:r>
        <w:t xml:space="preserve"> a legitimate constitution does not by itself remove material inequality or guarantee that later institutions will realise its participatory promise.</w:t>
      </w:r>
    </w:p>
    <w:p>
      <w:pPr>
        <w:pStyle w:val="Heading2"/>
        <w:keepNext/>
      </w:pPr>
      <w:r>
        <w:t>Tunisia national dialogue</w:t>
      </w:r>
    </w:p>
    <w:p>
      <w:pPr/>
      <w:r>
        <w:t>In 2013–2014 the Tunisian National Dialogue Quartet brought together trade union, employer, legal and human-rights organisations to help mediate a dangerous political crisis. It received the 2015 Nobel Peace Prize for contributing to a peaceful constitutional transition.[37]</w:t>
      </w:r>
    </w:p>
    <w:p>
      <w:pPr/>
      <w:r>
        <w:rPr>
          <w:b/>
        </w:rPr>
        <w:t>Lesson:</w:t>
      </w:r>
      <w:r>
        <w:t xml:space="preserve"> trusted organisations outside government can reopen a blocked political space and keep opponents in a common process. </w:t>
      </w:r>
      <w:r>
        <w:rPr>
          <w:b/>
        </w:rPr>
        <w:t>Limit:</w:t>
      </w:r>
      <w:r>
        <w:t xml:space="preserve"> later authoritarian regression shows that a successful dialogue moment cannot substitute for durable checks, plural institutions and continuing public power.</w:t>
      </w:r>
    </w:p>
    <w:p>
      <w:pPr>
        <w:pStyle w:val="Heading2"/>
        <w:keepNext/>
      </w:pPr>
      <w:r>
        <w:t>Taiwan vTaiwan</w:t>
      </w:r>
    </w:p>
    <w:p>
      <w:pPr/>
      <w:r>
        <w:t>The vTaiwan process combines online opinion mapping, open information, facilitated stakeholder meetings and government response around digital-policy questions.[38][39] Its design looks for statements that draw support across initially separated opinion clusters rather than rewarding the most polarising comment.</w:t>
      </w:r>
    </w:p>
    <w:p>
      <w:pPr/>
      <w:r>
        <w:rPr>
          <w:b/>
        </w:rPr>
        <w:t>Lesson:</w:t>
      </w:r>
      <w:r>
        <w:t xml:space="preserve"> technology can make areas of agreement visible without pretending disagreement has disappeared. </w:t>
      </w:r>
      <w:r>
        <w:rPr>
          <w:b/>
        </w:rPr>
        <w:t>Limit:</w:t>
      </w:r>
      <w:r>
        <w:t xml:space="preserve"> participation is not automatically representative, and influence depends on whether officials adopt, explain or reject the result.</w:t>
      </w:r>
    </w:p>
    <w:p>
      <w:pPr>
        <w:pStyle w:val="Heading2"/>
        <w:keepNext/>
      </w:pPr>
      <w:r>
        <w:t>South Korea Shin Kori deliberative process</w:t>
      </w:r>
    </w:p>
    <w:p>
      <w:pPr/>
      <w:r>
        <w:t>In 2017 South Korea convened a representative citizen jury to consider whether construction of two nuclear reactors should continue. After information and deliberation, a majority recommended completion, while also favouring a reduced future reliance on nuclear power.[40]</w:t>
      </w:r>
    </w:p>
    <w:p>
      <w:pPr/>
      <w:r>
        <w:rPr>
          <w:b/>
        </w:rPr>
        <w:t>Lesson:</w:t>
      </w:r>
      <w:r>
        <w:t xml:space="preserve"> deliberation can produce a reasoned recommendation that is more complex than a binary ideological position. </w:t>
      </w:r>
      <w:r>
        <w:rPr>
          <w:b/>
        </w:rPr>
        <w:t>Limit:</w:t>
      </w:r>
      <w:r>
        <w:t xml:space="preserve"> the result was a majority judgment after deliberation, not consensus; a democratic centre must be honest when agreement remains partial.</w:t>
      </w:r>
    </w:p>
    <w:p>
      <w:pPr>
        <w:pStyle w:val="Heading2"/>
        <w:keepNext/>
      </w:pPr>
      <w:r>
        <w:t>Kerala participatory decentralisation</w:t>
      </w:r>
    </w:p>
    <w:p>
      <w:pPr/>
      <w:r>
        <w:t>Kerala’s People’s Plan Campaign devolved substantial planning responsibilities and resources to local government and created assemblies and working groups for citizen participation.[41] Studies associate the reform with new forms of local engagement and responsiveness, while also recording unequal participation, variable capacity and party influence.</w:t>
      </w:r>
    </w:p>
    <w:p>
      <w:pPr/>
      <w:r>
        <w:rPr>
          <w:b/>
        </w:rPr>
        <w:t>Lesson:</w:t>
      </w:r>
      <w:r>
        <w:t xml:space="preserve"> participation becomes consequential when citizens can shape budgets and implementation, not merely offer opinions. </w:t>
      </w:r>
      <w:r>
        <w:rPr>
          <w:b/>
        </w:rPr>
        <w:t>Limit:</w:t>
      </w:r>
      <w:r>
        <w:t xml:space="preserve"> local voice requires resources, administrative skill and safeguards against capture.</w:t>
      </w:r>
    </w:p>
    <w:p>
      <w:pPr>
        <w:pStyle w:val="Heading2"/>
        <w:keepNext/>
      </w:pPr>
      <w:r>
        <w:t>Porto Alegre participatory budgeting</w:t>
      </w:r>
    </w:p>
    <w:p>
      <w:pPr/>
      <w:r>
        <w:t>Porto Alegre became a leading example of citizens helping set municipal investment priorities through neighbourhood and city-wide processes.[42] Early experience was associated with participation by lower-income residents and redistribution towards underserved areas. The process later weakened as political commitment, fiscal space and institutional support changed.</w:t>
      </w:r>
    </w:p>
    <w:p>
      <w:pPr/>
      <w:r>
        <w:rPr>
          <w:b/>
        </w:rPr>
        <w:t>Lesson:</w:t>
      </w:r>
      <w:r>
        <w:t xml:space="preserve"> a public can deliberate over real scarcity and make distributive priorities visible. </w:t>
      </w:r>
      <w:r>
        <w:rPr>
          <w:b/>
        </w:rPr>
        <w:t>Limit:</w:t>
      </w:r>
      <w:r>
        <w:t xml:space="preserve"> participatory institutions are vulnerable when they depend on one administration rather than enforceable duties and stable capacity.</w:t>
      </w:r>
    </w:p>
    <w:p>
      <w:pPr>
        <w:pStyle w:val="Heading2"/>
        <w:keepNext/>
      </w:pPr>
      <w:r>
        <w:t>Chile constitutional processes</w:t>
      </w:r>
    </w:p>
    <w:p>
      <w:pPr/>
      <w:r>
        <w:t>Chile’s first recent constitutional convention was elected with strong commitments to inclusion, gender parity and Indigenous representation, but its 2022 draft was rejected by voters. A second, more conservative draft was also rejected in 2023.[43] International IDEA’s comparative reflection emphasises broad ownership, connection to the wider public and workable political agreements rather than relying on the representativeness of a drafting body alone.</w:t>
      </w:r>
    </w:p>
    <w:p>
      <w:pPr/>
      <w:r>
        <w:rPr>
          <w:b/>
        </w:rPr>
        <w:t>Lesson:</w:t>
      </w:r>
      <w:r>
        <w:t xml:space="preserve"> inclusive composition is necessary but does not guarantee a constitution that the wider public experiences as shared. </w:t>
      </w:r>
      <w:r>
        <w:rPr>
          <w:b/>
        </w:rPr>
        <w:t>Limit:</w:t>
      </w:r>
      <w:r>
        <w:t xml:space="preserve"> a deliberative body can become internally coherent yet externally disconnected or ideologically captured.</w:t>
      </w:r>
    </w:p>
    <w:p>
      <w:pPr>
        <w:pStyle w:val="Heading2"/>
        <w:keepNext/>
      </w:pPr>
      <w:r>
        <w:t>Bosnia and Herzegovina and the exclusion built into peace</w:t>
      </w:r>
    </w:p>
    <w:p>
      <w:pPr/>
      <w:r>
        <w:t xml:space="preserve">Bosnia and Herzegovina’s post-war institutions allocated key offices among “constituent peoples”. In </w:t>
      </w:r>
      <w:r>
        <w:rPr>
          <w:i/>
        </w:rPr>
        <w:t>Sejdić and Finci v Bosnia and Herzegovina</w:t>
      </w:r>
      <w:r>
        <w:t>, the European Court of Human Rights held that rules excluding citizens of Roma and Jewish origin from standing for the Presidency and House of Peoples were discriminatory.[44]</w:t>
      </w:r>
    </w:p>
    <w:p>
      <w:pPr/>
      <w:r>
        <w:rPr>
          <w:b/>
        </w:rPr>
        <w:t>Lesson:</w:t>
      </w:r>
      <w:r>
        <w:t xml:space="preserve"> power sharing can stop domination among recognised groups. </w:t>
      </w:r>
      <w:r>
        <w:rPr>
          <w:b/>
        </w:rPr>
        <w:t>Limit:</w:t>
      </w:r>
      <w:r>
        <w:t xml:space="preserve"> a settlement becomes undemocratic when its categories permanently exclude people who do not belong to those groups. Inclusion must have a route beyond the identities named at the founding moment.</w:t>
      </w:r>
    </w:p>
    <w:p>
      <w:pPr>
        <w:pStyle w:val="Heading2"/>
        <w:keepNext/>
      </w:pPr>
      <w:r>
        <w:t>Comparative finding</w:t>
      </w:r>
    </w:p>
    <w:p>
      <w:pPr/>
      <w:r>
        <w:t>The cases converge on six design lessons.</w:t>
      </w:r>
    </w:p>
    <w:p>
      <w:pPr>
        <w:pStyle w:val="ManualNumber"/>
      </w:pPr>
      <w:r>
        <w:t>1. A protected room matters, but the route from discussion to public power matters more.</w:t>
      </w:r>
    </w:p>
    <w:p>
      <w:pPr>
        <w:pStyle w:val="ManualNumber"/>
      </w:pPr>
      <w:r>
        <w:t>2. Representation must include both a cross-section of the whole public and people specifically affected.</w:t>
      </w:r>
    </w:p>
    <w:p>
      <w:pPr>
        <w:pStyle w:val="ManualNumber"/>
      </w:pPr>
      <w:r>
        <w:t>3. Consensus is valuable as an orientation; a hidden or unlimited veto is dangerous.</w:t>
      </w:r>
    </w:p>
    <w:p>
      <w:pPr>
        <w:pStyle w:val="ManualNumber"/>
      </w:pPr>
      <w:r>
        <w:t>4. Rights protection and independent review must sit outside the bargaining process.</w:t>
      </w:r>
    </w:p>
    <w:p>
      <w:pPr>
        <w:pStyle w:val="ManualNumber"/>
      </w:pPr>
      <w:r>
        <w:t>5. Authorities must publish what they accepted, rejected or changed and why.</w:t>
      </w:r>
    </w:p>
    <w:p>
      <w:pPr>
        <w:pStyle w:val="ManualNumber"/>
      </w:pPr>
      <w:r>
        <w:t>6. Institutions survive only when duties, funding, records and review do not depend on the goodwill of one leader.</w:t>
      </w:r>
    </w:p>
    <w:p>
      <w:pPr>
        <w:pStyle w:val="Heading1"/>
        <w:keepNext/>
      </w:pPr>
      <w:r>
        <w:t>7 The Democratic Centre Standard</w:t>
      </w:r>
    </w:p>
    <w:p>
      <w:pPr/>
      <w:r>
        <w:t>The following is a proposed institutional standard. It is an open design to be tested, not an established international certification.</w:t>
      </w:r>
    </w:p>
    <w:p>
      <w:pPr>
        <w:pStyle w:val="Heading2"/>
        <w:keepNext/>
      </w:pPr>
      <w:r>
        <w:t>Principle 1 Everyone affected has standing</w:t>
      </w:r>
    </w:p>
    <w:p>
      <w:pPr/>
      <w:r>
        <w:t>The convenor must identify who is affected, including people not organised into recognised groups, future generations where evidence permits, and communities outside the immediate jurisdiction who bear material effects. At national scale, literal attendance by every person is impossible. Democratic inclusion therefore uses complementary routes: elections, representative sampling, open submissions, affected-person panels, civil-society and party representation, local assemblies and accessible digital participation.</w:t>
      </w:r>
    </w:p>
    <w:p>
      <w:pPr>
        <w:pStyle w:val="Heading2"/>
        <w:keepNext/>
      </w:pPr>
      <w:r>
        <w:t>Principle 2 Equal personhood is not negotiable</w:t>
      </w:r>
    </w:p>
    <w:p>
      <w:pPr/>
      <w:r>
        <w:t>The forum adopts a rights charter before substantive bargaining. It protects equal legal status, bodily safety, conscience, expression, association, due process, disability access and freedom from discrimination. The charter governs proposed action, not private belief. No consensus can authorise torture, enslavement, political disappearance or inferior citizenship.</w:t>
      </w:r>
    </w:p>
    <w:p>
      <w:pPr>
        <w:pStyle w:val="Heading2"/>
        <w:keepNext/>
      </w:pPr>
      <w:r>
        <w:t>Principle 3 Material access is funded</w:t>
      </w:r>
    </w:p>
    <w:p>
      <w:pPr/>
      <w:r>
        <w:t>Participation is paid where loss of earnings or caring work would otherwise exclude people. Travel, childcare, interpretation, personal assistance, accessible formats and offline access are budgeted from the start. Participation data are audited for absence, attrition and speaking inequality.</w:t>
      </w:r>
    </w:p>
    <w:p>
      <w:pPr>
        <w:pStyle w:val="Heading2"/>
        <w:keepNext/>
      </w:pPr>
      <w:r>
        <w:t>Principle 4 The agenda is partly public</w:t>
      </w:r>
    </w:p>
    <w:p>
      <w:pPr/>
      <w:r>
        <w:t>Citizens and affected communities can initiate questions or propose alternatives through published thresholds. Officials may place urgent or statutory matters on the agenda, but must state why. The forum is never limited to endorsing or rejecting a completed plan.</w:t>
      </w:r>
    </w:p>
    <w:p>
      <w:pPr>
        <w:pStyle w:val="Heading2"/>
        <w:keepNext/>
      </w:pPr>
      <w:r>
        <w:t>Principle 5 Evidence is open and contestable</w:t>
      </w:r>
    </w:p>
    <w:p>
      <w:pPr/>
      <w:r>
        <w:t>An independent evidence team publishes a common briefing, sources, uncertainties, conflicts of interest and a record of corrections. Participants can nominate witnesses and challenge the framing. Lived experience is admitted as evidence of impact; it is not treated as automatic proof of every causal claim. Technical expertise informs judgment without replacing it.</w:t>
      </w:r>
    </w:p>
    <w:p>
      <w:pPr>
        <w:pStyle w:val="Heading2"/>
        <w:keepNext/>
      </w:pPr>
      <w:r>
        <w:t>Principle 6 Facilitation controls domination rather than emotion</w:t>
      </w:r>
    </w:p>
    <w:p>
      <w:pPr/>
      <w:r>
        <w:t>Facilitators protect speaking opportunity, comprehension and safety. They may interrupt threats, repeated personal attacks, deliberate disruption or demonstrable misinformation after a fair correction process. They do not require politeness from people describing harm, suppress principled dissent or manufacture balance between well-supported and fabricated claims.</w:t>
      </w:r>
    </w:p>
    <w:p>
      <w:pPr>
        <w:pStyle w:val="Heading2"/>
        <w:keepNext/>
      </w:pPr>
      <w:r>
        <w:t>Principle 7 The decision ladder is known in advance</w:t>
      </w:r>
    </w:p>
    <w:tbl>
      <w:tblPr>
        <w:tblW w:type="auto" w:w="0"/>
        <w:jc w:val="left"/>
        <w:tblLayout w:type="autofit"/>
        <w:tblLook w:firstColumn="1" w:firstRow="1" w:lastColumn="0" w:lastRow="0" w:noHBand="0" w:noVBand="1" w:val="04A0"/>
        <w:tblBorders>
          <w:top w:val="single" w:sz="4" w:space="0" w:color="C7D0CC"/>
          <w:left w:val="single" w:sz="4" w:space="0" w:color="C7D0CC"/>
          <w:bottom w:val="single" w:sz="4" w:space="0" w:color="C7D0CC"/>
          <w:right w:val="single" w:sz="4" w:space="0" w:color="C7D0CC"/>
          <w:insideH w:val="single" w:sz="4" w:space="0" w:color="C7D0CC"/>
          <w:insideV w:val="single" w:sz="4" w:space="0" w:color="C7D0CC"/>
        </w:tblBorders>
      </w:tblPr>
      <w:tblGrid>
        <w:gridCol w:w="3293"/>
        <w:gridCol w:w="3293"/>
        <w:gridCol w:w="3293"/>
      </w:tblGrid>
      <w:tr>
        <w:trPr>
          <w:cantSplit/>
          <w:tblHeader w:val="true"/>
        </w:trPr>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Stage</w:t>
            </w:r>
          </w:p>
        </w:tc>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Action</w:t>
            </w:r>
          </w:p>
        </w:tc>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Required public record</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1 Understand</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Define the question, affected people, rights, evidence and uncertainty.</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Scope, stakeholder map, evidence register and accessibility plan.</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2 Generate</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Invite alternatives, including proposals from minorities and affected groups.</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Option list and origin of each proposal.</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3 Deliberate</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Test consequences, revise options and identify shared needs and conflicts.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Questions, answers, corrections and material changes.</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4 Seek concordance</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Record consent, acceptance, stand-aside and reasoned objections.</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Anonymised distribution and reasons, with named institutional positions.</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5 Review a block</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Test any block against defined rights, safety, purpose or evidential grounds.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Independent finding and proposed remedy.</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6 Decide</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Use the pre-agreed threshold if concordance remains incomplete.</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Vote or threshold result and minority report.</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7 Implement</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Assign duties, resources, timetable and indicators.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Public delivery plan and response to every formal recommendation.</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8 Return</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Review outcomes, unintended harms and continuing objections.</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Evaluation, appeal outcome, sunset or amendment decision.</w:t>
            </w:r>
          </w:p>
        </w:tc>
      </w:tr>
    </w:tbl>
    <w:p>
      <w:pPr>
        <w:spacing w:after="0"/>
      </w:pPr>
    </w:p>
    <w:p>
      <w:pPr/>
      <w:r>
        <w:t>The fallback may be majority, supermajority, concurrent majority, elected-authority decision or referendum, depending on the constitutional setting. It must never be invented after participants reveal their positions. The threshold and the scope of independent rights review are part of the original mandate.</w:t>
      </w:r>
    </w:p>
    <w:p>
      <w:pPr>
        <w:pStyle w:val="Heading2"/>
        <w:keepNext/>
      </w:pPr>
      <w:r>
        <w:t>Principle 8 Dissent travels with the decision</w:t>
      </w:r>
    </w:p>
    <w:p>
      <w:pPr/>
      <w:r>
        <w:t>The final report includes the strongest version of the minority’s reasoning, written or approved by that minority. A person who lost a decision remains a full citizen, may continue lawful advocacy and has access to appeal or future agenda setting. The institution measures not only whether a decision passed, but whether dissenters consider the process intelligible, non-coercive and open to correction.</w:t>
      </w:r>
    </w:p>
    <w:p>
      <w:pPr>
        <w:pStyle w:val="Heading2"/>
        <w:keepNext/>
      </w:pPr>
      <w:r>
        <w:t>Principle 9 Power must answer</w:t>
      </w:r>
    </w:p>
    <w:p>
      <w:pPr/>
      <w:r>
        <w:t>The receiving authority has a legal or formally adopted duty to respond within a fixed period. For every recommendation it must state: accepted, accepted with modification, deferred, or rejected; the reasons; the evidence relied on; and the accountable office-holder. If it departs from the assembly’s recommendation, it does not erase the process—it exposes the disagreement to public judgment.</w:t>
      </w:r>
    </w:p>
    <w:p>
      <w:pPr>
        <w:pStyle w:val="Heading2"/>
        <w:keepNext/>
      </w:pPr>
      <w:r>
        <w:t>Principle 10 The institution can be challenged and improved</w:t>
      </w:r>
    </w:p>
    <w:p>
      <w:pPr/>
      <w:r>
        <w:t>An independent auditor reviews selection, access, facilitation, evidence, influence, rights impacts and implementation. Decisions have review dates. Emergency decisions expire unless renewed through the ordinary process. Participants can complain about domination, exclusion or misrepresentation without risking retaliation.</w:t>
      </w:r>
    </w:p>
    <w:p>
      <w:pPr>
        <w:pStyle w:val="Heading1"/>
        <w:keepNext/>
      </w:pPr>
      <w:r>
        <w:t>8 How political parties meet under the same roof</w:t>
      </w:r>
    </w:p>
    <w:p>
      <w:pPr>
        <w:pStyle w:val="Heading2"/>
        <w:keepNext/>
      </w:pPr>
      <w:r>
        <w:t>Parties retain their identities</w:t>
      </w:r>
    </w:p>
    <w:p>
      <w:pPr/>
      <w:r>
        <w:t>The centre asks parties to make democracy a shared practice, not to make their manifestos identical. Each party remains free to organise, campaign and vote. Its obligation is to enter cross-party and citizen processes in good faith, disclose non-negotiable commitments, respond to evidence, and distinguish a protected principle from a tactical refusal.</w:t>
      </w:r>
    </w:p>
    <w:p>
      <w:pPr>
        <w:pStyle w:val="Heading2"/>
        <w:keepNext/>
      </w:pPr>
      <w:r>
        <w:t>A possible national architecture</w:t>
      </w:r>
    </w:p>
    <w:p>
      <w:pPr/>
      <w:r>
        <w:t>The standard could be embodied in five connected institutions rather than one superior chamber.</w:t>
      </w:r>
    </w:p>
    <w:p>
      <w:pPr>
        <w:pStyle w:val="ManualNumber"/>
      </w:pPr>
      <w:r>
        <w:t xml:space="preserve">1. </w:t>
      </w:r>
      <w:r>
        <w:rPr>
          <w:b/>
        </w:rPr>
        <w:t>A standing Citizens Council</w:t>
      </w:r>
      <w:r>
        <w:t xml:space="preserve"> — a rotating, stratified random sample of the population, paid and supported, able to select a limited number of national questions and scrutinise participation quality.</w:t>
      </w:r>
    </w:p>
    <w:p>
      <w:pPr>
        <w:pStyle w:val="ManualNumber"/>
      </w:pPr>
      <w:r>
        <w:t xml:space="preserve">2. </w:t>
      </w:r>
      <w:r>
        <w:rPr>
          <w:b/>
        </w:rPr>
        <w:t>Affected Public Panels</w:t>
      </w:r>
      <w:r>
        <w:t xml:space="preserve"> — temporary panels for people bearing concentrated effects, including groups usually underrepresented in elections or general samples.</w:t>
      </w:r>
    </w:p>
    <w:p>
      <w:pPr>
        <w:pStyle w:val="ManualNumber"/>
      </w:pPr>
      <w:r>
        <w:t xml:space="preserve">3. </w:t>
      </w:r>
      <w:r>
        <w:rPr>
          <w:b/>
        </w:rPr>
        <w:t>A Cross-Party Concordance Committee</w:t>
      </w:r>
      <w:r>
        <w:t xml:space="preserve"> — representatives from government and opposition who must publish a joint statement of agreed facts, shared aims, unresolved values and decision options before high-impact legislation proceeds.</w:t>
      </w:r>
    </w:p>
    <w:p>
      <w:pPr>
        <w:pStyle w:val="ManualNumber"/>
      </w:pPr>
      <w:r>
        <w:t xml:space="preserve">4. </w:t>
      </w:r>
      <w:r>
        <w:rPr>
          <w:b/>
        </w:rPr>
        <w:t>An Open Evidence Service</w:t>
      </w:r>
      <w:r>
        <w:t xml:space="preserve"> — independent researchers, community knowledge holders and fact-checking procedures maintaining the public evidence and correction record.</w:t>
      </w:r>
    </w:p>
    <w:p>
      <w:pPr>
        <w:pStyle w:val="ManualNumber"/>
      </w:pPr>
      <w:r>
        <w:t xml:space="preserve">5. </w:t>
      </w:r>
      <w:r>
        <w:rPr>
          <w:b/>
        </w:rPr>
        <w:t>A Rights Review and Appeal Route</w:t>
      </w:r>
      <w:r>
        <w:t xml:space="preserve"> — courts, human-rights bodies, ombuds institutions or other independent bodies ensuring that broad agreement does not legalise domination.</w:t>
      </w:r>
    </w:p>
    <w:p>
      <w:pPr/>
      <w:r>
        <w:t>This is polycentric by design. Concentrating all legitimacy in one citizens’ assembly would create a new elite and invite a contest over which institution represents the “real people”. Elected representatives retain responsibility. Citizens gain structured agenda, scrutiny and deliberative power. Courts protect rights. Free media and civil society contest every part.</w:t>
      </w:r>
    </w:p>
    <w:p>
      <w:pPr>
        <w:pStyle w:val="Heading2"/>
        <w:keepNext/>
      </w:pPr>
      <w:r>
        <w:t>Decisions requiring the deepest concordance</w:t>
      </w:r>
    </w:p>
    <w:p>
      <w:pPr/>
      <w:r>
        <w:t>Higher thresholds and deeper participation are justified where a decision is difficult to reverse, alters constitutional identity, transfers coercive power, exposes a minority to concentrated risk, governs Indigenous land or institutions, commits future generations to long-lived harm, or changes the rules by which future decisions will be made.</w:t>
      </w:r>
    </w:p>
    <w:p>
      <w:pPr/>
      <w:r>
        <w:t>Ordinary budgets and administration cannot all wait for maximal agreement. The centre is not a promise that no one will lose a policy argument. It is a promise that losing an argument will not mean losing citizenship, voice, safety or a route back.</w:t>
      </w:r>
    </w:p>
    <w:p>
      <w:pPr>
        <w:pStyle w:val="Heading1"/>
        <w:keepNext/>
      </w:pPr>
      <w:r>
        <w:t>9 Failure modes and safeguards</w:t>
      </w:r>
    </w:p>
    <w:p>
      <w:pPr>
        <w:pStyle w:val="Heading2"/>
        <w:keepNext/>
      </w:pPr>
      <w:r>
        <w:t>The false centre</w:t>
      </w:r>
    </w:p>
    <w:p>
      <w:pPr/>
      <w:r>
        <w:t>A government may invite every view and still keep all power. It may select compliant participants, control the evidence, frame only safe questions and publish photographs instead of responses. This is consultation theatre. The safeguard is a prior mandate, independent selection and facilitation, an open evidence record, a response duty and reviewable consequences.</w:t>
      </w:r>
    </w:p>
    <w:p>
      <w:pPr>
        <w:pStyle w:val="Heading2"/>
        <w:keepNext/>
      </w:pPr>
      <w:r>
        <w:t>The quiet room dominated by status</w:t>
      </w:r>
    </w:p>
    <w:p>
      <w:pPr/>
      <w:r>
        <w:t>Speech-centred deliberation can advantage the educated, confident and socially dominant. Nancy Fraser’s account of counterpublics and research on gender and group composition show why a single formally equal forum may reproduce informal inequality.[17][18] Safeguards include small-group work, trained facilitation, multiple modes of contribution, anonymous option testing, separate caucus space and measures of speaking time and uptake rather than attendance alone.</w:t>
      </w:r>
    </w:p>
    <w:p>
      <w:pPr>
        <w:pStyle w:val="Heading2"/>
        <w:keepNext/>
      </w:pPr>
      <w:r>
        <w:t>Forced harmony</w:t>
      </w:r>
    </w:p>
    <w:p>
      <w:pPr/>
      <w:r>
        <w:t>Participants may agree because disagreement feels disloyal, dangerous or exhausting. Silence may be mistaken for consent. The safeguard is secret preference recording, explicit acceptance and stand-aside categories, private access to facilitators, protection for minority reports and an audit for retaliation.</w:t>
      </w:r>
    </w:p>
    <w:p>
      <w:pPr>
        <w:pStyle w:val="Heading2"/>
        <w:keepNext/>
      </w:pPr>
      <w:r>
        <w:t>The private veto</w:t>
      </w:r>
    </w:p>
    <w:p>
      <w:pPr/>
      <w:r>
        <w:t>An unlimited block lets one person or faction govern everyone else. It can reward strategic obstruction and make urgent protection impossible. The safeguard is a narrow list of protected grounds, a duty to state reasons, independent review, a remedy period and a predefined fallback.</w:t>
      </w:r>
    </w:p>
    <w:p>
      <w:pPr>
        <w:pStyle w:val="Heading2"/>
        <w:keepNext/>
      </w:pPr>
      <w:r>
        <w:t>Frozen identities</w:t>
      </w:r>
    </w:p>
    <w:p>
      <w:pPr/>
      <w:r>
        <w:t>Power sharing may recognise the groups that fought yesterday and exclude mixed, new or unclassified citizens tomorrow. The safeguard is a universal electoral route, an “other and none” route, periodic review of categories and representation that does not make ethnicity the only gateway to public power.</w:t>
      </w:r>
    </w:p>
    <w:p>
      <w:pPr>
        <w:pStyle w:val="Heading2"/>
        <w:keepNext/>
      </w:pPr>
      <w:r>
        <w:t>Elite settlement without public ownership</w:t>
      </w:r>
    </w:p>
    <w:p>
      <w:pPr/>
      <w:r>
        <w:t>Party leaders can reach an agreement that ordinary members experience as remote or illegitimate. The safeguard is layered ratification, public evidence and reasons, citizen review, local discussion and enough time for organisations to consult their members.</w:t>
      </w:r>
    </w:p>
    <w:p>
      <w:pPr>
        <w:pStyle w:val="Heading2"/>
        <w:keepNext/>
      </w:pPr>
      <w:r>
        <w:t>Participation without implementation</w:t>
      </w:r>
    </w:p>
    <w:p>
      <w:pPr/>
      <w:r>
        <w:t>When recommendations disappear, participation can deepen cynicism.[27] The safeguard is a receiving authority named before recruitment, a statutory response deadline, implementation tracking and the power to reconvene when reasons or delivery are inadequate.</w:t>
      </w:r>
    </w:p>
    <w:p>
      <w:pPr>
        <w:pStyle w:val="Heading2"/>
        <w:keepNext/>
      </w:pPr>
      <w:r>
        <w:t>Digital exclusion and manipulation</w:t>
      </w:r>
    </w:p>
    <w:p>
      <w:pPr/>
      <w:r>
        <w:t>Online tools can broaden access but also privilege connected users, enable coordinated brigading and conceal demographic gaps. The safeguard is a hybrid process, verified sampling where representativeness matters, public moderation rules, privacy protection, adversarial testing and a ban on using engagement volume as a substitute for public judgment.</w:t>
      </w:r>
    </w:p>
    <w:p>
      <w:pPr>
        <w:pStyle w:val="Heading2"/>
        <w:keepNext/>
      </w:pPr>
      <w:r>
        <w:t>Endless procedure</w:t>
      </w:r>
    </w:p>
    <w:p>
      <w:pPr/>
      <w:r>
        <w:t>Badly scoped participation can exhaust citizens, delay urgent decisions and transfer advantage to people paid to attend. The safeguard is proportionality: publish the question, time, budget, decision rule and expected influence; provide emergency procedures with strict expiry; and evaluate whether the additional process changes knowledge, options or legitimacy.</w:t>
      </w:r>
    </w:p>
    <w:p>
      <w:pPr>
        <w:pStyle w:val="Heading1"/>
        <w:keepNext/>
      </w:pPr>
      <w:r>
        <w:t>10 Testing the claim rather than declaring it true</w:t>
      </w:r>
    </w:p>
    <w:p>
      <w:pPr/>
      <w:r>
        <w:t>The Democratic Centre Standard should be treated as a testable institutional hypothesis. Its advocates should not infer success from the existence of a forum or from participants’ satisfaction alone. The measures below adapt principles used in international guidance for evaluating representative deliberative processes and democratic institutions.[13][46]</w:t>
      </w:r>
    </w:p>
    <w:p>
      <w:pPr>
        <w:pStyle w:val="Heading2"/>
        <w:keepNext/>
      </w:pPr>
      <w:r>
        <w:t>Core measures</w:t>
      </w:r>
    </w:p>
    <w:tbl>
      <w:tblPr>
        <w:tblW w:type="auto" w:w="0"/>
        <w:jc w:val="left"/>
        <w:tblLayout w:type="autofit"/>
        <w:tblLook w:firstColumn="1" w:firstRow="1" w:lastColumn="0" w:lastRow="0" w:noHBand="0" w:noVBand="1" w:val="04A0"/>
        <w:tblBorders>
          <w:top w:val="single" w:sz="4" w:space="0" w:color="C7D0CC"/>
          <w:left w:val="single" w:sz="4" w:space="0" w:color="C7D0CC"/>
          <w:bottom w:val="single" w:sz="4" w:space="0" w:color="C7D0CC"/>
          <w:right w:val="single" w:sz="4" w:space="0" w:color="C7D0CC"/>
          <w:insideH w:val="single" w:sz="4" w:space="0" w:color="C7D0CC"/>
          <w:insideV w:val="single" w:sz="4" w:space="0" w:color="C7D0CC"/>
        </w:tblBorders>
      </w:tblPr>
      <w:tblGrid>
        <w:gridCol w:w="3293"/>
        <w:gridCol w:w="3293"/>
        <w:gridCol w:w="3293"/>
      </w:tblGrid>
      <w:tr>
        <w:trPr>
          <w:cantSplit/>
          <w:tblHeader w:val="true"/>
        </w:trPr>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Democratic aim</w:t>
            </w:r>
          </w:p>
        </w:tc>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Illustrative measure</w:t>
            </w:r>
          </w:p>
        </w:tc>
        <w:tc>
          <w:tcPr>
            <w:tcW w:type="dxa" w:w="3293"/>
            <w:vAlign w:val="center"/>
            <w:tcMar>
              <w:top w:w="90" w:type="dxa"/>
              <w:start w:w="110" w:type="dxa"/>
              <w:bottom w:w="90" w:type="dxa"/>
              <w:end w:w="110" w:type="dxa"/>
            </w:tcMar>
            <w:shd w:fill="0D4F3A"/>
          </w:tcPr>
          <w:p>
            <w:pPr>
              <w:spacing w:after="0" w:line="245" w:lineRule="auto"/>
            </w:pPr>
            <w:r>
              <w:rPr>
                <w:rFonts w:ascii="Aptos" w:hAnsi="Aptos"/>
                <w:b/>
                <w:color w:val="FFFFFF"/>
                <w:sz w:val="17"/>
              </w:rPr>
            </w:r>
            <w:r>
              <w:rPr>
                <w:rFonts w:ascii="Aptos" w:hAnsi="Aptos"/>
                <w:b/>
                <w:color w:val="FFFFFF"/>
                <w:sz w:val="17"/>
              </w:rPr>
              <w:t>Warning sign</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Inclusion</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Participation and retention compared with the affected population; accessibility requests fulfilled.</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Systematic absence or attrition of lower-income, disabled, minoritised or dissenting participants.</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Speaking equality</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Distribution of speaking time, interruptions, questions answered and proposals taken up.</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Formal attendance with concentrated influence.</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Understanding</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Pre and post comprehension of options, uncertainty and opposing reasons.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Confidence rises while factual accuracy or recognition of trade-offs falls.</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Independence</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Participant perception of freedom; disclosed interests; external audit.</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Retaliation, coached positions, sponsor control or hidden funding.</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Deliberative quality</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Reasons given, evidence corrected, options revised and strongest objections addressed.</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Repetition of slogans or manufactured unanimity.</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Influence</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Traceable changes to proposals and complete authority response.</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Recommendations praised but neither adopted nor answered.</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Rights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Independent equality and rights impact; complaints and remedies.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Broad approval accompanied by concentrated or discriminatory harm.</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Durability</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Implementation, compliance, later support and ability to revisit errors.</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Short-term agreement followed by collapse or no correction route.</w:t>
            </w:r>
          </w:p>
        </w:tc>
      </w:tr>
      <w:tr>
        <w:trPr>
          <w:cantSplit/>
        </w:trPr>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Conflict effect</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Changes in dehumanisation, threat perception, political violence and willingness to accept lawful loss.</w:t>
            </w:r>
          </w:p>
        </w:tc>
        <w:tc>
          <w:tcPr>
            <w:tcW w:type="dxa" w:w="3293"/>
            <w:vAlign w:val="center"/>
            <w:tcMar>
              <w:top w:w="90" w:type="dxa"/>
              <w:start w:w="110" w:type="dxa"/>
              <w:bottom w:w="90" w:type="dxa"/>
              <w:end w:w="110" w:type="dxa"/>
            </w:tcMar>
            <w:shd w:fill="FFFFFF"/>
          </w:tcPr>
          <w:p>
            <w:pPr>
              <w:spacing w:after="0" w:line="245" w:lineRule="auto"/>
            </w:pPr>
            <w:r>
              <w:rPr>
                <w:rFonts w:ascii="Aptos" w:hAnsi="Aptos"/>
                <w:sz w:val="17"/>
              </w:rPr>
            </w:r>
            <w:r>
              <w:rPr>
                <w:rFonts w:ascii="Aptos" w:hAnsi="Aptos"/>
                <w:sz w:val="17"/>
              </w:rPr>
              <w:t>Reduced surface disagreement but increased private fear or out-group hostility.</w:t>
            </w:r>
          </w:p>
        </w:tc>
      </w:tr>
      <w:tr>
        <w:trPr>
          <w:cantSplit/>
        </w:trPr>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Cost and timeliness</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Public cost, participant burden and time relative to decision importance.</w:t>
            </w:r>
          </w:p>
        </w:tc>
        <w:tc>
          <w:tcPr>
            <w:tcW w:type="dxa" w:w="3293"/>
            <w:vAlign w:val="center"/>
            <w:tcMar>
              <w:top w:w="90" w:type="dxa"/>
              <w:start w:w="110" w:type="dxa"/>
              <w:bottom w:w="90" w:type="dxa"/>
              <w:end w:w="110" w:type="dxa"/>
            </w:tcMar>
            <w:shd w:fill="EAF3EF"/>
          </w:tcPr>
          <w:p>
            <w:pPr>
              <w:spacing w:after="0" w:line="245" w:lineRule="auto"/>
            </w:pPr>
            <w:r>
              <w:rPr>
                <w:rFonts w:ascii="Aptos" w:hAnsi="Aptos"/>
                <w:sz w:val="17"/>
              </w:rPr>
            </w:r>
            <w:r>
              <w:rPr>
                <w:rFonts w:ascii="Aptos" w:hAnsi="Aptos"/>
                <w:sz w:val="17"/>
              </w:rPr>
              <w:t>Participation becomes a delaying tactic or profession dominated by repeat participants.</w:t>
            </w:r>
          </w:p>
        </w:tc>
      </w:tr>
    </w:tbl>
    <w:p>
      <w:pPr>
        <w:spacing w:after="0"/>
      </w:pPr>
    </w:p>
    <w:p>
      <w:pPr>
        <w:pStyle w:val="Heading2"/>
        <w:keepNext/>
      </w:pPr>
      <w:r>
        <w:t>Falsification conditions</w:t>
      </w:r>
    </w:p>
    <w:p>
      <w:pPr/>
      <w:r>
        <w:t>The model should be changed or stopped when credible evidence shows that it makes targeted people less safe; entrenches a permanent veto; systematically excludes an affected group; legitimises a predetermined decision; increases misinformation without correction; repeatedly produces recommendations that no authorised body must answer; or costs more democratic capacity than it creates.</w:t>
      </w:r>
    </w:p>
    <w:p>
      <w:pPr/>
      <w:r>
        <w:t>This commitment to falsification is part of the democratic ethic. A process that cannot be criticised is no longer a centre; it is an authority asking for faith.</w:t>
      </w:r>
    </w:p>
    <w:p>
      <w:pPr>
        <w:pStyle w:val="Heading1"/>
        <w:keepNext/>
      </w:pPr>
      <w:r>
        <w:t>11 The strongest defensible claim</w:t>
      </w:r>
    </w:p>
    <w:p>
      <w:pPr/>
      <w:r>
        <w:t>The research permits the following conclusions.</w:t>
      </w:r>
    </w:p>
    <w:p>
      <w:pPr>
        <w:pStyle w:val="ManualNumber"/>
      </w:pPr>
      <w:r>
        <w:t xml:space="preserve">1. </w:t>
      </w:r>
      <w:r>
        <w:rPr>
          <w:b/>
        </w:rPr>
        <w:t>The centre can coherently mean an institution rather than an ideology.</w:t>
      </w:r>
      <w:r>
        <w:t xml:space="preserve"> This is a proposed definition and should always be stated, because ordinary political usage also treats centrism as an ideology.</w:t>
      </w:r>
    </w:p>
    <w:p>
      <w:pPr>
        <w:pStyle w:val="ManualNumber"/>
      </w:pPr>
      <w:r>
        <w:t xml:space="preserve">2. </w:t>
      </w:r>
      <w:r>
        <w:rPr>
          <w:b/>
        </w:rPr>
        <w:t>Its principles are deeply democratic.</w:t>
      </w:r>
      <w:r>
        <w:t xml:space="preserve"> Political equality, participation, inclusion, informed judgment, pluralism, public justification, rights and peaceful correction recur across democratic theory and global human-rights instruments.[1]–[14]</w:t>
      </w:r>
    </w:p>
    <w:p>
      <w:pPr>
        <w:pStyle w:val="ManualNumber"/>
      </w:pPr>
      <w:r>
        <w:t xml:space="preserve">3. </w:t>
      </w:r>
      <w:r>
        <w:rPr>
          <w:b/>
        </w:rPr>
        <w:t>Consensus-seeking is democratically valuable but not sufficient.</w:t>
      </w:r>
      <w:r>
        <w:t xml:space="preserve"> It can reveal common ground and reduce domination, yet unanimity can hide coercion or create minority rule. Voting after deliberation remains legitimate when the rule is known, rights are protected and dissent survives.[14]–[18]</w:t>
      </w:r>
    </w:p>
    <w:p>
      <w:pPr>
        <w:pStyle w:val="ManualNumber"/>
      </w:pPr>
      <w:r>
        <w:t xml:space="preserve">4. </w:t>
      </w:r>
      <w:r>
        <w:rPr>
          <w:b/>
        </w:rPr>
        <w:t>Exclusion is a conflict risk, not a mechanical cause.</w:t>
      </w:r>
      <w:r>
        <w:t xml:space="preserve"> Unequal access to power and justice can help organise fear into grievance and antagonism, but leaders, narratives, institutions and material conditions mediate the pathway.[21][22][28]</w:t>
      </w:r>
    </w:p>
    <w:p>
      <w:pPr>
        <w:pStyle w:val="ManualNumber"/>
      </w:pPr>
      <w:r>
        <w:t xml:space="preserve">5. </w:t>
      </w:r>
      <w:r>
        <w:rPr>
          <w:b/>
        </w:rPr>
        <w:t>Participation must carry power.</w:t>
      </w:r>
      <w:r>
        <w:t xml:space="preserve"> Voice without agenda access, response, implementation or review can be manipulative and may reduce trust.[27][29][30]</w:t>
      </w:r>
    </w:p>
    <w:p>
      <w:pPr>
        <w:pStyle w:val="ManualNumber"/>
      </w:pPr>
      <w:r>
        <w:t xml:space="preserve">6. </w:t>
      </w:r>
      <w:r>
        <w:rPr>
          <w:b/>
        </w:rPr>
        <w:t>No existing institution fully embodies the model.</w:t>
      </w:r>
      <w:r>
        <w:t xml:space="preserve"> Global cases supply components and cautions, not proof of a finished system.[31]–[44]</w:t>
      </w:r>
    </w:p>
    <w:p>
      <w:pPr/>
      <w:r>
        <w:t xml:space="preserve">It would therefore overstate the evidence to call the democratic centre the </w:t>
      </w:r>
      <w:r>
        <w:rPr>
          <w:i/>
        </w:rPr>
        <w:t>only</w:t>
      </w:r>
      <w:r>
        <w:t xml:space="preserve"> form of democracy. Democracy also requires elections, opposition, free association, free media, legal accountability, rights and institutions capable of acting. It is defensible to call the centre the </w:t>
      </w:r>
      <w:r>
        <w:rPr>
          <w:b/>
        </w:rPr>
        <w:t>shared procedural heart of democracy</w:t>
      </w:r>
      <w:r>
        <w:t>: the place where equal citizens who do not agree decide how they will continue living and governing together.</w:t>
      </w:r>
    </w:p>
    <w:p>
      <w:pPr>
        <w:pStyle w:val="Heading1"/>
        <w:keepNext/>
      </w:pPr>
      <w:r>
        <w:t>Conclusion</w:t>
      </w:r>
    </w:p>
    <w:p>
      <w:pPr/>
      <w:r>
        <w:t>The deepest democratic question is not whether a policy sits in the middle of a spectrum. It is whether the people bound by power are recognised as equals in making, contesting and correcting it.</w:t>
      </w:r>
    </w:p>
    <w:p>
      <w:pPr/>
      <w:r>
        <w:t>The democratic centre is the place created by that recognition. It welcomes conservative, socialist, liberal, ecological, religious, Indigenous, nationalist, local and unaligned voices without granting any of them ownership of the room. It listens to fear without appointing an enemy. It seeks concordance without forcing unanimity. It allows a decision without converting the losing side into outsiders. It places rights beneath bargaining and puts every exercise of power on a path back to review.</w:t>
      </w:r>
    </w:p>
    <w:p>
      <w:pPr/>
      <w:r>
        <w:t>Political parties do not need to become one party. They need a common roof strong enough to contain disagreement and open enough for the public to enter. Under that roof, cooperation is not surrender. It is the acceptance that governing everyone cannot legitimately be done by hearing only those who won.</w:t>
      </w:r>
    </w:p>
    <w:p>
      <w:pPr/>
      <w:r>
        <w:t>The practical standard is demanding but clear: everyone affected must have a fair route to voice; evidence and uncertainty must be visible; no threat or silence counts as consent; the broadest workable agreement must be sought; any remaining decision rule must be declared in advance; rights and minority status must survive the outcome; power must answer; and the decision must be capable of correction.</w:t>
      </w:r>
    </w:p>
    <w:p>
      <w:pPr/>
      <w:r>
        <w:t>That is not the politics of halfway. It is democracy’s work of keeping a plural people whole without making them the same.</w:t>
      </w:r>
    </w:p>
    <w:p>
      <w:pPr>
        <w:pStyle w:val="Heading1"/>
        <w:keepNext/>
      </w:pPr>
      <w:r>
        <w:t>Appendix A Draft Democratic Centre Charter</w:t>
      </w:r>
    </w:p>
    <w:p>
      <w:pPr>
        <w:pStyle w:val="ManualNumber"/>
      </w:pPr>
      <w:r>
        <w:t xml:space="preserve">1. </w:t>
      </w:r>
      <w:r>
        <w:rPr>
          <w:b/>
        </w:rPr>
        <w:t>Equal membership</w:t>
      </w:r>
      <w:r>
        <w:t xml:space="preserve"> — every person affected is treated as an equal bearer of rights and reasons.</w:t>
      </w:r>
    </w:p>
    <w:p>
      <w:pPr>
        <w:pStyle w:val="ManualNumber"/>
      </w:pPr>
      <w:r>
        <w:t xml:space="preserve">2. </w:t>
      </w:r>
      <w:r>
        <w:rPr>
          <w:b/>
        </w:rPr>
        <w:t>Open standing</w:t>
      </w:r>
      <w:r>
        <w:t xml:space="preserve"> — participation routes include the whole public and people who bear concentrated effects.</w:t>
      </w:r>
    </w:p>
    <w:p>
      <w:pPr>
        <w:pStyle w:val="ManualNumber"/>
      </w:pPr>
      <w:r>
        <w:t xml:space="preserve">3. </w:t>
      </w:r>
      <w:r>
        <w:rPr>
          <w:b/>
        </w:rPr>
        <w:t>Material access</w:t>
      </w:r>
      <w:r>
        <w:t xml:space="preserve"> — the process funds the time, care, travel, language, disability and information needs required for real participation.</w:t>
      </w:r>
    </w:p>
    <w:p>
      <w:pPr>
        <w:pStyle w:val="ManualNumber"/>
      </w:pPr>
      <w:r>
        <w:t xml:space="preserve">4. </w:t>
      </w:r>
      <w:r>
        <w:rPr>
          <w:b/>
        </w:rPr>
        <w:t>Freedom</w:t>
      </w:r>
      <w:r>
        <w:t xml:space="preserve"> — no threat, retaliation, deception, fatigue or silence is treated as consent.</w:t>
      </w:r>
    </w:p>
    <w:p>
      <w:pPr>
        <w:pStyle w:val="ManualNumber"/>
      </w:pPr>
      <w:r>
        <w:t xml:space="preserve">5. </w:t>
      </w:r>
      <w:r>
        <w:rPr>
          <w:b/>
        </w:rPr>
        <w:t>Truthfulness</w:t>
      </w:r>
      <w:r>
        <w:t xml:space="preserve"> — evidence, uncertainty, source, interest and correction are public.</w:t>
      </w:r>
    </w:p>
    <w:p>
      <w:pPr>
        <w:pStyle w:val="ManualNumber"/>
      </w:pPr>
      <w:r>
        <w:t xml:space="preserve">6. </w:t>
      </w:r>
      <w:r>
        <w:rPr>
          <w:b/>
        </w:rPr>
        <w:t>Pluralism</w:t>
      </w:r>
      <w:r>
        <w:t xml:space="preserve"> — participants may retain incompatible worldviews and continue lawful opposition.</w:t>
      </w:r>
    </w:p>
    <w:p>
      <w:pPr>
        <w:pStyle w:val="ManualNumber"/>
      </w:pPr>
      <w:r>
        <w:t xml:space="preserve">7. </w:t>
      </w:r>
      <w:r>
        <w:rPr>
          <w:b/>
        </w:rPr>
        <w:t>Human-rights floor</w:t>
      </w:r>
      <w:r>
        <w:t xml:space="preserve"> — no outcome can remove equal personhood or fundamental rights.</w:t>
      </w:r>
    </w:p>
    <w:p>
      <w:pPr>
        <w:pStyle w:val="ManualNumber"/>
      </w:pPr>
      <w:r>
        <w:t xml:space="preserve">8. </w:t>
      </w:r>
      <w:r>
        <w:rPr>
          <w:b/>
        </w:rPr>
        <w:t>Concordance first</w:t>
      </w:r>
      <w:r>
        <w:t xml:space="preserve"> — the process seeks consent, acceptance or informed stand-aside before using a fallback.</w:t>
      </w:r>
    </w:p>
    <w:p>
      <w:pPr>
        <w:pStyle w:val="ManualNumber"/>
      </w:pPr>
      <w:r>
        <w:t xml:space="preserve">9. </w:t>
      </w:r>
      <w:r>
        <w:rPr>
          <w:b/>
        </w:rPr>
        <w:t>Bounded block</w:t>
      </w:r>
      <w:r>
        <w:t xml:space="preserve"> — a block must identify an agreed rights, safety, purpose or evidential ground and is independently reviewable.</w:t>
      </w:r>
    </w:p>
    <w:p>
      <w:pPr>
        <w:pStyle w:val="ManualNumber"/>
      </w:pPr>
      <w:r>
        <w:t xml:space="preserve">10. </w:t>
      </w:r>
      <w:r>
        <w:rPr>
          <w:b/>
        </w:rPr>
        <w:t>Known decision rule</w:t>
      </w:r>
      <w:r>
        <w:t xml:space="preserve"> — any vote or threshold is published before positions are known.</w:t>
      </w:r>
    </w:p>
    <w:p>
      <w:pPr>
        <w:pStyle w:val="ManualNumber"/>
      </w:pPr>
      <w:r>
        <w:t xml:space="preserve">11. </w:t>
      </w:r>
      <w:r>
        <w:rPr>
          <w:b/>
        </w:rPr>
        <w:t>Public reasons</w:t>
      </w:r>
      <w:r>
        <w:t xml:space="preserve"> — the authority answers every formal recommendation and preserves the minority case.</w:t>
      </w:r>
    </w:p>
    <w:p>
      <w:pPr>
        <w:pStyle w:val="ManualNumber"/>
      </w:pPr>
      <w:r>
        <w:t xml:space="preserve">12. </w:t>
      </w:r>
      <w:r>
        <w:rPr>
          <w:b/>
        </w:rPr>
        <w:t>Return and repair</w:t>
      </w:r>
      <w:r>
        <w:t xml:space="preserve"> — implementation, appeal, sunset and review keep mistakes correctable.</w:t>
      </w:r>
    </w:p>
    <w:p>
      <w:pPr>
        <w:pStyle w:val="Heading1"/>
        <w:keepNext/>
      </w:pPr>
      <w:r>
        <w:t>Appendix B A convening checklist</w:t>
      </w:r>
    </w:p>
    <w:p>
      <w:pPr/>
      <w:r>
        <w:t>Before convening, answer the following in public.</w:t>
      </w:r>
    </w:p>
    <w:p>
      <w:pPr>
        <w:pStyle w:val="ListBullet"/>
      </w:pPr>
      <w:r>
        <w:t>What decision is actually open, and what is already fixed by law or rights?</w:t>
      </w:r>
    </w:p>
    <w:p>
      <w:pPr>
        <w:pStyle w:val="ListBullet"/>
      </w:pPr>
      <w:r>
        <w:t>Who is affected directly, indirectly, disproportionately and in the future?</w:t>
      </w:r>
    </w:p>
    <w:p>
      <w:pPr>
        <w:pStyle w:val="ListBullet"/>
      </w:pPr>
      <w:r>
        <w:t>Who is missing from the first stakeholder map, and who has reason not to trust the invitation?</w:t>
      </w:r>
    </w:p>
    <w:p>
      <w:pPr>
        <w:pStyle w:val="ListBullet"/>
      </w:pPr>
      <w:r>
        <w:t>What authority will receive the result, and what duty does it have to respond?</w:t>
      </w:r>
    </w:p>
    <w:p>
      <w:pPr>
        <w:pStyle w:val="ListBullet"/>
      </w:pPr>
      <w:r>
        <w:t>How are participants selected, paid, supported and protected?</w:t>
      </w:r>
    </w:p>
    <w:p>
      <w:pPr>
        <w:pStyle w:val="ListBullet"/>
      </w:pPr>
      <w:r>
        <w:t>Who controls the agenda, evidence brief, witnesses and facilitation?</w:t>
      </w:r>
    </w:p>
    <w:p>
      <w:pPr>
        <w:pStyle w:val="ListBullet"/>
      </w:pPr>
      <w:r>
        <w:t>How can participants correct evidence and add an alternative?</w:t>
      </w:r>
    </w:p>
    <w:p>
      <w:pPr>
        <w:pStyle w:val="ListBullet"/>
      </w:pPr>
      <w:r>
        <w:t>Which responses count as consent, acceptance, stand-aside, objection and block?</w:t>
      </w:r>
    </w:p>
    <w:p>
      <w:pPr>
        <w:pStyle w:val="ListBullet"/>
      </w:pPr>
      <w:r>
        <w:t>What grounds can sustain a block, and who reviews it?</w:t>
      </w:r>
    </w:p>
    <w:p>
      <w:pPr>
        <w:pStyle w:val="ListBullet"/>
      </w:pPr>
      <w:r>
        <w:t>What decision rule applies if concordance remains incomplete?</w:t>
      </w:r>
    </w:p>
    <w:p>
      <w:pPr>
        <w:pStyle w:val="ListBullet"/>
      </w:pPr>
      <w:r>
        <w:t>How are minority reasons, personal data and confidential testimony protected?</w:t>
      </w:r>
    </w:p>
    <w:p>
      <w:pPr>
        <w:pStyle w:val="ListBullet"/>
      </w:pPr>
      <w:r>
        <w:t>What will be implemented, by whom, with what resources and by when?</w:t>
      </w:r>
    </w:p>
    <w:p>
      <w:pPr>
        <w:pStyle w:val="ListBullet"/>
      </w:pPr>
      <w:r>
        <w:t>When does the decision expire or return for review?</w:t>
      </w:r>
    </w:p>
    <w:p>
      <w:pPr>
        <w:pStyle w:val="ListBullet"/>
      </w:pPr>
      <w:r>
        <w:t>What evidence would show that the process failed or caused harm?</w:t>
      </w:r>
    </w:p>
    <w:p>
      <w:pPr>
        <w:pStyle w:val="Heading1"/>
        <w:keepNext/>
      </w:pPr>
      <w:r>
        <w:t>Appendix C Method and limitations</w:t>
      </w:r>
    </w:p>
    <w:p>
      <w:pPr/>
      <w:r>
        <w:t>This is a normative research synthesis and institutional design paper, not a systematic review or a causal impact evaluation. Sources were selected to test the central claim across four bodies of evidence: democratic theory; universal and regional human-rights standards; conflict, trust and polarisation research; and institutional cases from multiple regions. Priority was given to official legal texts, peer-reviewed research, intergovernmental reports and primary institutional sources. Cases were chosen for variation and for the design lesson they expose, not to rank countries.</w:t>
      </w:r>
    </w:p>
    <w:p>
      <w:pPr/>
      <w:r>
        <w:t xml:space="preserve">Three limitations matter. First, the proposed use of </w:t>
      </w:r>
      <w:r>
        <w:rPr>
          <w:i/>
        </w:rPr>
        <w:t>democratic centre</w:t>
      </w:r>
      <w:r>
        <w:t xml:space="preserve"> is stipulative: it gives the term a precise meaning that is not universal in political science. Second, evidence about deliberation is context-dependent. Effects differ with recruitment, composition, facilitation, issue, authority and measurement. Third, a global synthesis can overlook legal, cultural and Indigenous traditions that do not translate neatly into one vocabulary. Any implementation should therefore be co-designed locally and independently evaluated.</w:t>
      </w:r>
    </w:p>
    <w:p>
      <w:pPr>
        <w:pStyle w:val="Heading1"/>
        <w:keepNext/>
      </w:pPr>
      <w:r>
        <w:t>References</w:t>
      </w:r>
    </w:p>
    <w:p>
      <w:pPr>
        <w:spacing w:after="68" w:line="245" w:lineRule="auto"/>
        <w:ind w:left="346" w:hanging="346"/>
      </w:pPr>
      <w:r>
        <w:rPr>
          <w:sz w:val="17"/>
        </w:rPr>
        <w:t xml:space="preserve">1. United Nations. </w:t>
      </w:r>
      <w:r>
        <w:rPr>
          <w:i/>
          <w:sz w:val="17"/>
        </w:rPr>
        <w:t>Universal Declaration of Human Rights</w:t>
      </w:r>
      <w:r>
        <w:rPr>
          <w:sz w:val="17"/>
        </w:rPr>
        <w:t xml:space="preserve">, Article 21. 1948. </w:t>
      </w:r>
      <w:hyperlink r:id="rId11">
        <w:r>
          <w:rPr>
            <w:color w:val="0D4F3A"/>
            <w:u w:val="single"/>
          </w:rPr>
          <w:t>ohchr.org source</w:t>
        </w:r>
      </w:hyperlink>
    </w:p>
    <w:p>
      <w:pPr>
        <w:spacing w:after="68" w:line="245" w:lineRule="auto"/>
        <w:ind w:left="346" w:hanging="346"/>
      </w:pPr>
      <w:r>
        <w:rPr>
          <w:sz w:val="17"/>
        </w:rPr>
        <w:t xml:space="preserve">2. United Nations. </w:t>
      </w:r>
      <w:r>
        <w:rPr>
          <w:i/>
          <w:sz w:val="17"/>
        </w:rPr>
        <w:t>International Covenant on Civil and Political Rights</w:t>
      </w:r>
      <w:r>
        <w:rPr>
          <w:sz w:val="17"/>
        </w:rPr>
        <w:t xml:space="preserve">, Article 25. 1966. </w:t>
      </w:r>
      <w:hyperlink r:id="rId12">
        <w:r>
          <w:rPr>
            <w:color w:val="0D4F3A"/>
            <w:u w:val="single"/>
          </w:rPr>
          <w:t>ohchr.org source</w:t>
        </w:r>
      </w:hyperlink>
    </w:p>
    <w:p>
      <w:pPr>
        <w:spacing w:after="68" w:line="245" w:lineRule="auto"/>
        <w:ind w:left="346" w:hanging="346"/>
      </w:pPr>
      <w:r>
        <w:rPr>
          <w:sz w:val="17"/>
        </w:rPr>
        <w:t xml:space="preserve">3. Office of the United Nations High Commissioner for Human Rights. </w:t>
      </w:r>
      <w:r>
        <w:rPr>
          <w:i/>
          <w:sz w:val="17"/>
        </w:rPr>
        <w:t>Guidelines for States on the Effective Implementation of the Right to Participate in Public Affairs</w:t>
      </w:r>
      <w:r>
        <w:rPr>
          <w:sz w:val="17"/>
        </w:rPr>
        <w:t xml:space="preserve">. 2018. </w:t>
      </w:r>
      <w:hyperlink r:id="rId13">
        <w:r>
          <w:rPr>
            <w:color w:val="0D4F3A"/>
            <w:u w:val="single"/>
          </w:rPr>
          <w:t>ohchr.org source</w:t>
        </w:r>
      </w:hyperlink>
    </w:p>
    <w:p>
      <w:pPr>
        <w:spacing w:after="68" w:line="245" w:lineRule="auto"/>
        <w:ind w:left="346" w:hanging="346"/>
      </w:pPr>
      <w:r>
        <w:rPr>
          <w:sz w:val="17"/>
        </w:rPr>
        <w:t xml:space="preserve">4. United Nations. </w:t>
      </w:r>
      <w:r>
        <w:rPr>
          <w:i/>
          <w:sz w:val="17"/>
        </w:rPr>
        <w:t>Convention on the Rights of Persons with Disabilities</w:t>
      </w:r>
      <w:r>
        <w:rPr>
          <w:sz w:val="17"/>
        </w:rPr>
        <w:t xml:space="preserve">, Article 29. 2006. </w:t>
      </w:r>
      <w:hyperlink r:id="rId14">
        <w:r>
          <w:rPr>
            <w:color w:val="0D4F3A"/>
            <w:u w:val="single"/>
          </w:rPr>
          <w:t>ohchr.org source</w:t>
        </w:r>
      </w:hyperlink>
    </w:p>
    <w:p>
      <w:pPr>
        <w:spacing w:after="68" w:line="245" w:lineRule="auto"/>
        <w:ind w:left="346" w:hanging="346"/>
      </w:pPr>
      <w:r>
        <w:rPr>
          <w:sz w:val="17"/>
        </w:rPr>
        <w:t xml:space="preserve">5. United Nations. </w:t>
      </w:r>
      <w:r>
        <w:rPr>
          <w:i/>
          <w:sz w:val="17"/>
        </w:rPr>
        <w:t>United Nations Declaration on the Rights of Indigenous Peoples</w:t>
      </w:r>
      <w:r>
        <w:rPr>
          <w:sz w:val="17"/>
        </w:rPr>
        <w:t xml:space="preserve">, Articles 18 and 19. 2007. </w:t>
      </w:r>
      <w:hyperlink r:id="rId15">
        <w:r>
          <w:rPr>
            <w:color w:val="0D4F3A"/>
            <w:u w:val="single"/>
          </w:rPr>
          <w:t>ohchr.org source</w:t>
        </w:r>
      </w:hyperlink>
    </w:p>
    <w:p>
      <w:pPr>
        <w:spacing w:after="68" w:line="245" w:lineRule="auto"/>
        <w:ind w:left="346" w:hanging="346"/>
      </w:pPr>
      <w:r>
        <w:rPr>
          <w:sz w:val="17"/>
        </w:rPr>
        <w:t xml:space="preserve">6. United Nations Economic Commission for Europe. </w:t>
      </w:r>
      <w:r>
        <w:rPr>
          <w:i/>
          <w:sz w:val="17"/>
        </w:rPr>
        <w:t>Convention on Access to Information Public Participation in Decision Making and Access to Justice in Environmental Matters</w:t>
      </w:r>
      <w:r>
        <w:rPr>
          <w:sz w:val="17"/>
        </w:rPr>
        <w:t xml:space="preserve">. 1998. </w:t>
      </w:r>
      <w:hyperlink r:id="rId16">
        <w:r>
          <w:rPr>
            <w:color w:val="0D4F3A"/>
            <w:u w:val="single"/>
          </w:rPr>
          <w:t>unece.org source</w:t>
        </w:r>
      </w:hyperlink>
    </w:p>
    <w:p>
      <w:pPr>
        <w:spacing w:after="68" w:line="245" w:lineRule="auto"/>
        <w:ind w:left="346" w:hanging="346"/>
      </w:pPr>
      <w:r>
        <w:rPr>
          <w:sz w:val="17"/>
        </w:rPr>
        <w:t xml:space="preserve">7. Organization of American States. </w:t>
      </w:r>
      <w:r>
        <w:rPr>
          <w:i/>
          <w:sz w:val="17"/>
        </w:rPr>
        <w:t>Inter-American Democratic Charter</w:t>
      </w:r>
      <w:r>
        <w:rPr>
          <w:sz w:val="17"/>
        </w:rPr>
        <w:t xml:space="preserve">. 2001. </w:t>
      </w:r>
      <w:hyperlink r:id="rId17">
        <w:r>
          <w:rPr>
            <w:color w:val="0D4F3A"/>
            <w:u w:val="single"/>
          </w:rPr>
          <w:t>oas.org source</w:t>
        </w:r>
      </w:hyperlink>
    </w:p>
    <w:p>
      <w:pPr>
        <w:spacing w:after="68" w:line="245" w:lineRule="auto"/>
        <w:ind w:left="346" w:hanging="346"/>
      </w:pPr>
      <w:r>
        <w:rPr>
          <w:sz w:val="17"/>
        </w:rPr>
        <w:t xml:space="preserve">8. African Union. </w:t>
      </w:r>
      <w:r>
        <w:rPr>
          <w:i/>
          <w:sz w:val="17"/>
        </w:rPr>
        <w:t>African Charter on Democracy Elections and Governance</w:t>
      </w:r>
      <w:r>
        <w:rPr>
          <w:sz w:val="17"/>
        </w:rPr>
        <w:t xml:space="preserve">. 2007. </w:t>
      </w:r>
      <w:hyperlink r:id="rId18">
        <w:r>
          <w:rPr>
            <w:color w:val="0D4F3A"/>
            <w:u w:val="single"/>
          </w:rPr>
          <w:t>au.int source</w:t>
        </w:r>
      </w:hyperlink>
    </w:p>
    <w:p>
      <w:pPr>
        <w:spacing w:after="68" w:line="245" w:lineRule="auto"/>
        <w:ind w:left="346" w:hanging="346"/>
      </w:pPr>
      <w:r>
        <w:rPr>
          <w:sz w:val="17"/>
        </w:rPr>
        <w:t xml:space="preserve">9. Dahl, Robert A. </w:t>
      </w:r>
      <w:r>
        <w:rPr>
          <w:i/>
          <w:sz w:val="17"/>
        </w:rPr>
        <w:t>On Democracy</w:t>
      </w:r>
      <w:r>
        <w:rPr>
          <w:sz w:val="17"/>
        </w:rPr>
        <w:t xml:space="preserve">. Yale University Press, 1998. </w:t>
      </w:r>
      <w:hyperlink r:id="rId19">
        <w:r>
          <w:rPr>
            <w:color w:val="0D4F3A"/>
            <w:u w:val="single"/>
          </w:rPr>
          <w:t>yalebooks.yale.edu source</w:t>
        </w:r>
      </w:hyperlink>
    </w:p>
    <w:p>
      <w:pPr>
        <w:spacing w:after="68" w:line="245" w:lineRule="auto"/>
        <w:ind w:left="346" w:hanging="346"/>
      </w:pPr>
      <w:r>
        <w:rPr>
          <w:sz w:val="17"/>
        </w:rPr>
        <w:t xml:space="preserve">10. Lijphart, Arend. </w:t>
      </w:r>
      <w:r>
        <w:rPr>
          <w:i/>
          <w:sz w:val="17"/>
        </w:rPr>
        <w:t>Patterns of Democracy</w:t>
      </w:r>
      <w:r>
        <w:rPr>
          <w:sz w:val="17"/>
        </w:rPr>
        <w:t xml:space="preserve">. Second edition. Yale University Press, 2012. </w:t>
      </w:r>
      <w:hyperlink r:id="rId20">
        <w:r>
          <w:rPr>
            <w:color w:val="0D4F3A"/>
            <w:u w:val="single"/>
          </w:rPr>
          <w:t>yalebooks.yale.edu source</w:t>
        </w:r>
      </w:hyperlink>
    </w:p>
    <w:p>
      <w:pPr>
        <w:spacing w:after="68" w:line="245" w:lineRule="auto"/>
        <w:ind w:left="346" w:hanging="346"/>
      </w:pPr>
      <w:r>
        <w:rPr>
          <w:sz w:val="17"/>
        </w:rPr>
        <w:t xml:space="preserve">11. Bormann, Nils-Christian. “Patterns of Democracy and Its Critics.” </w:t>
      </w:r>
      <w:r>
        <w:rPr>
          <w:i/>
          <w:sz w:val="17"/>
        </w:rPr>
        <w:t>Swiss Political Science Review</w:t>
      </w:r>
      <w:r>
        <w:rPr>
          <w:sz w:val="17"/>
        </w:rPr>
        <w:t xml:space="preserve"> 16, no. 1, 2010. </w:t>
      </w:r>
      <w:hyperlink r:id="rId21">
        <w:r>
          <w:rPr>
            <w:color w:val="0D4F3A"/>
            <w:u w:val="single"/>
          </w:rPr>
          <w:t>DOI</w:t>
        </w:r>
      </w:hyperlink>
    </w:p>
    <w:p>
      <w:pPr>
        <w:spacing w:after="68" w:line="245" w:lineRule="auto"/>
        <w:ind w:left="346" w:hanging="346"/>
      </w:pPr>
      <w:r>
        <w:rPr>
          <w:sz w:val="17"/>
        </w:rPr>
        <w:t xml:space="preserve">12. OECD. </w:t>
      </w:r>
      <w:r>
        <w:rPr>
          <w:i/>
          <w:sz w:val="17"/>
        </w:rPr>
        <w:t>Innovative Citizen Participation and New Democratic Institutions Catching the Deliberative Wave</w:t>
      </w:r>
      <w:r>
        <w:rPr>
          <w:sz w:val="17"/>
        </w:rPr>
        <w:t xml:space="preserve">. OECD Publishing, 2020. </w:t>
      </w:r>
      <w:hyperlink r:id="rId22">
        <w:r>
          <w:rPr>
            <w:color w:val="0D4F3A"/>
            <w:u w:val="single"/>
          </w:rPr>
          <w:t>DOI</w:t>
        </w:r>
      </w:hyperlink>
    </w:p>
    <w:p>
      <w:pPr>
        <w:spacing w:after="68" w:line="245" w:lineRule="auto"/>
        <w:ind w:left="346" w:hanging="346"/>
      </w:pPr>
      <w:r>
        <w:rPr>
          <w:sz w:val="17"/>
        </w:rPr>
        <w:t xml:space="preserve">13. OECD. </w:t>
      </w:r>
      <w:r>
        <w:rPr>
          <w:i/>
          <w:sz w:val="17"/>
        </w:rPr>
        <w:t>Evaluation Guidelines for Representative Deliberative Processes</w:t>
      </w:r>
      <w:r>
        <w:rPr>
          <w:sz w:val="17"/>
        </w:rPr>
        <w:t xml:space="preserve">. OECD Publishing, 2021. </w:t>
      </w:r>
      <w:hyperlink r:id="rId23">
        <w:r>
          <w:rPr>
            <w:color w:val="0D4F3A"/>
            <w:u w:val="single"/>
          </w:rPr>
          <w:t>DOI</w:t>
        </w:r>
      </w:hyperlink>
    </w:p>
    <w:p>
      <w:pPr>
        <w:spacing w:after="68" w:line="245" w:lineRule="auto"/>
        <w:ind w:left="346" w:hanging="346"/>
      </w:pPr>
      <w:r>
        <w:rPr>
          <w:sz w:val="17"/>
        </w:rPr>
        <w:t xml:space="preserve">14. Curato, Nicole, John S. Dryzek, Selen A. Ercan, Carolyn M. Hendriks and Simon Niemeyer. “Twelve Key Findings in Deliberative Democracy Research.” </w:t>
      </w:r>
      <w:r>
        <w:rPr>
          <w:i/>
          <w:sz w:val="17"/>
        </w:rPr>
        <w:t>Dædalus</w:t>
      </w:r>
      <w:r>
        <w:rPr>
          <w:sz w:val="17"/>
        </w:rPr>
        <w:t xml:space="preserve"> 146, no. 3, 2017. </w:t>
      </w:r>
      <w:hyperlink r:id="rId24">
        <w:r>
          <w:rPr>
            <w:color w:val="0D4F3A"/>
            <w:u w:val="single"/>
          </w:rPr>
          <w:t>DOI</w:t>
        </w:r>
      </w:hyperlink>
    </w:p>
    <w:p>
      <w:pPr>
        <w:spacing w:after="68" w:line="245" w:lineRule="auto"/>
        <w:ind w:left="346" w:hanging="346"/>
      </w:pPr>
      <w:r>
        <w:rPr>
          <w:sz w:val="17"/>
        </w:rPr>
        <w:t xml:space="preserve">15. Mansbridge, Jane, James Bohman, Simone Chambers, David Estlund, Andreas Føllesdal, Archon Fung, Cristina Lafont, Bernard Manin and José Luis Martí. “The Place of Self-Interest and the Role of Power in Deliberative Democracy.” </w:t>
      </w:r>
      <w:r>
        <w:rPr>
          <w:i/>
          <w:sz w:val="17"/>
        </w:rPr>
        <w:t>Journal of Political Philosophy</w:t>
      </w:r>
      <w:r>
        <w:rPr>
          <w:sz w:val="17"/>
        </w:rPr>
        <w:t xml:space="preserve"> 18, no. 1, 2010. </w:t>
      </w:r>
      <w:hyperlink r:id="rId25">
        <w:r>
          <w:rPr>
            <w:color w:val="0D4F3A"/>
            <w:u w:val="single"/>
          </w:rPr>
          <w:t>DOI</w:t>
        </w:r>
      </w:hyperlink>
    </w:p>
    <w:p>
      <w:pPr>
        <w:spacing w:after="68" w:line="245" w:lineRule="auto"/>
        <w:ind w:left="346" w:hanging="346"/>
      </w:pPr>
      <w:r>
        <w:rPr>
          <w:sz w:val="17"/>
        </w:rPr>
        <w:t xml:space="preserve">16. Williams, Melissa S. “Beyond the Empirical–Normative Divide The Democratic Theory of Jane Mansbridge.” </w:t>
      </w:r>
      <w:r>
        <w:rPr>
          <w:i/>
          <w:sz w:val="17"/>
        </w:rPr>
        <w:t>PS Political Science and Politics</w:t>
      </w:r>
      <w:r>
        <w:rPr>
          <w:sz w:val="17"/>
        </w:rPr>
        <w:t xml:space="preserve"> 46, no. 1, 2013. </w:t>
      </w:r>
      <w:hyperlink r:id="rId26">
        <w:r>
          <w:rPr>
            <w:color w:val="0D4F3A"/>
            <w:u w:val="single"/>
          </w:rPr>
          <w:t>DOI</w:t>
        </w:r>
      </w:hyperlink>
    </w:p>
    <w:p>
      <w:pPr>
        <w:spacing w:after="68" w:line="245" w:lineRule="auto"/>
        <w:ind w:left="346" w:hanging="346"/>
      </w:pPr>
      <w:r>
        <w:rPr>
          <w:sz w:val="17"/>
        </w:rPr>
        <w:t xml:space="preserve">17. Fraser, Nancy. “Rethinking the Public Sphere A Contribution to the Critique of Actually Existing Democracy.” </w:t>
      </w:r>
      <w:r>
        <w:rPr>
          <w:i/>
          <w:sz w:val="17"/>
        </w:rPr>
        <w:t>Social Text</w:t>
      </w:r>
      <w:r>
        <w:rPr>
          <w:sz w:val="17"/>
        </w:rPr>
        <w:t xml:space="preserve"> 25/26, 1990. </w:t>
      </w:r>
      <w:hyperlink r:id="rId27">
        <w:r>
          <w:rPr>
            <w:color w:val="0D4F3A"/>
            <w:u w:val="single"/>
          </w:rPr>
          <w:t>DOI</w:t>
        </w:r>
      </w:hyperlink>
    </w:p>
    <w:p>
      <w:pPr>
        <w:spacing w:after="68" w:line="245" w:lineRule="auto"/>
        <w:ind w:left="346" w:hanging="346"/>
      </w:pPr>
      <w:r>
        <w:rPr>
          <w:sz w:val="17"/>
        </w:rPr>
        <w:t xml:space="preserve">18. Karpowitz, Christopher F., Tali Mendelberg and Lee Shaker. “Gender Inequality in Deliberative Participation.” </w:t>
      </w:r>
      <w:r>
        <w:rPr>
          <w:i/>
          <w:sz w:val="17"/>
        </w:rPr>
        <w:t>American Political Science Review</w:t>
      </w:r>
      <w:r>
        <w:rPr>
          <w:sz w:val="17"/>
        </w:rPr>
        <w:t xml:space="preserve"> 106, no. 3, 2012. </w:t>
      </w:r>
      <w:hyperlink r:id="rId28">
        <w:r>
          <w:rPr>
            <w:color w:val="0D4F3A"/>
            <w:u w:val="single"/>
          </w:rPr>
          <w:t>DOI</w:t>
        </w:r>
      </w:hyperlink>
    </w:p>
    <w:p>
      <w:pPr>
        <w:spacing w:after="68" w:line="245" w:lineRule="auto"/>
        <w:ind w:left="346" w:hanging="346"/>
      </w:pPr>
      <w:r>
        <w:rPr>
          <w:sz w:val="17"/>
        </w:rPr>
        <w:t xml:space="preserve">19. Gutmann, Amy and Dennis Thompson. </w:t>
      </w:r>
      <w:r>
        <w:rPr>
          <w:i/>
          <w:sz w:val="17"/>
        </w:rPr>
        <w:t>Why Deliberative Democracy</w:t>
      </w:r>
      <w:r>
        <w:rPr>
          <w:sz w:val="17"/>
        </w:rPr>
        <w:t xml:space="preserve">. Princeton University Press, 2004. </w:t>
      </w:r>
      <w:hyperlink r:id="rId29">
        <w:r>
          <w:rPr>
            <w:color w:val="0D4F3A"/>
            <w:u w:val="single"/>
          </w:rPr>
          <w:t>press.princeton.edu source</w:t>
        </w:r>
      </w:hyperlink>
    </w:p>
    <w:p>
      <w:pPr>
        <w:spacing w:after="68" w:line="245" w:lineRule="auto"/>
        <w:ind w:left="346" w:hanging="346"/>
      </w:pPr>
      <w:r>
        <w:rPr>
          <w:sz w:val="17"/>
        </w:rPr>
        <w:t xml:space="preserve">20. Landemore, Hélène. </w:t>
      </w:r>
      <w:r>
        <w:rPr>
          <w:i/>
          <w:sz w:val="17"/>
        </w:rPr>
        <w:t>Open Democracy Reinventing Popular Rule for the Twenty First Century</w:t>
      </w:r>
      <w:r>
        <w:rPr>
          <w:sz w:val="17"/>
        </w:rPr>
        <w:t xml:space="preserve">. Princeton University Press, 2020. </w:t>
      </w:r>
      <w:hyperlink r:id="rId30">
        <w:r>
          <w:rPr>
            <w:color w:val="0D4F3A"/>
            <w:u w:val="single"/>
          </w:rPr>
          <w:t>press.princeton.edu source</w:t>
        </w:r>
      </w:hyperlink>
    </w:p>
    <w:p>
      <w:pPr>
        <w:spacing w:after="68" w:line="245" w:lineRule="auto"/>
        <w:ind w:left="346" w:hanging="346"/>
      </w:pPr>
      <w:r>
        <w:rPr>
          <w:sz w:val="17"/>
        </w:rPr>
        <w:t xml:space="preserve">21. McCoy, Jennifer, Tahmina Rahman and Murat Somer. “Polarization and the Global Crisis of Democracy Common Patterns Dynamics and Pernicious Consequences for Democratic Polities.” </w:t>
      </w:r>
      <w:r>
        <w:rPr>
          <w:i/>
          <w:sz w:val="17"/>
        </w:rPr>
        <w:t>American Behavioral Scientist</w:t>
      </w:r>
      <w:r>
        <w:rPr>
          <w:sz w:val="17"/>
        </w:rPr>
        <w:t xml:space="preserve"> 62, no. 1, 2018. </w:t>
      </w:r>
      <w:hyperlink r:id="rId31">
        <w:r>
          <w:rPr>
            <w:color w:val="0D4F3A"/>
            <w:u w:val="single"/>
          </w:rPr>
          <w:t>DOI</w:t>
        </w:r>
      </w:hyperlink>
    </w:p>
    <w:p>
      <w:pPr>
        <w:spacing w:after="68" w:line="245" w:lineRule="auto"/>
        <w:ind w:left="346" w:hanging="346"/>
      </w:pPr>
      <w:r>
        <w:rPr>
          <w:sz w:val="17"/>
        </w:rPr>
        <w:t xml:space="preserve">22. Finkel, Eli J. et al. “Political Sectarianism in America.” </w:t>
      </w:r>
      <w:r>
        <w:rPr>
          <w:i/>
          <w:sz w:val="17"/>
        </w:rPr>
        <w:t>Science</w:t>
      </w:r>
      <w:r>
        <w:rPr>
          <w:sz w:val="17"/>
        </w:rPr>
        <w:t xml:space="preserve"> 370, no. 6516, 2020. </w:t>
      </w:r>
      <w:hyperlink r:id="rId32">
        <w:r>
          <w:rPr>
            <w:color w:val="0D4F3A"/>
            <w:u w:val="single"/>
          </w:rPr>
          <w:t>DOI</w:t>
        </w:r>
      </w:hyperlink>
    </w:p>
    <w:p>
      <w:pPr>
        <w:spacing w:after="68" w:line="245" w:lineRule="auto"/>
        <w:ind w:left="346" w:hanging="346"/>
      </w:pPr>
      <w:r>
        <w:rPr>
          <w:sz w:val="17"/>
        </w:rPr>
        <w:t xml:space="preserve">23. Carothers, Thomas and Andrew O’Donohue. “How to Understand the Global Spread of Political Polarization.” Carnegie Endowment for International Peace, 2019. </w:t>
      </w:r>
      <w:hyperlink r:id="rId33">
        <w:r>
          <w:rPr>
            <w:color w:val="0D4F3A"/>
            <w:u w:val="single"/>
          </w:rPr>
          <w:t>carnegieendowment.org source</w:t>
        </w:r>
      </w:hyperlink>
    </w:p>
    <w:p>
      <w:pPr>
        <w:spacing w:after="68" w:line="245" w:lineRule="auto"/>
        <w:ind w:left="346" w:hanging="346"/>
      </w:pPr>
      <w:r>
        <w:rPr>
          <w:sz w:val="17"/>
        </w:rPr>
        <w:t xml:space="preserve">24. Caluwaerts, Didier et al. “Does Deliberation Reduce Polarization A Multi Disciplinary Review.” </w:t>
      </w:r>
      <w:r>
        <w:rPr>
          <w:i/>
          <w:sz w:val="17"/>
        </w:rPr>
        <w:t>Frontiers in Political Science</w:t>
      </w:r>
      <w:r>
        <w:rPr>
          <w:sz w:val="17"/>
        </w:rPr>
        <w:t xml:space="preserve"> 5, 2023. </w:t>
      </w:r>
      <w:hyperlink r:id="rId34">
        <w:r>
          <w:rPr>
            <w:color w:val="0D4F3A"/>
            <w:u w:val="single"/>
          </w:rPr>
          <w:t>DOI</w:t>
        </w:r>
      </w:hyperlink>
    </w:p>
    <w:p>
      <w:pPr>
        <w:spacing w:after="68" w:line="245" w:lineRule="auto"/>
        <w:ind w:left="346" w:hanging="346"/>
      </w:pPr>
      <w:r>
        <w:rPr>
          <w:sz w:val="17"/>
        </w:rPr>
        <w:t xml:space="preserve">25. Santoro, Erik and David E. Broockman. “The Promise and Pitfalls of Cross Partisan Conversations for Reducing Affective Polarization.” </w:t>
      </w:r>
      <w:r>
        <w:rPr>
          <w:i/>
          <w:sz w:val="17"/>
        </w:rPr>
        <w:t>Science Advances</w:t>
      </w:r>
      <w:r>
        <w:rPr>
          <w:sz w:val="17"/>
        </w:rPr>
        <w:t xml:space="preserve"> 8, no. 25, 2022. </w:t>
      </w:r>
      <w:hyperlink r:id="rId35">
        <w:r>
          <w:rPr>
            <w:color w:val="0D4F3A"/>
            <w:u w:val="single"/>
          </w:rPr>
          <w:t>DOI</w:t>
        </w:r>
      </w:hyperlink>
    </w:p>
    <w:p>
      <w:pPr>
        <w:spacing w:after="68" w:line="245" w:lineRule="auto"/>
        <w:ind w:left="346" w:hanging="346"/>
      </w:pPr>
      <w:r>
        <w:rPr>
          <w:sz w:val="17"/>
        </w:rPr>
        <w:t xml:space="preserve">26. Rossiter, Erin L. and Taylor N. Carlson. “Interpersonal Conversation Increases Political Knowledge and Reduces Affective Polarization.” </w:t>
      </w:r>
      <w:r>
        <w:rPr>
          <w:i/>
          <w:sz w:val="17"/>
        </w:rPr>
        <w:t>The Journal of Politics</w:t>
      </w:r>
      <w:r>
        <w:rPr>
          <w:sz w:val="17"/>
        </w:rPr>
        <w:t xml:space="preserve"> 86, no. 3, 2024. </w:t>
      </w:r>
      <w:hyperlink r:id="rId36">
        <w:r>
          <w:rPr>
            <w:color w:val="0D4F3A"/>
            <w:u w:val="single"/>
          </w:rPr>
          <w:t>DOI</w:t>
        </w:r>
      </w:hyperlink>
    </w:p>
    <w:p>
      <w:pPr>
        <w:spacing w:after="68" w:line="245" w:lineRule="auto"/>
        <w:ind w:left="346" w:hanging="346"/>
      </w:pPr>
      <w:r>
        <w:rPr>
          <w:sz w:val="17"/>
        </w:rPr>
        <w:t xml:space="preserve">27. Van Dijk, Lisa and Jonas Lefevere. “Can the Use of Minipublics Backfire Examining How Policy Adoption Shapes the Effect of Minipublics on Political Support among the General Public.” </w:t>
      </w:r>
      <w:r>
        <w:rPr>
          <w:i/>
          <w:sz w:val="17"/>
        </w:rPr>
        <w:t>European Journal of Political Research</w:t>
      </w:r>
      <w:r>
        <w:rPr>
          <w:sz w:val="17"/>
        </w:rPr>
        <w:t xml:space="preserve"> 62, no. 1, 2023. </w:t>
      </w:r>
      <w:hyperlink r:id="rId37">
        <w:r>
          <w:rPr>
            <w:color w:val="0D4F3A"/>
            <w:u w:val="single"/>
          </w:rPr>
          <w:t>DOI</w:t>
        </w:r>
      </w:hyperlink>
    </w:p>
    <w:p>
      <w:pPr>
        <w:spacing w:after="68" w:line="245" w:lineRule="auto"/>
        <w:ind w:left="346" w:hanging="346"/>
      </w:pPr>
      <w:r>
        <w:rPr>
          <w:sz w:val="17"/>
        </w:rPr>
        <w:t xml:space="preserve">28. United Nations and World Bank. </w:t>
      </w:r>
      <w:r>
        <w:rPr>
          <w:i/>
          <w:sz w:val="17"/>
        </w:rPr>
        <w:t>Pathways for Peace Inclusive Approaches to Preventing Violent Conflict</w:t>
      </w:r>
      <w:r>
        <w:rPr>
          <w:sz w:val="17"/>
        </w:rPr>
        <w:t xml:space="preserve">. World Bank, 2018. </w:t>
      </w:r>
      <w:hyperlink r:id="rId38">
        <w:r>
          <w:rPr>
            <w:color w:val="0D4F3A"/>
            <w:u w:val="single"/>
          </w:rPr>
          <w:t>openknowledge.worldbank.org source</w:t>
        </w:r>
      </w:hyperlink>
    </w:p>
    <w:p>
      <w:pPr>
        <w:spacing w:after="68" w:line="245" w:lineRule="auto"/>
        <w:ind w:left="346" w:hanging="346"/>
      </w:pPr>
      <w:r>
        <w:rPr>
          <w:sz w:val="17"/>
        </w:rPr>
        <w:t xml:space="preserve">29. OECD. </w:t>
      </w:r>
      <w:r>
        <w:rPr>
          <w:i/>
          <w:sz w:val="17"/>
        </w:rPr>
        <w:t>OECD Survey on Drivers of Trust in Public Institutions 2024 Results</w:t>
      </w:r>
      <w:r>
        <w:rPr>
          <w:sz w:val="17"/>
        </w:rPr>
        <w:t xml:space="preserve">. OECD Publishing, 2024. </w:t>
      </w:r>
      <w:hyperlink r:id="rId39">
        <w:r>
          <w:rPr>
            <w:color w:val="0D4F3A"/>
            <w:u w:val="single"/>
          </w:rPr>
          <w:t>DOI</w:t>
        </w:r>
      </w:hyperlink>
    </w:p>
    <w:p>
      <w:pPr>
        <w:spacing w:after="68" w:line="245" w:lineRule="auto"/>
        <w:ind w:left="346" w:hanging="346"/>
      </w:pPr>
      <w:r>
        <w:rPr>
          <w:sz w:val="17"/>
        </w:rPr>
        <w:t xml:space="preserve">30. OECD. </w:t>
      </w:r>
      <w:r>
        <w:rPr>
          <w:i/>
          <w:sz w:val="17"/>
        </w:rPr>
        <w:t>Government at a Glance 2025</w:t>
      </w:r>
      <w:r>
        <w:rPr>
          <w:sz w:val="17"/>
        </w:rPr>
        <w:t xml:space="preserve">. OECD Publishing, 2025. </w:t>
      </w:r>
      <w:hyperlink r:id="rId40">
        <w:r>
          <w:rPr>
            <w:color w:val="0D4F3A"/>
            <w:u w:val="single"/>
          </w:rPr>
          <w:t>DOI</w:t>
        </w:r>
      </w:hyperlink>
    </w:p>
    <w:p>
      <w:pPr>
        <w:spacing w:after="68" w:line="245" w:lineRule="auto"/>
        <w:ind w:left="346" w:hanging="346"/>
      </w:pPr>
      <w:r>
        <w:rPr>
          <w:sz w:val="17"/>
        </w:rPr>
        <w:t xml:space="preserve">31. Citizens’ Assembly Ireland. “About the Citizens’ Assembly.” </w:t>
      </w:r>
      <w:hyperlink r:id="rId41">
        <w:r>
          <w:rPr>
            <w:color w:val="0D4F3A"/>
            <w:u w:val="single"/>
          </w:rPr>
          <w:t>citizensassembly.ie source</w:t>
        </w:r>
      </w:hyperlink>
    </w:p>
    <w:p>
      <w:pPr>
        <w:spacing w:after="68" w:line="245" w:lineRule="auto"/>
        <w:ind w:left="346" w:hanging="346"/>
      </w:pPr>
      <w:r>
        <w:rPr>
          <w:sz w:val="17"/>
        </w:rPr>
        <w:t xml:space="preserve">32. Farrell, David M. and Jane Suiter. </w:t>
      </w:r>
      <w:r>
        <w:rPr>
          <w:i/>
          <w:sz w:val="17"/>
        </w:rPr>
        <w:t>Reimagining Democracy Lessons in Deliberative Democracy from the Irish Front Line</w:t>
      </w:r>
      <w:r>
        <w:rPr>
          <w:sz w:val="17"/>
        </w:rPr>
        <w:t xml:space="preserve">. Cornell University Press, 2019. </w:t>
      </w:r>
      <w:hyperlink r:id="rId42">
        <w:r>
          <w:rPr>
            <w:color w:val="0D4F3A"/>
            <w:u w:val="single"/>
          </w:rPr>
          <w:t>cornellpress.cornell.edu source</w:t>
        </w:r>
      </w:hyperlink>
    </w:p>
    <w:p>
      <w:pPr>
        <w:spacing w:after="68" w:line="245" w:lineRule="auto"/>
        <w:ind w:left="346" w:hanging="346"/>
      </w:pPr>
      <w:r>
        <w:rPr>
          <w:sz w:val="17"/>
        </w:rPr>
        <w:t xml:space="preserve">33. Swiss Confederation. “The Swiss Political System.” </w:t>
      </w:r>
      <w:hyperlink r:id="rId43">
        <w:r>
          <w:rPr>
            <w:color w:val="0D4F3A"/>
            <w:u w:val="single"/>
          </w:rPr>
          <w:t>aboutswitzerland.eda.admin.ch source</w:t>
        </w:r>
      </w:hyperlink>
    </w:p>
    <w:p>
      <w:pPr>
        <w:spacing w:after="68" w:line="245" w:lineRule="auto"/>
        <w:ind w:left="346" w:hanging="346"/>
      </w:pPr>
      <w:r>
        <w:rPr>
          <w:sz w:val="17"/>
        </w:rPr>
        <w:t xml:space="preserve">34. Government of the United Kingdom and Government of Ireland. </w:t>
      </w:r>
      <w:r>
        <w:rPr>
          <w:i/>
          <w:sz w:val="17"/>
        </w:rPr>
        <w:t>The Belfast Agreement</w:t>
      </w:r>
      <w:r>
        <w:rPr>
          <w:sz w:val="17"/>
        </w:rPr>
        <w:t xml:space="preserve">. 1998. </w:t>
      </w:r>
      <w:hyperlink r:id="rId44">
        <w:r>
          <w:rPr>
            <w:color w:val="0D4F3A"/>
            <w:u w:val="single"/>
          </w:rPr>
          <w:t>gov.uk source</w:t>
        </w:r>
      </w:hyperlink>
    </w:p>
    <w:p>
      <w:pPr>
        <w:spacing w:after="68" w:line="245" w:lineRule="auto"/>
        <w:ind w:left="346" w:hanging="346"/>
      </w:pPr>
      <w:r>
        <w:rPr>
          <w:sz w:val="17"/>
        </w:rPr>
        <w:t xml:space="preserve">35. Northern Ireland Assembly. “Power Sharing.” </w:t>
      </w:r>
      <w:hyperlink r:id="rId45">
        <w:r>
          <w:rPr>
            <w:color w:val="0D4F3A"/>
            <w:u w:val="single"/>
          </w:rPr>
          <w:t>education.niassembly.gov.uk source</w:t>
        </w:r>
      </w:hyperlink>
    </w:p>
    <w:p>
      <w:pPr>
        <w:spacing w:after="68" w:line="245" w:lineRule="auto"/>
        <w:ind w:left="346" w:hanging="346"/>
      </w:pPr>
      <w:r>
        <w:rPr>
          <w:sz w:val="17"/>
        </w:rPr>
        <w:t xml:space="preserve">36. South African History Archive. “The Constitution Making Process.” Truth Commission Special Report archive. </w:t>
      </w:r>
      <w:hyperlink r:id="rId46">
        <w:r>
          <w:rPr>
            <w:color w:val="0D4F3A"/>
            <w:u w:val="single"/>
          </w:rPr>
          <w:t>sabctrc.saha.org.za source</w:t>
        </w:r>
      </w:hyperlink>
    </w:p>
    <w:p>
      <w:pPr>
        <w:spacing w:after="68" w:line="245" w:lineRule="auto"/>
        <w:ind w:left="346" w:hanging="346"/>
      </w:pPr>
      <w:r>
        <w:rPr>
          <w:sz w:val="17"/>
        </w:rPr>
        <w:t xml:space="preserve">37. Nobel Prize. “The National Dialogue Quartet Facts.” 2015. </w:t>
      </w:r>
      <w:hyperlink r:id="rId47">
        <w:r>
          <w:rPr>
            <w:color w:val="0D4F3A"/>
            <w:u w:val="single"/>
          </w:rPr>
          <w:t>nobelprize.org source</w:t>
        </w:r>
      </w:hyperlink>
    </w:p>
    <w:p>
      <w:pPr>
        <w:spacing w:after="68" w:line="245" w:lineRule="auto"/>
        <w:ind w:left="346" w:hanging="346"/>
      </w:pPr>
      <w:r>
        <w:rPr>
          <w:sz w:val="17"/>
        </w:rPr>
        <w:t xml:space="preserve">38. vTaiwan. “About vTaiwan.” </w:t>
      </w:r>
      <w:hyperlink r:id="rId48">
        <w:r>
          <w:rPr>
            <w:color w:val="0D4F3A"/>
            <w:u w:val="single"/>
          </w:rPr>
          <w:t>info.vtaiwan.tw source</w:t>
        </w:r>
      </w:hyperlink>
    </w:p>
    <w:p>
      <w:pPr>
        <w:spacing w:after="68" w:line="245" w:lineRule="auto"/>
        <w:ind w:left="346" w:hanging="346"/>
      </w:pPr>
      <w:r>
        <w:rPr>
          <w:sz w:val="17"/>
        </w:rPr>
        <w:t xml:space="preserve">39. Tang, Audrey. “A Strong Democracy Is a Digital Democracy.” </w:t>
      </w:r>
      <w:r>
        <w:rPr>
          <w:i/>
          <w:sz w:val="17"/>
        </w:rPr>
        <w:t>The New York Times</w:t>
      </w:r>
      <w:r>
        <w:rPr>
          <w:sz w:val="17"/>
        </w:rPr>
        <w:t xml:space="preserve">, 2019. </w:t>
      </w:r>
      <w:hyperlink r:id="rId49">
        <w:r>
          <w:rPr>
            <w:color w:val="0D4F3A"/>
            <w:u w:val="single"/>
          </w:rPr>
          <w:t>nytimes.com source</w:t>
        </w:r>
      </w:hyperlink>
    </w:p>
    <w:p>
      <w:pPr>
        <w:spacing w:after="68" w:line="245" w:lineRule="auto"/>
        <w:ind w:left="346" w:hanging="346"/>
      </w:pPr>
      <w:r>
        <w:rPr>
          <w:sz w:val="17"/>
        </w:rPr>
        <w:t xml:space="preserve">40. OECD Nuclear Energy Agency. “Stakeholder Involvement in Nuclear Decision Making in Korea.” 2021. </w:t>
      </w:r>
      <w:hyperlink r:id="rId50">
        <w:r>
          <w:rPr>
            <w:color w:val="0D4F3A"/>
            <w:u w:val="single"/>
          </w:rPr>
          <w:t>oecd-nea.org source</w:t>
        </w:r>
      </w:hyperlink>
    </w:p>
    <w:p>
      <w:pPr>
        <w:spacing w:after="68" w:line="245" w:lineRule="auto"/>
        <w:ind w:left="346" w:hanging="346"/>
      </w:pPr>
      <w:r>
        <w:rPr>
          <w:sz w:val="17"/>
        </w:rPr>
        <w:t xml:space="preserve">41. World Bank. </w:t>
      </w:r>
      <w:r>
        <w:rPr>
          <w:i/>
          <w:sz w:val="17"/>
        </w:rPr>
        <w:t>Local Democracy and Development The Kerala People’s Campaign for Decentralized Planning</w:t>
      </w:r>
      <w:r>
        <w:rPr>
          <w:sz w:val="17"/>
        </w:rPr>
        <w:t xml:space="preserve">. 2000. </w:t>
      </w:r>
      <w:hyperlink r:id="rId51">
        <w:r>
          <w:rPr>
            <w:color w:val="0D4F3A"/>
            <w:u w:val="single"/>
          </w:rPr>
          <w:t>documents.worldbank.org source</w:t>
        </w:r>
      </w:hyperlink>
    </w:p>
    <w:p>
      <w:pPr>
        <w:spacing w:after="68" w:line="245" w:lineRule="auto"/>
        <w:ind w:left="346" w:hanging="346"/>
      </w:pPr>
      <w:r>
        <w:rPr>
          <w:sz w:val="17"/>
        </w:rPr>
        <w:t xml:space="preserve">42. World Bank. </w:t>
      </w:r>
      <w:r>
        <w:rPr>
          <w:i/>
          <w:sz w:val="17"/>
        </w:rPr>
        <w:t>Participatory Budgeting in Brazil</w:t>
      </w:r>
      <w:r>
        <w:rPr>
          <w:sz w:val="17"/>
        </w:rPr>
        <w:t xml:space="preserve">. 2008. </w:t>
      </w:r>
      <w:hyperlink r:id="rId52">
        <w:r>
          <w:rPr>
            <w:color w:val="0D4F3A"/>
            <w:u w:val="single"/>
          </w:rPr>
          <w:t>openknowledge.worldbank.org source</w:t>
        </w:r>
      </w:hyperlink>
    </w:p>
    <w:p>
      <w:pPr>
        <w:spacing w:after="68" w:line="245" w:lineRule="auto"/>
        <w:ind w:left="346" w:hanging="346"/>
      </w:pPr>
      <w:r>
        <w:rPr>
          <w:sz w:val="17"/>
        </w:rPr>
        <w:t xml:space="preserve">43. International IDEA ConstitutionNet. “Two Drafts Three Referendums Four Lessons Chile’s Constitutional Process.” 2023. </w:t>
      </w:r>
      <w:hyperlink r:id="rId53">
        <w:r>
          <w:rPr>
            <w:color w:val="0D4F3A"/>
            <w:u w:val="single"/>
          </w:rPr>
          <w:t>constitutionnet.org source</w:t>
        </w:r>
      </w:hyperlink>
    </w:p>
    <w:p>
      <w:pPr>
        <w:spacing w:after="68" w:line="245" w:lineRule="auto"/>
        <w:ind w:left="346" w:hanging="346"/>
      </w:pPr>
      <w:r>
        <w:rPr>
          <w:sz w:val="17"/>
        </w:rPr>
        <w:t xml:space="preserve">44. European Court of Human Rights. </w:t>
      </w:r>
      <w:r>
        <w:rPr>
          <w:i/>
          <w:sz w:val="17"/>
        </w:rPr>
        <w:t>Sejdić and Finci v Bosnia and Herzegovina</w:t>
      </w:r>
      <w:r>
        <w:rPr>
          <w:sz w:val="17"/>
        </w:rPr>
        <w:t xml:space="preserve">. Applications 27996/06 and 34836/06, Grand Chamber judgment, 2009. </w:t>
      </w:r>
      <w:hyperlink r:id="rId54">
        <w:r>
          <w:rPr>
            <w:color w:val="0D4F3A"/>
            <w:u w:val="single"/>
          </w:rPr>
          <w:t>hudoc.echr.coe.int source</w:t>
        </w:r>
      </w:hyperlink>
    </w:p>
    <w:p>
      <w:pPr>
        <w:spacing w:after="68" w:line="245" w:lineRule="auto"/>
        <w:ind w:left="346" w:hanging="346"/>
      </w:pPr>
      <w:r>
        <w:rPr>
          <w:sz w:val="17"/>
        </w:rPr>
        <w:t xml:space="preserve">45. Fishkin, James S. </w:t>
      </w:r>
      <w:r>
        <w:rPr>
          <w:i/>
          <w:sz w:val="17"/>
        </w:rPr>
        <w:t>When the People Speak Deliberative Democracy and Public Consultation</w:t>
      </w:r>
      <w:r>
        <w:rPr>
          <w:sz w:val="17"/>
        </w:rPr>
        <w:t xml:space="preserve">. Oxford University Press, 2009. </w:t>
      </w:r>
      <w:hyperlink r:id="rId55">
        <w:r>
          <w:rPr>
            <w:color w:val="0D4F3A"/>
            <w:u w:val="single"/>
          </w:rPr>
          <w:t>global.oup.com source</w:t>
        </w:r>
      </w:hyperlink>
    </w:p>
    <w:p>
      <w:pPr>
        <w:spacing w:after="68" w:line="245" w:lineRule="auto"/>
        <w:ind w:left="346" w:hanging="346"/>
      </w:pPr>
      <w:r>
        <w:rPr>
          <w:sz w:val="17"/>
        </w:rPr>
        <w:t xml:space="preserve">46. Inter-Parliamentary Union. </w:t>
      </w:r>
      <w:r>
        <w:rPr>
          <w:i/>
          <w:sz w:val="17"/>
        </w:rPr>
        <w:t>Indicators for Democratic Parliaments</w:t>
      </w:r>
      <w:r>
        <w:rPr>
          <w:sz w:val="17"/>
        </w:rPr>
        <w:t xml:space="preserve">. </w:t>
      </w:r>
      <w:hyperlink r:id="rId56">
        <w:r>
          <w:rPr>
            <w:color w:val="0D4F3A"/>
            <w:u w:val="single"/>
          </w:rPr>
          <w:t>parliamentaryindicators.org source</w:t>
        </w:r>
      </w:hyperlink>
    </w:p>
    <w:sectPr w:rsidR="00FC693F" w:rsidRPr="0006063C" w:rsidSect="00034616">
      <w:headerReference w:type="default" r:id="rId9"/>
      <w:footerReference w:type="default" r:id="rId10"/>
      <w:pgSz w:w="12240" w:h="15840"/>
      <w:pgMar w:top="1094" w:right="1181" w:bottom="1037" w:left="1181"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ptos" w:hAnsi="Aptos"/>
        <w:color w:val="6B7470"/>
        <w:sz w:val="16"/>
      </w:rPr>
      <w:t xml:space="preserve">THE DEMOCRATIC CENTRE   ·   </w:t>
    </w:r>
    <w:r>
      <w:rPr>
        <w:rFonts w:ascii="Aptos" w:hAnsi="Aptos"/>
        <w:color w:val="6B7470"/>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b/>
        <w:color w:val="0D4F3A"/>
        <w:sz w:val="16"/>
      </w:rPr>
      <w:t>THE GREEN TANK · SOCIAL TECHNOLOGY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4" w:line="269" w:lineRule="auto"/>
    </w:pPr>
    <w:rPr>
      <w:rFonts w:ascii="Aptos" w:hAnsi="Aptos"/>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ptos Display" w:hAnsi="Aptos Display"/>
      <w:b/>
      <w:bCs/>
      <w:color w:val="111111"/>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ptos Display" w:hAnsi="Aptos Display"/>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ptos Display" w:hAnsi="Aptos Display"/>
      <w:b/>
      <w:bCs/>
      <w:color w:val="11111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100"/>
      <w:contextualSpacing/>
    </w:pPr>
    <w:rPr>
      <w:rFonts w:asciiTheme="majorHAnsi" w:eastAsiaTheme="majorEastAsia" w:hAnsiTheme="majorHAnsi" w:cstheme="majorBidi" w:ascii="Aptos Display" w:hAnsi="Aptos Display"/>
      <w:b/>
      <w:color w:val="111111"/>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spacing w:after="400"/>
    </w:pPr>
    <w:rPr>
      <w:rFonts w:asciiTheme="majorHAnsi" w:eastAsiaTheme="majorEastAsia" w:hAnsiTheme="majorHAnsi" w:cstheme="majorBidi" w:ascii="Aptos" w:hAnsi="Aptos"/>
      <w:i/>
      <w:iCs/>
      <w:color w:val="11111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8" w:line="259" w:lineRule="auto"/>
      <w:ind w:left="317" w:hanging="230"/>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8" w:line="259" w:lineRule="auto"/>
      <w:ind w:left="317" w:hanging="230"/>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
    <w:name w:val="Brand"/>
    <w:pPr>
      <w:spacing w:after="360"/>
    </w:pPr>
    <w:rPr>
      <w:rFonts w:ascii="Aptos" w:hAnsi="Aptos"/>
      <w:b/>
      <w:caps/>
      <w:color w:val="0D4F3A"/>
      <w:sz w:val="18"/>
    </w:rPr>
  </w:style>
  <w:style w:type="paragraph" w:customStyle="1" w:styleId="Meta">
    <w:name w:val="Meta"/>
    <w:pPr>
      <w:spacing w:after="80"/>
    </w:pPr>
    <w:rPr>
      <w:rFonts w:ascii="Aptos" w:hAnsi="Aptos"/>
      <w:color w:val="6B7470"/>
      <w:sz w:val="18"/>
    </w:rPr>
  </w:style>
  <w:style w:type="paragraph" w:customStyle="1" w:styleId="Executive">
    <w:name w:val="Executive"/>
    <w:pPr>
      <w:spacing w:line="278" w:lineRule="auto" w:after="160"/>
    </w:pPr>
    <w:rPr>
      <w:rFonts w:ascii="Aptos" w:hAnsi="Aptos"/>
      <w:color w:val="111111"/>
      <w:sz w:val="22"/>
    </w:rPr>
  </w:style>
  <w:style w:type="paragraph" w:customStyle="1" w:styleId="ManualNumber">
    <w:name w:val="Manual Number"/>
    <w:pPr>
      <w:spacing w:after="68" w:line="259" w:lineRule="auto"/>
      <w:ind w:left="547" w:hanging="461"/>
    </w:pPr>
    <w:rPr>
      <w:rFonts w:ascii="Aptos" w:hAnsi="Aptos"/>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hchr.org/en/human-rights/universal-declaration/translations/english" TargetMode="External"/><Relationship Id="rId12" Type="http://schemas.openxmlformats.org/officeDocument/2006/relationships/hyperlink" Target="https://www.ohchr.org/en/instruments-mechanisms/instruments/international-covenant-civil-and-political-rights" TargetMode="External"/><Relationship Id="rId13" Type="http://schemas.openxmlformats.org/officeDocument/2006/relationships/hyperlink" Target="https://www.ohchr.org/Documents/Issues/PublicAffairs/GuidelinesRightParticipatePublicAffairs_web.pdf" TargetMode="External"/><Relationship Id="rId14" Type="http://schemas.openxmlformats.org/officeDocument/2006/relationships/hyperlink" Target="https://www.ohchr.org/en/instruments-mechanisms/instruments/convention-rights-persons-disabilities" TargetMode="External"/><Relationship Id="rId15" Type="http://schemas.openxmlformats.org/officeDocument/2006/relationships/hyperlink" Target="https://www.ohchr.org/en/indigenous-peoples/un-declaration-rights-indigenous-peoples" TargetMode="External"/><Relationship Id="rId16" Type="http://schemas.openxmlformats.org/officeDocument/2006/relationships/hyperlink" Target="https://unece.org/environment-policy/public-participation/aarhus-convention/text" TargetMode="External"/><Relationship Id="rId17" Type="http://schemas.openxmlformats.org/officeDocument/2006/relationships/hyperlink" Target="https://www.oas.org/charter/docs/resolution1_en_p4.htm" TargetMode="External"/><Relationship Id="rId18" Type="http://schemas.openxmlformats.org/officeDocument/2006/relationships/hyperlink" Target="https://au.int/en/treaties/african-charter-democracy-elections-and-governance" TargetMode="External"/><Relationship Id="rId19" Type="http://schemas.openxmlformats.org/officeDocument/2006/relationships/hyperlink" Target="https://yalebooks.yale.edu/book/9780300254051/on-democracy/" TargetMode="External"/><Relationship Id="rId20" Type="http://schemas.openxmlformats.org/officeDocument/2006/relationships/hyperlink" Target="https://yalebooks.yale.edu/book/9780300172027/patterns-of-democracy/" TargetMode="External"/><Relationship Id="rId21" Type="http://schemas.openxmlformats.org/officeDocument/2006/relationships/hyperlink" Target="https://doi.org/10.1002/j.1662-6370.2010.tb00157.x" TargetMode="External"/><Relationship Id="rId22" Type="http://schemas.openxmlformats.org/officeDocument/2006/relationships/hyperlink" Target="https://doi.org/10.1787/339306da-en" TargetMode="External"/><Relationship Id="rId23" Type="http://schemas.openxmlformats.org/officeDocument/2006/relationships/hyperlink" Target="https://doi.org/10.1787/10ccbfcb-en" TargetMode="External"/><Relationship Id="rId24" Type="http://schemas.openxmlformats.org/officeDocument/2006/relationships/hyperlink" Target="https://doi.org/10.1162/DAED_a_00444" TargetMode="External"/><Relationship Id="rId25" Type="http://schemas.openxmlformats.org/officeDocument/2006/relationships/hyperlink" Target="https://doi.org/10.1111/j.1467-9760.2009.00344.x" TargetMode="External"/><Relationship Id="rId26" Type="http://schemas.openxmlformats.org/officeDocument/2006/relationships/hyperlink" Target="https://doi.org/10.1017/S1049096512001035" TargetMode="External"/><Relationship Id="rId27" Type="http://schemas.openxmlformats.org/officeDocument/2006/relationships/hyperlink" Target="https://doi.org/10.2307/466240" TargetMode="External"/><Relationship Id="rId28" Type="http://schemas.openxmlformats.org/officeDocument/2006/relationships/hyperlink" Target="https://doi.org/10.1017/S0003055412000329" TargetMode="External"/><Relationship Id="rId29" Type="http://schemas.openxmlformats.org/officeDocument/2006/relationships/hyperlink" Target="https://press.princeton.edu/books/paperback/9780691120195/why-deliberative-democracy" TargetMode="External"/><Relationship Id="rId30" Type="http://schemas.openxmlformats.org/officeDocument/2006/relationships/hyperlink" Target="https://press.princeton.edu/books/hardcover/9780691181998/open-democracy" TargetMode="External"/><Relationship Id="rId31" Type="http://schemas.openxmlformats.org/officeDocument/2006/relationships/hyperlink" Target="https://doi.org/10.1177/0002764218759576" TargetMode="External"/><Relationship Id="rId32" Type="http://schemas.openxmlformats.org/officeDocument/2006/relationships/hyperlink" Target="https://doi.org/10.1126/science.abe1715" TargetMode="External"/><Relationship Id="rId33" Type="http://schemas.openxmlformats.org/officeDocument/2006/relationships/hyperlink" Target="https://carnegieendowment.org/research/2019/10/how-to-understand-the-global-spread-of-political-polarization" TargetMode="External"/><Relationship Id="rId34" Type="http://schemas.openxmlformats.org/officeDocument/2006/relationships/hyperlink" Target="https://doi.org/10.3389/fpos.2023.1127372" TargetMode="External"/><Relationship Id="rId35" Type="http://schemas.openxmlformats.org/officeDocument/2006/relationships/hyperlink" Target="https://doi.org/10.1126/sciadv.abn5515" TargetMode="External"/><Relationship Id="rId36" Type="http://schemas.openxmlformats.org/officeDocument/2006/relationships/hyperlink" Target="https://doi.org/10.1086/729931" TargetMode="External"/><Relationship Id="rId37" Type="http://schemas.openxmlformats.org/officeDocument/2006/relationships/hyperlink" Target="https://doi.org/10.1111/1475-6765.12523" TargetMode="External"/><Relationship Id="rId38" Type="http://schemas.openxmlformats.org/officeDocument/2006/relationships/hyperlink" Target="https://openknowledge.worldbank.org/handle/10986/28337" TargetMode="External"/><Relationship Id="rId39" Type="http://schemas.openxmlformats.org/officeDocument/2006/relationships/hyperlink" Target="https://doi.org/10.1787/9a20554b-en" TargetMode="External"/><Relationship Id="rId40" Type="http://schemas.openxmlformats.org/officeDocument/2006/relationships/hyperlink" Target="https://doi.org/10.1787/0efd0bcd-en" TargetMode="External"/><Relationship Id="rId41" Type="http://schemas.openxmlformats.org/officeDocument/2006/relationships/hyperlink" Target="https://citizensassembly.ie/about/" TargetMode="External"/><Relationship Id="rId42" Type="http://schemas.openxmlformats.org/officeDocument/2006/relationships/hyperlink" Target="https://www.cornellpress.cornell.edu/book/9781501749322/reimagining-democracy/" TargetMode="External"/><Relationship Id="rId43" Type="http://schemas.openxmlformats.org/officeDocument/2006/relationships/hyperlink" Target="https://www.aboutswitzerland.eda.admin.ch/en/political-system" TargetMode="External"/><Relationship Id="rId44" Type="http://schemas.openxmlformats.org/officeDocument/2006/relationships/hyperlink" Target="https://www.gov.uk/government/publications/the-belfast-agreement" TargetMode="External"/><Relationship Id="rId45" Type="http://schemas.openxmlformats.org/officeDocument/2006/relationships/hyperlink" Target="https://education.niassembly.gov.uk/post_16/snapshots_of_devolution/power_sharing" TargetMode="External"/><Relationship Id="rId46" Type="http://schemas.openxmlformats.org/officeDocument/2006/relationships/hyperlink" Target="https://sabctrc.saha.org.za/glossary/constitution_making_process.htm" TargetMode="External"/><Relationship Id="rId47" Type="http://schemas.openxmlformats.org/officeDocument/2006/relationships/hyperlink" Target="https://www.nobelprize.org/prizes/peace/2015/tndq/facts/" TargetMode="External"/><Relationship Id="rId48" Type="http://schemas.openxmlformats.org/officeDocument/2006/relationships/hyperlink" Target="https://info.vtaiwan.tw/" TargetMode="External"/><Relationship Id="rId49" Type="http://schemas.openxmlformats.org/officeDocument/2006/relationships/hyperlink" Target="https://www.nytimes.com/2019/10/15/opinion/taiwan-digital-democracy.html" TargetMode="External"/><Relationship Id="rId50" Type="http://schemas.openxmlformats.org/officeDocument/2006/relationships/hyperlink" Target="https://www.oecd-nea.org/jcms/pl_59528/stakeholder-involvement-in-nuclear-decision-making-in-korea" TargetMode="External"/><Relationship Id="rId51" Type="http://schemas.openxmlformats.org/officeDocument/2006/relationships/hyperlink" Target="https://documents.worldbank.org/en/publication/documents-reports/documentdetail/413001468771650480/local-democracy-and-development-the-kerala-peoples-campaign-for-decentralized-planning" TargetMode="External"/><Relationship Id="rId52" Type="http://schemas.openxmlformats.org/officeDocument/2006/relationships/hyperlink" Target="https://openknowledge.worldbank.org/handle/10986/6642" TargetMode="External"/><Relationship Id="rId53" Type="http://schemas.openxmlformats.org/officeDocument/2006/relationships/hyperlink" Target="https://constitutionnet.org/news/two-drafts-three-referendums-and-four-lessons-chiles-constitutional-process" TargetMode="External"/><Relationship Id="rId54" Type="http://schemas.openxmlformats.org/officeDocument/2006/relationships/hyperlink" Target="https://hudoc.echr.coe.int/eng?i=001-96491" TargetMode="External"/><Relationship Id="rId55" Type="http://schemas.openxmlformats.org/officeDocument/2006/relationships/hyperlink" Target="https://global.oup.com/academic/product/when-the-people-speak-9780199604432" TargetMode="External"/><Relationship Id="rId56" Type="http://schemas.openxmlformats.org/officeDocument/2006/relationships/hyperlink" Target="https://www.parliamentaryindicat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Democratic Centre as a Shared Civic Space</dc:title>
  <dc:subject>Inclusive deliberation, consensus seeking and democratic legitimacy</dc:subject>
  <dc:creator>Alex Anderson</dc:creator>
  <cp:keywords>democracy, political centre, deliberation, consensus, participation, inclusion, conflict prevention</cp:keywords>
  <dc:description>Research synthesis and open institutional design proposal</dc:description>
  <cp:lastModifiedBy/>
  <cp:revision>1</cp:revision>
  <dcterms:created xsi:type="dcterms:W3CDTF">2013-12-23T23:15:00Z</dcterms:created>
  <dcterms:modified xsi:type="dcterms:W3CDTF">2013-12-23T23:15:00Z</dcterms:modified>
  <cp:category/>
</cp:coreProperties>
</file>