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after="240"/>
        <w:jc w:val="center"/>
        <w:widowControl w:val="1"/>
      </w:pPr>
      <w:r>
        <w:rPr>
          <w:rFonts w:ascii="Calibri" w:hAnsi="Calibri"/>
          <w:b/>
          <w:i w:val="0"/>
          <w:color w:val="7A5A00"/>
          <w:sz w:val="20"/>
        </w:rPr>
        <w:t>CONCEPTUAL HYPOTHESIS AND TARGETED NARRATIVE REVIEW</w:t>
      </w:r>
    </w:p>
    <w:p>
      <w:pPr>
        <w:spacing w:after="280"/>
        <w:jc w:val="center"/>
        <w:widowControl w:val="1"/>
      </w:pPr>
      <w:r>
        <w:rPr>
          <w:rFonts w:ascii="Calibri" w:hAnsi="Calibri"/>
          <w:b/>
          <w:i w:val="0"/>
          <w:color w:val="1F4D78"/>
          <w:sz w:val="52"/>
        </w:rPr>
        <w:t>Capacity–Uncertainty Regulation Loop (CURL)</w:t>
      </w:r>
    </w:p>
    <w:p>
      <w:pPr>
        <w:spacing w:after="600"/>
        <w:jc w:val="center"/>
        <w:widowControl w:val="1"/>
      </w:pPr>
      <w:r>
        <w:rPr>
          <w:rFonts w:ascii="Calibri" w:hAnsi="Calibri"/>
          <w:b w:val="0"/>
          <w:i w:val="0"/>
          <w:color w:val="5A626C"/>
          <w:sz w:val="28"/>
        </w:rPr>
        <w:t>A person-centred biopsychosocial framework for repetitive checking and OCD-like phenomena under cognitive, physiological and environmental load</w:t>
      </w:r>
    </w:p>
    <w:p>
      <w:pPr>
        <w:spacing w:after="120"/>
        <w:jc w:val="center"/>
        <w:widowControl w:val="1"/>
      </w:pPr>
      <w:r>
        <w:rPr>
          <w:rFonts w:ascii="Calibri" w:hAnsi="Calibri"/>
          <w:b/>
          <w:i w:val="0"/>
          <w:color w:val="1F4D78"/>
          <w:sz w:val="24"/>
        </w:rPr>
        <w:t>AL</w:t>
      </w:r>
    </w:p>
    <w:p>
      <w:pPr>
        <w:spacing w:after="360"/>
        <w:jc w:val="center"/>
        <w:widowControl w:val="1"/>
      </w:pPr>
      <w:r>
        <w:rPr>
          <w:rFonts w:ascii="Calibri" w:hAnsi="Calibri"/>
          <w:b w:val="0"/>
          <w:i/>
          <w:color w:val="5A626C"/>
          <w:sz w:val="21"/>
        </w:rPr>
        <w:t>Independent researcher and lived-experience contributor</w:t>
      </w:r>
    </w:p>
    <w:p>
      <w:pPr>
        <w:spacing w:after="60"/>
        <w:jc w:val="center"/>
        <w:widowControl w:val="1"/>
      </w:pPr>
      <w:r>
        <w:rPr>
          <w:rFonts w:ascii="Calibri" w:hAnsi="Calibri"/>
          <w:b/>
          <w:i w:val="0"/>
          <w:color w:val="19222E"/>
          <w:sz w:val="20"/>
        </w:rPr>
        <w:t xml:space="preserve">Manuscript type: </w:t>
      </w:r>
      <w:r>
        <w:rPr>
          <w:rFonts w:ascii="Calibri" w:hAnsi="Calibri"/>
          <w:b w:val="0"/>
          <w:i w:val="0"/>
          <w:color w:val="19222E"/>
          <w:sz w:val="20"/>
        </w:rPr>
        <w:t>Conceptual hypothesis paper with targeted narrative review</w:t>
      </w:r>
    </w:p>
    <w:p>
      <w:pPr>
        <w:spacing w:after="60"/>
        <w:jc w:val="center"/>
        <w:widowControl w:val="1"/>
      </w:pPr>
      <w:r>
        <w:rPr>
          <w:rFonts w:ascii="Calibri" w:hAnsi="Calibri"/>
          <w:b/>
          <w:i w:val="0"/>
          <w:color w:val="19222E"/>
          <w:sz w:val="20"/>
        </w:rPr>
        <w:t xml:space="preserve">Reference style: </w:t>
      </w:r>
      <w:r>
        <w:rPr>
          <w:rFonts w:ascii="Calibri" w:hAnsi="Calibri"/>
          <w:b w:val="0"/>
          <w:i w:val="0"/>
          <w:color w:val="19222E"/>
          <w:sz w:val="20"/>
        </w:rPr>
        <w:t>APA 7th edition with DOI and stable source links</w:t>
      </w:r>
    </w:p>
    <w:p>
      <w:pPr>
        <w:spacing w:after="60"/>
        <w:jc w:val="center"/>
        <w:widowControl w:val="1"/>
      </w:pPr>
      <w:r>
        <w:rPr>
          <w:rFonts w:ascii="Calibri" w:hAnsi="Calibri"/>
          <w:b/>
          <w:i w:val="0"/>
          <w:color w:val="19222E"/>
          <w:sz w:val="20"/>
        </w:rPr>
        <w:t xml:space="preserve">Draft date: </w:t>
      </w:r>
      <w:r>
        <w:rPr>
          <w:rFonts w:ascii="Calibri" w:hAnsi="Calibri"/>
          <w:b w:val="0"/>
          <w:i w:val="0"/>
          <w:color w:val="19222E"/>
          <w:sz w:val="20"/>
        </w:rPr>
        <w:t>6 September 2026</w:t>
      </w:r>
    </w:p>
    <w:p>
      <w:pPr>
        <w:spacing w:after="60"/>
        <w:jc w:val="center"/>
        <w:widowControl w:val="1"/>
      </w:pPr>
      <w:r>
        <w:rPr>
          <w:rFonts w:ascii="Calibri" w:hAnsi="Calibri"/>
          <w:b/>
          <w:i w:val="0"/>
          <w:color w:val="19222E"/>
          <w:sz w:val="20"/>
        </w:rPr>
        <w:t xml:space="preserve">Status: </w:t>
      </w:r>
      <w:r>
        <w:rPr>
          <w:rFonts w:ascii="Calibri" w:hAnsi="Calibri"/>
          <w:b w:val="0"/>
          <w:i w:val="0"/>
          <w:color w:val="19222E"/>
          <w:sz w:val="20"/>
        </w:rPr>
        <w:t>Research draft; not peer reviewed and not a clinical diagnostic instrument</w:t>
      </w:r>
    </w:p>
    <w:p>
      <w:pPr>
        <w:spacing w:before="800"/>
        <w:jc w:val="center"/>
        <w:widowControl w:val="1"/>
      </w:pPr>
      <w:r>
        <w:rPr>
          <w:rFonts w:ascii="Calibri" w:hAnsi="Calibri"/>
          <w:b/>
          <w:i w:val="0"/>
          <w:color w:val="1F4D78"/>
          <w:sz w:val="20"/>
        </w:rPr>
        <w:t>Origin of the framework</w:t>
      </w:r>
    </w:p>
    <w:p>
      <w:pPr>
        <w:spacing w:after="0"/>
        <w:jc w:val="center"/>
        <w:widowControl w:val="1"/>
      </w:pPr>
      <w:r>
        <w:rPr>
          <w:rFonts w:ascii="Calibri" w:hAnsi="Calibri"/>
          <w:b w:val="0"/>
          <w:i/>
          <w:color w:val="5A626C"/>
          <w:sz w:val="19"/>
        </w:rPr>
        <w:t>Developed from a structured dialogue about pain, memory difficulty, uncertainty, environmental stress and the function of repetitive behaviour. The dialogue supplies the questions and conceptual frame; it is not treated as clinical proof.</w:t>
      </w:r>
    </w:p>
    <w:p>
      <w:pPr>
        <w:widowControl w:val="1"/>
      </w:pPr>
      <w:r>
        <w:br w:type="page"/>
      </w:r>
    </w:p>
    <w:p>
      <w:pPr>
        <w:pStyle w:val="Heading1"/>
        <w:widowControl w:val="1"/>
      </w:pPr>
      <w:r>
        <w:t>Plain-language summary</w:t>
      </w:r>
    </w:p>
    <w:p>
      <w:pPr>
        <w:shd w:fill="F4F6F9"/>
        <w:pBdr>
          <w:top w:val="single" w:sz="5" w:color="D4DCE5" w:space="5"/>
          <w:left w:val="single" w:sz="5" w:color="D4DCE5" w:space="5"/>
          <w:bottom w:val="single" w:sz="5" w:color="D4DCE5" w:space="5"/>
          <w:right w:val="single" w:sz="5" w:color="D4DCE5" w:space="5"/>
        </w:pBdr>
        <w:spacing w:before="80" w:after="160" w:line="300" w:lineRule="auto"/>
        <w:ind w:left="115" w:right="115"/>
        <w:widowControl w:val="1"/>
      </w:pPr>
      <w:r>
        <w:rPr>
          <w:rFonts w:ascii="Calibri" w:hAnsi="Calibri"/>
          <w:b/>
          <w:i w:val="0"/>
          <w:color w:val="1F4D78"/>
          <w:sz w:val="22"/>
        </w:rPr>
        <w:t xml:space="preserve">Memory anchor: </w:t>
      </w:r>
      <w:r>
        <w:rPr>
          <w:rFonts w:ascii="Calibri" w:hAnsi="Calibri"/>
          <w:b w:val="0"/>
          <w:i w:val="0"/>
          <w:color w:val="19222E"/>
          <w:sz w:val="22"/>
        </w:rPr>
        <w:t>CURL means Capacity–Uncertainty Regulation Loop. When a person's available capacity is reduced or becomes difficult to trust, uncertainty rises. Repetition may then be used to regain safety, orientation or continuity. Short relief can make the response familiar, while repeated checking may further consume capacity or reduce confidence in memory.</w:t>
      </w:r>
    </w:p>
    <w:p>
      <w:pPr>
        <w:spacing w:after="160" w:line="320" w:lineRule="auto"/>
        <w:widowControl w:val="1"/>
      </w:pPr>
      <w:r>
        <w:rPr>
          <w:rFonts w:ascii="Calibri" w:hAnsi="Calibri"/>
          <w:b w:val="0"/>
          <w:i w:val="0"/>
          <w:color w:val="19222E"/>
          <w:sz w:val="22"/>
        </w:rPr>
        <w:t>This paper asks whether some behaviours described as obsessive or compulsive can sometimes be understood more precisely as attempts to regulate uncertainty while the person is overloaded. Possible sources of reduced capacity include pain, sleep disruption, emotional stress, medication effects, illness, nutritional deficiency, sensory load and environmental exposure. These routes are alternatives and interactions; none is assumed to apply to every person.</w:t>
      </w:r>
    </w:p>
    <w:p>
      <w:pPr>
        <w:spacing w:after="160" w:line="320" w:lineRule="auto"/>
        <w:widowControl w:val="1"/>
      </w:pPr>
      <w:r>
        <w:rPr>
          <w:rFonts w:ascii="Calibri" w:hAnsi="Calibri"/>
          <w:b w:val="0"/>
          <w:i w:val="0"/>
          <w:color w:val="19222E"/>
          <w:sz w:val="22"/>
        </w:rPr>
        <w:t>The proposal does not claim that all obsessive-compulsive disorder (OCD) is memory loss, that all repetitive behaviour has a medical cause, or that established treatments should be abandoned. It argues for a sequence of inquiry: describe the function of the loop; measure memory and cognition rather than assuming their state; review physical, neurological, pharmacological and environmental contributors; and then select care proportionate to the evidence.</w:t>
      </w:r>
    </w:p>
    <w:p>
      <w:pPr>
        <w:pStyle w:val="Heading1"/>
        <w:widowControl w:val="1"/>
      </w:pPr>
      <w:r>
        <w:t>Abstract</w:t>
      </w:r>
    </w:p>
    <w:p>
      <w:pPr>
        <w:spacing w:after="160" w:line="320" w:lineRule="auto"/>
        <w:widowControl w:val="1"/>
      </w:pPr>
      <w:r>
        <w:rPr>
          <w:rFonts w:ascii="Calibri" w:hAnsi="Calibri"/>
          <w:b/>
          <w:i w:val="0"/>
          <w:color w:val="19222E"/>
          <w:sz w:val="22"/>
        </w:rPr>
        <w:t xml:space="preserve">Background: </w:t>
      </w:r>
      <w:r>
        <w:rPr>
          <w:rFonts w:ascii="Calibri" w:hAnsi="Calibri"/>
          <w:b w:val="0"/>
          <w:i w:val="0"/>
          <w:color w:val="19222E"/>
          <w:sz w:val="22"/>
        </w:rPr>
        <w:t>Obsessive-compulsive disorder is clinically defined through obsessions, compulsions, distress and impairment, yet similar repetitive phenomena may emerge through heterogeneous biological, psychological, social and environmental pathways. Existing terminology can identify a syndrome without necessarily explaining why a particular person's loop began or persists. Pain, stress, sleep loss and some medicines can affect cognition, while repeated checking can reduce confidence in memory even when accuracy changes little.</w:t>
      </w:r>
    </w:p>
    <w:p>
      <w:pPr>
        <w:spacing w:after="160" w:line="320" w:lineRule="auto"/>
        <w:widowControl w:val="1"/>
      </w:pPr>
      <w:r>
        <w:rPr>
          <w:rFonts w:ascii="Calibri" w:hAnsi="Calibri"/>
          <w:b/>
          <w:i w:val="0"/>
          <w:color w:val="19222E"/>
          <w:sz w:val="22"/>
        </w:rPr>
        <w:t xml:space="preserve">Objective: </w:t>
      </w:r>
      <w:r>
        <w:rPr>
          <w:rFonts w:ascii="Calibri" w:hAnsi="Calibri"/>
          <w:b w:val="0"/>
          <w:i w:val="0"/>
          <w:color w:val="19222E"/>
          <w:sz w:val="22"/>
        </w:rPr>
        <w:t>To develop a non-moralising, testable functional framework - the Capacity–Uncertainty Regulation Loop (CURL) - that connects reduced or mistrusted capacity with uncertainty-driven repetitive regulation, while preserving established OCD diagnosis and treatment.</w:t>
      </w:r>
    </w:p>
    <w:p>
      <w:pPr>
        <w:spacing w:after="160" w:line="320" w:lineRule="auto"/>
        <w:widowControl w:val="1"/>
      </w:pPr>
      <w:r>
        <w:rPr>
          <w:rFonts w:ascii="Calibri" w:hAnsi="Calibri"/>
          <w:b/>
          <w:i w:val="0"/>
          <w:color w:val="19222E"/>
          <w:sz w:val="22"/>
        </w:rPr>
        <w:t xml:space="preserve">Methods: </w:t>
      </w:r>
      <w:r>
        <w:rPr>
          <w:rFonts w:ascii="Calibri" w:hAnsi="Calibri"/>
          <w:b w:val="0"/>
          <w:i w:val="0"/>
          <w:color w:val="19222E"/>
          <w:sz w:val="22"/>
        </w:rPr>
        <w:t>Themes were derived from a structured lived-experience dialogue conducted on 6 September 2026. A targeted narrative review then prioritised peer-reviewed systematic reviews, meta-analyses, controlled studies and clinically oriented reviews concerning biopsychosocial medicine, pain and cognition, stress and working memory, sleep and environmental noise, air pollution, nutrition, pregabalin, memory confidence, uncertainty, habit and secondary obsessive-compulsive syndromes. This was not a preregistered systematic review.</w:t>
      </w:r>
    </w:p>
    <w:p>
      <w:pPr>
        <w:spacing w:after="160" w:line="320" w:lineRule="auto"/>
        <w:widowControl w:val="1"/>
      </w:pPr>
      <w:r>
        <w:rPr>
          <w:rFonts w:ascii="Calibri" w:hAnsi="Calibri"/>
          <w:b/>
          <w:i w:val="0"/>
          <w:color w:val="19222E"/>
          <w:sz w:val="22"/>
        </w:rPr>
        <w:t xml:space="preserve">Synthesis: </w:t>
      </w:r>
      <w:r>
        <w:rPr>
          <w:rFonts w:ascii="Calibri" w:hAnsi="Calibri"/>
          <w:b w:val="0"/>
          <w:i w:val="0"/>
          <w:color w:val="19222E"/>
          <w:sz w:val="22"/>
        </w:rPr>
        <w:t>Evidence supports reciprocal interactions among pain, emotion and cognition; associations between anxiety and reduced working-memory capacity; sleep-related emotional dysregulation; medication-related cognitive effects; and a robust experimental relationship between repeated checking and reduced memory confidence. OCD research also implicates uncertainty, evidence accumulation and habit. Published secondary obsessive-compulsive syndromes demonstrate that brain lesions, head trauma, inflammatory or autoimmune disease, seizures, infection, neurodegeneration and metabolic disorders can sometimes produce OCD-like symptoms. Evidence concerning environmental pollutants and cognition is associative and heterogeneous, and it does not establish an individual's exposure or cause.</w:t>
      </w:r>
    </w:p>
    <w:p>
      <w:pPr>
        <w:spacing w:after="160" w:line="320" w:lineRule="auto"/>
        <w:widowControl w:val="1"/>
      </w:pPr>
      <w:r>
        <w:rPr>
          <w:rFonts w:ascii="Calibri" w:hAnsi="Calibri"/>
          <w:b/>
          <w:i w:val="0"/>
          <w:color w:val="19222E"/>
          <w:sz w:val="22"/>
        </w:rPr>
        <w:t xml:space="preserve">Conclusion: </w:t>
      </w:r>
      <w:r>
        <w:rPr>
          <w:rFonts w:ascii="Calibri" w:hAnsi="Calibri"/>
          <w:b w:val="0"/>
          <w:i w:val="0"/>
          <w:color w:val="19222E"/>
          <w:sz w:val="22"/>
        </w:rPr>
        <w:t>CURL is a provisional process model, not a diagnosis. It reframes some repetition as an attempted protective regulation of uncertainty under constrained capacity. Its value depends on prospective testing, comparison with existing OCD models, and safeguards against both medical over-investigation and premature psychologisation.</w:t>
      </w:r>
    </w:p>
    <w:p>
      <w:pPr>
        <w:spacing w:after="160" w:line="320" w:lineRule="auto"/>
        <w:widowControl w:val="1"/>
      </w:pPr>
      <w:r>
        <w:rPr>
          <w:rFonts w:ascii="Calibri" w:hAnsi="Calibri"/>
          <w:b w:val="0"/>
          <w:i/>
          <w:color w:val="19222E"/>
          <w:sz w:val="22"/>
        </w:rPr>
        <w:t>Keywords: obsessive-compulsive symptoms; checking; memory confidence; uncertainty; chronic pain; stress; pregabalin; environmental load; biopsychosocial model; secondary OCD; patient-centred care.</w:t>
      </w:r>
    </w:p>
    <w:p>
      <w:pPr>
        <w:pStyle w:val="Heading1"/>
        <w:widowControl w:val="1"/>
      </w:pPr>
      <w:r>
        <w:t>1. Introduction</w:t>
      </w:r>
    </w:p>
    <w:p>
      <w:pPr>
        <w:spacing w:after="160" w:line="320" w:lineRule="auto"/>
        <w:widowControl w:val="1"/>
      </w:pPr>
      <w:r>
        <w:rPr>
          <w:rFonts w:ascii="Calibri" w:hAnsi="Calibri"/>
          <w:b w:val="0"/>
          <w:i w:val="0"/>
          <w:color w:val="19222E"/>
          <w:sz w:val="22"/>
        </w:rPr>
        <w:t>A strict separation between physical illness and psychological experience is difficult to sustain scientifically. Engel's biopsychosocial critique argued that a narrowly biomedical model omits behavioural, psychological and social dimensions of illness (Engel, 1977). Chronic-pain research subsequently placed biological processes, cognition, emotion and social context within one interacting system rather than competing explanations (Gatchel et al., 2007; Bushnell et al., 2013). The implication is not that symptoms are 'all psychological'. It is that perception, memory, distress, autonomic regulation, immune activity, behaviour and environment can influence one another through embodied pathways.</w:t>
      </w:r>
    </w:p>
    <w:p>
      <w:pPr>
        <w:spacing w:after="160" w:line="320" w:lineRule="auto"/>
        <w:widowControl w:val="1"/>
      </w:pPr>
      <w:r>
        <w:rPr>
          <w:rFonts w:ascii="Calibri" w:hAnsi="Calibri"/>
          <w:b w:val="0"/>
          <w:i w:val="0"/>
          <w:color w:val="19222E"/>
          <w:sz w:val="22"/>
        </w:rPr>
        <w:t>The dialogue framing this paper began with an immediate problem: pain and noticeable memory difficulty occurring in the context of pregabalin exposure and ongoing physical and environmental stress. It then raised a broader question. Could some repetitive checking, reassurance seeking, rumination or ordering be a response to lost or mistrusted cognitive continuity rather than evidence of a defective character or a unitary psychological cause? The discussion also questioned language that can sound accusatory: 'obsessive' may imply personal fixation, 'compulsive' may appear to blame the action, and 'disorder' can be heard as locating failure solely inside the person. These reactions to terminology do not invalidate the established diagnosis, but they identify a communication and explanatory gap.</w:t>
      </w:r>
    </w:p>
    <w:p>
      <w:pPr>
        <w:spacing w:after="160" w:line="320" w:lineRule="auto"/>
        <w:widowControl w:val="1"/>
      </w:pPr>
      <w:r>
        <w:rPr>
          <w:rFonts w:ascii="Calibri" w:hAnsi="Calibri"/>
          <w:b w:val="0"/>
          <w:i w:val="0"/>
          <w:color w:val="19222E"/>
          <w:sz w:val="22"/>
        </w:rPr>
        <w:t>The proposal is therefore functional rather than abolitionist. CURL does not rename every case of OCD. It asks what capacity is unavailable or distrusted, what uncertainty follows, what the repeated act regulates, what relief it produces, and what feedback maintains the loop. This approach is compatible with equifinality: different pathways can produce similar observable outcomes, while similar exposures can produce different outcomes across people (Cicchetti &amp; Rogosch, 1996).</w:t>
      </w:r>
    </w:p>
    <w:p>
      <w:pPr>
        <w:pStyle w:val="Heading1"/>
        <w:widowControl w:val="1"/>
      </w:pPr>
      <w:r>
        <w:t>2. Aim and scope</w:t>
      </w:r>
    </w:p>
    <w:p>
      <w:pPr>
        <w:spacing w:after="160" w:line="320" w:lineRule="auto"/>
        <w:widowControl w:val="1"/>
      </w:pPr>
      <w:r>
        <w:rPr>
          <w:rFonts w:ascii="Calibri" w:hAnsi="Calibri"/>
          <w:b w:val="0"/>
          <w:i w:val="0"/>
          <w:color w:val="19222E"/>
          <w:sz w:val="22"/>
        </w:rPr>
        <w:t>The primary aim is to articulate CURL as a clinically respectful and empirically testable process model. The secondary aim is to map the model onto existing evidence without overstating causation. The paper addresses five questions:</w:t>
      </w:r>
    </w:p>
    <w:p>
      <w:pPr>
        <w:pStyle w:val="ListBullet"/>
        <w:spacing w:after="80" w:line="290" w:lineRule="auto"/>
        <w:ind w:left="540" w:hanging="279"/>
        <w:widowControl w:val="1"/>
      </w:pPr>
      <w:r>
        <w:rPr>
          <w:rFonts w:ascii="Calibri" w:hAnsi="Calibri"/>
          <w:b w:val="0"/>
          <w:i w:val="0"/>
          <w:color w:val="19222E"/>
          <w:sz w:val="22"/>
        </w:rPr>
        <w:t xml:space="preserve"> Can pain, stress, sleep disruption, medication or environmental burden reduce effective cognitive capacity?</w:t>
      </w:r>
    </w:p>
    <w:p>
      <w:pPr>
        <w:pStyle w:val="ListBullet"/>
        <w:spacing w:after="80" w:line="290" w:lineRule="auto"/>
        <w:ind w:left="540" w:hanging="279"/>
        <w:widowControl w:val="1"/>
      </w:pPr>
      <w:r>
        <w:rPr>
          <w:rFonts w:ascii="Calibri" w:hAnsi="Calibri"/>
          <w:b w:val="0"/>
          <w:i w:val="0"/>
          <w:color w:val="19222E"/>
          <w:sz w:val="22"/>
        </w:rPr>
        <w:t xml:space="preserve"> Can uncertainty and memory distrust motivate checking or repetition?</w:t>
      </w:r>
    </w:p>
    <w:p>
      <w:pPr>
        <w:pStyle w:val="ListBullet"/>
        <w:spacing w:after="80" w:line="290" w:lineRule="auto"/>
        <w:ind w:left="540" w:hanging="279"/>
        <w:widowControl w:val="1"/>
      </w:pPr>
      <w:r>
        <w:rPr>
          <w:rFonts w:ascii="Calibri" w:hAnsi="Calibri"/>
          <w:b w:val="0"/>
          <w:i w:val="0"/>
          <w:color w:val="19222E"/>
          <w:sz w:val="22"/>
        </w:rPr>
        <w:t xml:space="preserve"> Can repetition provide short-term regulation while worsening confidence or consuming capacity?</w:t>
      </w:r>
    </w:p>
    <w:p>
      <w:pPr>
        <w:pStyle w:val="ListBullet"/>
        <w:spacing w:after="80" w:line="290" w:lineRule="auto"/>
        <w:ind w:left="540" w:hanging="279"/>
        <w:widowControl w:val="1"/>
      </w:pPr>
      <w:r>
        <w:rPr>
          <w:rFonts w:ascii="Calibri" w:hAnsi="Calibri"/>
          <w:b w:val="0"/>
          <w:i w:val="0"/>
          <w:color w:val="19222E"/>
          <w:sz w:val="22"/>
        </w:rPr>
        <w:t xml:space="preserve"> Can OCD-like symptoms sometimes arise secondary to neurological, inflammatory, metabolic or other medical conditions?</w:t>
      </w:r>
    </w:p>
    <w:p>
      <w:pPr>
        <w:pStyle w:val="ListBullet"/>
        <w:spacing w:after="80" w:line="290" w:lineRule="auto"/>
        <w:ind w:left="540" w:hanging="279"/>
        <w:widowControl w:val="1"/>
      </w:pPr>
      <w:r>
        <w:rPr>
          <w:rFonts w:ascii="Calibri" w:hAnsi="Calibri"/>
          <w:b w:val="0"/>
          <w:i w:val="0"/>
          <w:color w:val="19222E"/>
          <w:sz w:val="22"/>
        </w:rPr>
        <w:t xml:space="preserve"> What observations would distinguish CURL from, add to, or fail against established explanations?</w:t>
      </w:r>
    </w:p>
    <w:p>
      <w:pPr>
        <w:spacing w:after="160" w:line="320" w:lineRule="auto"/>
        <w:widowControl w:val="1"/>
      </w:pPr>
      <w:r>
        <w:rPr>
          <w:rFonts w:ascii="Calibri" w:hAnsi="Calibri"/>
          <w:b w:val="0"/>
          <w:i w:val="0"/>
          <w:color w:val="19222E"/>
          <w:sz w:val="22"/>
        </w:rPr>
        <w:t>The scope is deliberately modest. No claim is made that CURL has diagnostic validity, that the author's reported symptoms have a particular cause, or that suspected environmental exposure occurred by incident, accident or intent. Those questions require individual clinical assessment and, for exposure claims, independently verifiable environmental and toxicological evidence.</w:t>
      </w:r>
    </w:p>
    <w:p>
      <w:pPr>
        <w:pStyle w:val="Heading1"/>
        <w:widowControl w:val="1"/>
      </w:pPr>
      <w:r>
        <w:t>3. Method</w:t>
      </w:r>
    </w:p>
    <w:p>
      <w:pPr>
        <w:pStyle w:val="Heading2"/>
        <w:widowControl w:val="1"/>
      </w:pPr>
      <w:r>
        <w:t>3.1 Concept development</w:t>
      </w:r>
    </w:p>
    <w:p>
      <w:pPr>
        <w:spacing w:after="160" w:line="320" w:lineRule="auto"/>
        <w:widowControl w:val="1"/>
      </w:pPr>
      <w:r>
        <w:rPr>
          <w:rFonts w:ascii="Calibri" w:hAnsi="Calibri"/>
          <w:b w:val="0"/>
          <w:i w:val="0"/>
          <w:color w:val="19222E"/>
          <w:sz w:val="22"/>
        </w:rPr>
        <w:t>The conceptual frame was generated through a structured dialogue in which lived experience was used to identify candidate relationships: pain with distress; distress with physiological strain; reduced memory or confidence with uncertainty; uncertainty with repetition; and environmental or treatment-related load with reduced capacity. The dialogue also supplied an information-processing analogy: systems under constrained resources may loop, stall or repeat familiar outputs. The analogy aided model formation but is not evidence that biological organisms and artificial systems have equivalent mechanisms or subjective experience.</w:t>
      </w:r>
    </w:p>
    <w:p>
      <w:pPr>
        <w:pStyle w:val="Heading2"/>
        <w:widowControl w:val="1"/>
      </w:pPr>
      <w:r>
        <w:t>3.2 Targeted literature approach</w:t>
      </w:r>
    </w:p>
    <w:p>
      <w:pPr>
        <w:spacing w:after="160" w:line="320" w:lineRule="auto"/>
        <w:widowControl w:val="1"/>
      </w:pPr>
      <w:r>
        <w:rPr>
          <w:rFonts w:ascii="Calibri" w:hAnsi="Calibri"/>
          <w:b w:val="0"/>
          <w:i w:val="0"/>
          <w:color w:val="19222E"/>
          <w:sz w:val="22"/>
        </w:rPr>
        <w:t>A targeted narrative search prioritised PubMed-indexed papers and publisher records. Search concepts included biopsychosocial medicine, allostasis, chronic pain and cognition, anxiety and working memory, sleep loss and emotion, environmental noise and cognition, air pollution and cognition, nutrition and cognition, pregabalin and cognition, OCD and memory confidence, repeated checking, uncertainty, evidence accumulation, habit, autoimmune OCD and secondary obsessive-compulsive syndromes. Reviews and meta-analyses were prioritised, supplemented by controlled experiments and clinically important conceptual papers.</w:t>
      </w:r>
    </w:p>
    <w:p>
      <w:pPr>
        <w:spacing w:after="160" w:line="320" w:lineRule="auto"/>
        <w:widowControl w:val="1"/>
      </w:pPr>
      <w:r>
        <w:rPr>
          <w:rFonts w:ascii="Calibri" w:hAnsi="Calibri"/>
          <w:b w:val="0"/>
          <w:i w:val="0"/>
          <w:color w:val="19222E"/>
          <w:sz w:val="22"/>
        </w:rPr>
        <w:t>Because the search was not preregistered, independently duplicated or exhaustive, this manuscript is a hypothesis-generating narrative review rather than a systematic review. The evidence labels below are descriptive judgements based on study design, replication and directness; they are not formal GRADE ratings.</w:t>
      </w:r>
    </w:p>
    <w:p>
      <w:pPr>
        <w:pStyle w:val="Heading1"/>
        <w:widowControl w:val="1"/>
      </w:pPr>
      <w:r>
        <w:t>4. Evidence synthesis</w:t>
      </w:r>
    </w:p>
    <w:tbl>
      <w:tblPr>
        <w:tblW w:type="dxa" w:w="9360"/>
        <w:jc w:val="left"/>
        <w:tblLayout w:type="fixed"/>
        <w:tblLook w:firstColumn="1" w:firstRow="1" w:lastColumn="0" w:lastRow="0" w:noHBand="0" w:noVBand="1" w:val="04A0"/>
        <w:tblInd w:w="120" w:type="dxa"/>
        <w:tblBorders>
          <w:top w:val="single" w:sz="4" w:color="B8C2CC"/>
          <w:left w:val="single" w:sz="4" w:color="B8C2CC"/>
          <w:bottom w:val="single" w:sz="4" w:color="B8C2CC"/>
          <w:right w:val="single" w:sz="4" w:color="B8C2CC"/>
          <w:insideH w:val="single" w:sz="4" w:color="B8C2CC"/>
          <w:insideV w:val="single" w:sz="4" w:color="B8C2CC"/>
        </w:tblBorders>
      </w:tblPr>
      <w:tblGrid>
        <w:gridCol w:w="1900"/>
        <w:gridCol w:w="3630"/>
        <w:gridCol w:w="3830"/>
      </w:tblGrid>
      <w:tr>
        <w:trPr>
          <w:tblHeader w:val="true"/>
        </w:trPr>
        <w:tc>
          <w:tcPr>
            <w:tcW w:type="dxa" w:w="1900"/>
            <w:shd w:fill="E8EEF5"/>
            <w:vAlign w:val="center"/>
            <w:tcMar>
              <w:top w:w="80" w:type="dxa"/>
              <w:start w:w="120" w:type="dxa"/>
              <w:bottom w:w="80" w:type="dxa"/>
              <w:end w:w="120" w:type="dxa"/>
            </w:tcMar>
          </w:tcPr>
          <w:p>
            <w:pPr>
              <w:jc w:val="center"/>
            </w:pPr>
            <w:r>
              <w:rPr>
                <w:rFonts w:ascii="Calibri" w:hAnsi="Calibri"/>
                <w:b/>
                <w:i w:val="0"/>
                <w:color w:val="1F4D78"/>
                <w:sz w:val="18"/>
              </w:rPr>
              <w:t>Evidence domain</w:t>
            </w:r>
          </w:p>
        </w:tc>
        <w:tc>
          <w:tcPr>
            <w:tcW w:type="dxa" w:w="3630"/>
            <w:shd w:fill="E8EEF5"/>
            <w:vAlign w:val="center"/>
            <w:tcMar>
              <w:top w:w="80" w:type="dxa"/>
              <w:start w:w="120" w:type="dxa"/>
              <w:bottom w:w="80" w:type="dxa"/>
              <w:end w:w="120" w:type="dxa"/>
            </w:tcMar>
          </w:tcPr>
          <w:p>
            <w:pPr>
              <w:jc w:val="center"/>
            </w:pPr>
            <w:r>
              <w:rPr>
                <w:rFonts w:ascii="Calibri" w:hAnsi="Calibri"/>
                <w:b/>
                <w:i w:val="0"/>
                <w:color w:val="1F4D78"/>
                <w:sz w:val="18"/>
              </w:rPr>
              <w:t>What the literature supports</w:t>
            </w:r>
          </w:p>
        </w:tc>
        <w:tc>
          <w:tcPr>
            <w:tcW w:type="dxa" w:w="3830"/>
            <w:shd w:fill="E8EEF5"/>
            <w:vAlign w:val="center"/>
            <w:tcMar>
              <w:top w:w="80" w:type="dxa"/>
              <w:start w:w="120" w:type="dxa"/>
              <w:bottom w:w="80" w:type="dxa"/>
              <w:end w:w="120" w:type="dxa"/>
            </w:tcMar>
          </w:tcPr>
          <w:p>
            <w:pPr>
              <w:jc w:val="center"/>
            </w:pPr>
            <w:r>
              <w:rPr>
                <w:rFonts w:ascii="Calibri" w:hAnsi="Calibri"/>
                <w:b/>
                <w:i w:val="0"/>
                <w:color w:val="1F4D78"/>
                <w:sz w:val="18"/>
              </w:rPr>
              <w:t>Relevance to CURL and boundary</w:t>
            </w:r>
          </w:p>
        </w:tc>
      </w:tr>
      <w:tr>
        <w:tc>
          <w:tcPr>
            <w:tcW w:type="dxa" w:w="1900"/>
            <w:vAlign w:val="center"/>
            <w:tcMar>
              <w:top w:w="80" w:type="dxa"/>
              <w:start w:w="120" w:type="dxa"/>
              <w:bottom w:w="80" w:type="dxa"/>
              <w:end w:w="120" w:type="dxa"/>
            </w:tcMar>
          </w:tcPr>
          <w:p>
            <w:pPr>
              <w:spacing w:after="20" w:line="252" w:lineRule="auto"/>
            </w:pPr>
            <w:r>
              <w:rPr>
                <w:rFonts w:ascii="Calibri" w:hAnsi="Calibri"/>
                <w:b/>
                <w:i w:val="0"/>
                <w:color w:val="1F4D78"/>
                <w:sz w:val="17"/>
              </w:rPr>
              <w:t>Pain and cognition</w:t>
            </w:r>
          </w:p>
        </w:tc>
        <w:tc>
          <w:tcPr>
            <w:tcW w:type="dxa" w:w="3630"/>
            <w:vAlign w:val="center"/>
            <w:tcMar>
              <w:top w:w="80" w:type="dxa"/>
              <w:start w:w="120" w:type="dxa"/>
              <w:bottom w:w="80" w:type="dxa"/>
              <w:end w:w="120" w:type="dxa"/>
            </w:tcMar>
          </w:tcPr>
          <w:p>
            <w:pPr>
              <w:spacing w:after="20" w:line="252" w:lineRule="auto"/>
            </w:pPr>
            <w:r>
              <w:rPr>
                <w:rFonts w:ascii="Calibri" w:hAnsi="Calibri"/>
                <w:b w:val="0"/>
                <w:i w:val="0"/>
                <w:color w:val="19222E"/>
                <w:sz w:val="17"/>
              </w:rPr>
              <w:t>Reviews and meta-analyses associate chronic pain with impairment in attention, executive function and some memory domains.</w:t>
            </w:r>
          </w:p>
        </w:tc>
        <w:tc>
          <w:tcPr>
            <w:tcW w:type="dxa" w:w="3830"/>
            <w:vAlign w:val="center"/>
            <w:tcMar>
              <w:top w:w="80" w:type="dxa"/>
              <w:start w:w="120" w:type="dxa"/>
              <w:bottom w:w="80" w:type="dxa"/>
              <w:end w:w="120" w:type="dxa"/>
            </w:tcMar>
          </w:tcPr>
          <w:p>
            <w:pPr>
              <w:spacing w:after="20" w:line="252" w:lineRule="auto"/>
            </w:pPr>
            <w:r>
              <w:rPr>
                <w:rFonts w:ascii="Calibri" w:hAnsi="Calibri"/>
                <w:b w:val="0"/>
                <w:i w:val="0"/>
                <w:color w:val="19222E"/>
                <w:sz w:val="17"/>
              </w:rPr>
              <w:t>Supports pain as a capacity load; does not imply inevitable or permanent impairment.</w:t>
            </w:r>
          </w:p>
        </w:tc>
      </w:tr>
      <w:tr>
        <w:tc>
          <w:tcPr>
            <w:tcW w:type="dxa" w:w="1900"/>
            <w:vAlign w:val="center"/>
            <w:tcMar>
              <w:top w:w="80" w:type="dxa"/>
              <w:start w:w="120" w:type="dxa"/>
              <w:bottom w:w="80" w:type="dxa"/>
              <w:end w:w="120" w:type="dxa"/>
            </w:tcMar>
          </w:tcPr>
          <w:p>
            <w:pPr>
              <w:spacing w:after="20" w:line="252" w:lineRule="auto"/>
            </w:pPr>
            <w:r>
              <w:rPr>
                <w:rFonts w:ascii="Calibri" w:hAnsi="Calibri"/>
                <w:b/>
                <w:i w:val="0"/>
                <w:color w:val="1F4D78"/>
                <w:sz w:val="17"/>
              </w:rPr>
              <w:t>Stress and working memory</w:t>
            </w:r>
          </w:p>
        </w:tc>
        <w:tc>
          <w:tcPr>
            <w:tcW w:type="dxa" w:w="3630"/>
            <w:vAlign w:val="center"/>
            <w:tcMar>
              <w:top w:w="80" w:type="dxa"/>
              <w:start w:w="120" w:type="dxa"/>
              <w:bottom w:w="80" w:type="dxa"/>
              <w:end w:w="120" w:type="dxa"/>
            </w:tcMar>
          </w:tcPr>
          <w:p>
            <w:pPr>
              <w:spacing w:after="20" w:line="252" w:lineRule="auto"/>
            </w:pPr>
            <w:r>
              <w:rPr>
                <w:rFonts w:ascii="Calibri" w:hAnsi="Calibri"/>
                <w:b w:val="0"/>
                <w:i w:val="0"/>
                <w:color w:val="19222E"/>
                <w:sz w:val="17"/>
              </w:rPr>
              <w:t>Meta-analysis links anxiety with poorer working-memory capacity; stress biology can be adaptive acutely and damaging when repeatedly activated.</w:t>
            </w:r>
          </w:p>
        </w:tc>
        <w:tc>
          <w:tcPr>
            <w:tcW w:type="dxa" w:w="3830"/>
            <w:vAlign w:val="center"/>
            <w:tcMar>
              <w:top w:w="80" w:type="dxa"/>
              <w:start w:w="120" w:type="dxa"/>
              <w:bottom w:w="80" w:type="dxa"/>
              <w:end w:w="120" w:type="dxa"/>
            </w:tcMar>
          </w:tcPr>
          <w:p>
            <w:pPr>
              <w:spacing w:after="20" w:line="252" w:lineRule="auto"/>
            </w:pPr>
            <w:r>
              <w:rPr>
                <w:rFonts w:ascii="Calibri" w:hAnsi="Calibri"/>
                <w:b w:val="0"/>
                <w:i w:val="0"/>
                <w:color w:val="19222E"/>
                <w:sz w:val="17"/>
              </w:rPr>
              <w:t>Supports resource competition and allostatic load; individual effects vary.</w:t>
            </w:r>
          </w:p>
        </w:tc>
      </w:tr>
      <w:tr>
        <w:tc>
          <w:tcPr>
            <w:tcW w:type="dxa" w:w="1900"/>
            <w:vAlign w:val="center"/>
            <w:tcMar>
              <w:top w:w="80" w:type="dxa"/>
              <w:start w:w="120" w:type="dxa"/>
              <w:bottom w:w="80" w:type="dxa"/>
              <w:end w:w="120" w:type="dxa"/>
            </w:tcMar>
          </w:tcPr>
          <w:p>
            <w:pPr>
              <w:spacing w:after="20" w:line="252" w:lineRule="auto"/>
            </w:pPr>
            <w:r>
              <w:rPr>
                <w:rFonts w:ascii="Calibri" w:hAnsi="Calibri"/>
                <w:b/>
                <w:i w:val="0"/>
                <w:color w:val="1F4D78"/>
                <w:sz w:val="17"/>
              </w:rPr>
              <w:t>Sleep and noise</w:t>
            </w:r>
          </w:p>
        </w:tc>
        <w:tc>
          <w:tcPr>
            <w:tcW w:type="dxa" w:w="3630"/>
            <w:vAlign w:val="center"/>
            <w:tcMar>
              <w:top w:w="80" w:type="dxa"/>
              <w:start w:w="120" w:type="dxa"/>
              <w:bottom w:w="80" w:type="dxa"/>
              <w:end w:w="120" w:type="dxa"/>
            </w:tcMar>
          </w:tcPr>
          <w:p>
            <w:pPr>
              <w:spacing w:after="20" w:line="252" w:lineRule="auto"/>
            </w:pPr>
            <w:r>
              <w:rPr>
                <w:rFonts w:ascii="Calibri" w:hAnsi="Calibri"/>
                <w:b w:val="0"/>
                <w:i w:val="0"/>
                <w:color w:val="19222E"/>
                <w:sz w:val="17"/>
              </w:rPr>
              <w:t>Experimental sleep loss adversely affects emotion. Environmental noise can disrupt sleep and provoke physiological stress responses.</w:t>
            </w:r>
          </w:p>
        </w:tc>
        <w:tc>
          <w:tcPr>
            <w:tcW w:type="dxa" w:w="3830"/>
            <w:vAlign w:val="center"/>
            <w:tcMar>
              <w:top w:w="80" w:type="dxa"/>
              <w:start w:w="120" w:type="dxa"/>
              <w:bottom w:w="80" w:type="dxa"/>
              <w:end w:w="120" w:type="dxa"/>
            </w:tcMar>
          </w:tcPr>
          <w:p>
            <w:pPr>
              <w:spacing w:after="20" w:line="252" w:lineRule="auto"/>
            </w:pPr>
            <w:r>
              <w:rPr>
                <w:rFonts w:ascii="Calibri" w:hAnsi="Calibri"/>
                <w:b w:val="0"/>
                <w:i w:val="0"/>
                <w:color w:val="19222E"/>
                <w:sz w:val="17"/>
              </w:rPr>
              <w:t>Supports an indirect noise–sleep–capacity route; adult cognition evidence for specific noise sources remains limited.</w:t>
            </w:r>
          </w:p>
        </w:tc>
      </w:tr>
      <w:tr>
        <w:tc>
          <w:tcPr>
            <w:tcW w:type="dxa" w:w="1900"/>
            <w:vAlign w:val="center"/>
            <w:tcMar>
              <w:top w:w="80" w:type="dxa"/>
              <w:start w:w="120" w:type="dxa"/>
              <w:bottom w:w="80" w:type="dxa"/>
              <w:end w:w="120" w:type="dxa"/>
            </w:tcMar>
          </w:tcPr>
          <w:p>
            <w:pPr>
              <w:spacing w:after="20" w:line="252" w:lineRule="auto"/>
            </w:pPr>
            <w:r>
              <w:rPr>
                <w:rFonts w:ascii="Calibri" w:hAnsi="Calibri"/>
                <w:b/>
                <w:i w:val="0"/>
                <w:color w:val="1F4D78"/>
                <w:sz w:val="17"/>
              </w:rPr>
              <w:t>Medication</w:t>
            </w:r>
          </w:p>
        </w:tc>
        <w:tc>
          <w:tcPr>
            <w:tcW w:type="dxa" w:w="3630"/>
            <w:vAlign w:val="center"/>
            <w:tcMar>
              <w:top w:w="80" w:type="dxa"/>
              <w:start w:w="120" w:type="dxa"/>
              <w:bottom w:w="80" w:type="dxa"/>
              <w:end w:w="120" w:type="dxa"/>
            </w:tcMar>
          </w:tcPr>
          <w:p>
            <w:pPr>
              <w:spacing w:after="20" w:line="252" w:lineRule="auto"/>
            </w:pPr>
            <w:r>
              <w:rPr>
                <w:rFonts w:ascii="Calibri" w:hAnsi="Calibri"/>
                <w:b w:val="0"/>
                <w:i w:val="0"/>
                <w:color w:val="19222E"/>
                <w:sz w:val="17"/>
              </w:rPr>
              <w:t>A controlled pregabalin study found mild negative effects on several cognitive measures at the studied regimen.</w:t>
            </w:r>
          </w:p>
        </w:tc>
        <w:tc>
          <w:tcPr>
            <w:tcW w:type="dxa" w:w="3830"/>
            <w:vAlign w:val="center"/>
            <w:tcMar>
              <w:top w:w="80" w:type="dxa"/>
              <w:start w:w="120" w:type="dxa"/>
              <w:bottom w:w="80" w:type="dxa"/>
              <w:end w:w="120" w:type="dxa"/>
            </w:tcMar>
          </w:tcPr>
          <w:p>
            <w:pPr>
              <w:spacing w:after="20" w:line="252" w:lineRule="auto"/>
            </w:pPr>
            <w:r>
              <w:rPr>
                <w:rFonts w:ascii="Calibri" w:hAnsi="Calibri"/>
                <w:b w:val="0"/>
                <w:i w:val="0"/>
                <w:color w:val="19222E"/>
                <w:sz w:val="17"/>
              </w:rPr>
              <w:t>Supports medication review as one possible route; does not prove permanent injury or individual causation.</w:t>
            </w:r>
          </w:p>
        </w:tc>
      </w:tr>
      <w:tr>
        <w:tc>
          <w:tcPr>
            <w:tcW w:type="dxa" w:w="1900"/>
            <w:vAlign w:val="center"/>
            <w:tcMar>
              <w:top w:w="80" w:type="dxa"/>
              <w:start w:w="120" w:type="dxa"/>
              <w:bottom w:w="80" w:type="dxa"/>
              <w:end w:w="120" w:type="dxa"/>
            </w:tcMar>
          </w:tcPr>
          <w:p>
            <w:pPr>
              <w:spacing w:after="20" w:line="252" w:lineRule="auto"/>
            </w:pPr>
            <w:r>
              <w:rPr>
                <w:rFonts w:ascii="Calibri" w:hAnsi="Calibri"/>
                <w:b/>
                <w:i w:val="0"/>
                <w:color w:val="1F4D78"/>
                <w:sz w:val="17"/>
              </w:rPr>
              <w:t>Memory confidence</w:t>
            </w:r>
          </w:p>
        </w:tc>
        <w:tc>
          <w:tcPr>
            <w:tcW w:type="dxa" w:w="3630"/>
            <w:vAlign w:val="center"/>
            <w:tcMar>
              <w:top w:w="80" w:type="dxa"/>
              <w:start w:w="120" w:type="dxa"/>
              <w:bottom w:w="80" w:type="dxa"/>
              <w:end w:w="120" w:type="dxa"/>
            </w:tcMar>
          </w:tcPr>
          <w:p>
            <w:pPr>
              <w:spacing w:after="20" w:line="252" w:lineRule="auto"/>
            </w:pPr>
            <w:r>
              <w:rPr>
                <w:rFonts w:ascii="Calibri" w:hAnsi="Calibri"/>
                <w:b w:val="0"/>
                <w:i w:val="0"/>
                <w:color w:val="19222E"/>
                <w:sz w:val="17"/>
              </w:rPr>
              <w:t>Repeated checking consistently reduces confidence, vividness and detail more than objective accuracy.</w:t>
            </w:r>
          </w:p>
        </w:tc>
        <w:tc>
          <w:tcPr>
            <w:tcW w:type="dxa" w:w="3830"/>
            <w:vAlign w:val="center"/>
            <w:tcMar>
              <w:top w:w="80" w:type="dxa"/>
              <w:start w:w="120" w:type="dxa"/>
              <w:bottom w:w="80" w:type="dxa"/>
              <w:end w:w="120" w:type="dxa"/>
            </w:tcMar>
          </w:tcPr>
          <w:p>
            <w:pPr>
              <w:spacing w:after="20" w:line="252" w:lineRule="auto"/>
            </w:pPr>
            <w:r>
              <w:rPr>
                <w:rFonts w:ascii="Calibri" w:hAnsi="Calibri"/>
                <w:b w:val="0"/>
                <w:i w:val="0"/>
                <w:color w:val="19222E"/>
                <w:sz w:val="17"/>
              </w:rPr>
              <w:t>Directly supports a self-reinforcing uncertainty loop; memory loss and memory distrust must be distinguished.</w:t>
            </w:r>
          </w:p>
        </w:tc>
      </w:tr>
      <w:tr>
        <w:tc>
          <w:tcPr>
            <w:tcW w:type="dxa" w:w="1900"/>
            <w:vAlign w:val="center"/>
            <w:tcMar>
              <w:top w:w="80" w:type="dxa"/>
              <w:start w:w="120" w:type="dxa"/>
              <w:bottom w:w="80" w:type="dxa"/>
              <w:end w:w="120" w:type="dxa"/>
            </w:tcMar>
          </w:tcPr>
          <w:p>
            <w:pPr>
              <w:spacing w:after="20" w:line="252" w:lineRule="auto"/>
            </w:pPr>
            <w:r>
              <w:rPr>
                <w:rFonts w:ascii="Calibri" w:hAnsi="Calibri"/>
                <w:b/>
                <w:i w:val="0"/>
                <w:color w:val="1F4D78"/>
                <w:sz w:val="17"/>
              </w:rPr>
              <w:t>Uncertainty and decisions</w:t>
            </w:r>
          </w:p>
        </w:tc>
        <w:tc>
          <w:tcPr>
            <w:tcW w:type="dxa" w:w="3630"/>
            <w:vAlign w:val="center"/>
            <w:tcMar>
              <w:top w:w="80" w:type="dxa"/>
              <w:start w:w="120" w:type="dxa"/>
              <w:bottom w:w="80" w:type="dxa"/>
              <w:end w:w="120" w:type="dxa"/>
            </w:tcMar>
          </w:tcPr>
          <w:p>
            <w:pPr>
              <w:spacing w:after="20" w:line="252" w:lineRule="auto"/>
            </w:pPr>
            <w:r>
              <w:rPr>
                <w:rFonts w:ascii="Calibri" w:hAnsi="Calibri"/>
                <w:b w:val="0"/>
                <w:i w:val="0"/>
                <w:color w:val="19222E"/>
                <w:sz w:val="17"/>
              </w:rPr>
              <w:t>OCD symptoms are associated with uncertainty about state transitions and altered evidence accumulation.</w:t>
            </w:r>
          </w:p>
        </w:tc>
        <w:tc>
          <w:tcPr>
            <w:tcW w:type="dxa" w:w="3830"/>
            <w:vAlign w:val="center"/>
            <w:tcMar>
              <w:top w:w="80" w:type="dxa"/>
              <w:start w:w="120" w:type="dxa"/>
              <w:bottom w:w="80" w:type="dxa"/>
              <w:end w:w="120" w:type="dxa"/>
            </w:tcMar>
          </w:tcPr>
          <w:p>
            <w:pPr>
              <w:spacing w:after="20" w:line="252" w:lineRule="auto"/>
            </w:pPr>
            <w:r>
              <w:rPr>
                <w:rFonts w:ascii="Calibri" w:hAnsi="Calibri"/>
                <w:b w:val="0"/>
                <w:i w:val="0"/>
                <w:color w:val="19222E"/>
                <w:sz w:val="17"/>
              </w:rPr>
              <w:t>Supports the uncertainty stage; associations do not establish a single cause.</w:t>
            </w:r>
          </w:p>
        </w:tc>
      </w:tr>
      <w:tr>
        <w:tc>
          <w:tcPr>
            <w:tcW w:type="dxa" w:w="1900"/>
            <w:vAlign w:val="center"/>
            <w:tcMar>
              <w:top w:w="80" w:type="dxa"/>
              <w:start w:w="120" w:type="dxa"/>
              <w:bottom w:w="80" w:type="dxa"/>
              <w:end w:w="120" w:type="dxa"/>
            </w:tcMar>
          </w:tcPr>
          <w:p>
            <w:pPr>
              <w:spacing w:after="20" w:line="252" w:lineRule="auto"/>
            </w:pPr>
            <w:r>
              <w:rPr>
                <w:rFonts w:ascii="Calibri" w:hAnsi="Calibri"/>
                <w:b/>
                <w:i w:val="0"/>
                <w:color w:val="1F4D78"/>
                <w:sz w:val="17"/>
              </w:rPr>
              <w:t>Secondary syndromes</w:t>
            </w:r>
          </w:p>
        </w:tc>
        <w:tc>
          <w:tcPr>
            <w:tcW w:type="dxa" w:w="3630"/>
            <w:vAlign w:val="center"/>
            <w:tcMar>
              <w:top w:w="80" w:type="dxa"/>
              <w:start w:w="120" w:type="dxa"/>
              <w:bottom w:w="80" w:type="dxa"/>
              <w:end w:w="120" w:type="dxa"/>
            </w:tcMar>
          </w:tcPr>
          <w:p>
            <w:pPr>
              <w:spacing w:after="20" w:line="252" w:lineRule="auto"/>
            </w:pPr>
            <w:r>
              <w:rPr>
                <w:rFonts w:ascii="Calibri" w:hAnsi="Calibri"/>
                <w:b w:val="0"/>
                <w:i w:val="0"/>
                <w:color w:val="19222E"/>
                <w:sz w:val="17"/>
              </w:rPr>
              <w:t>Published cases connect obsessive-compulsive syndromes with lesions, trauma, inflammation, neurodegeneration, seizures, infections and metabolic conditions.</w:t>
            </w:r>
          </w:p>
        </w:tc>
        <w:tc>
          <w:tcPr>
            <w:tcW w:type="dxa" w:w="3830"/>
            <w:vAlign w:val="center"/>
            <w:tcMar>
              <w:top w:w="80" w:type="dxa"/>
              <w:start w:w="120" w:type="dxa"/>
              <w:bottom w:w="80" w:type="dxa"/>
              <w:end w:w="120" w:type="dxa"/>
            </w:tcMar>
          </w:tcPr>
          <w:p>
            <w:pPr>
              <w:spacing w:after="20" w:line="252" w:lineRule="auto"/>
            </w:pPr>
            <w:r>
              <w:rPr>
                <w:rFonts w:ascii="Calibri" w:hAnsi="Calibri"/>
                <w:b w:val="0"/>
                <w:i w:val="0"/>
                <w:color w:val="19222E"/>
                <w:sz w:val="17"/>
              </w:rPr>
              <w:t>Demonstrates medical routes exist; case literature cannot estimate how common they are in routine OCD.</w:t>
            </w:r>
          </w:p>
        </w:tc>
      </w:tr>
      <w:tr>
        <w:tc>
          <w:tcPr>
            <w:tcW w:type="dxa" w:w="1900"/>
            <w:vAlign w:val="center"/>
            <w:tcMar>
              <w:top w:w="80" w:type="dxa"/>
              <w:start w:w="120" w:type="dxa"/>
              <w:bottom w:w="80" w:type="dxa"/>
              <w:end w:w="120" w:type="dxa"/>
            </w:tcMar>
          </w:tcPr>
          <w:p>
            <w:pPr>
              <w:spacing w:after="20" w:line="252" w:lineRule="auto"/>
            </w:pPr>
            <w:r>
              <w:rPr>
                <w:rFonts w:ascii="Calibri" w:hAnsi="Calibri"/>
                <w:b/>
                <w:i w:val="0"/>
                <w:color w:val="1F4D78"/>
                <w:sz w:val="17"/>
              </w:rPr>
              <w:t>Environmental and nutritional factors</w:t>
            </w:r>
          </w:p>
        </w:tc>
        <w:tc>
          <w:tcPr>
            <w:tcW w:type="dxa" w:w="3630"/>
            <w:vAlign w:val="center"/>
            <w:tcMar>
              <w:top w:w="80" w:type="dxa"/>
              <w:start w:w="120" w:type="dxa"/>
              <w:bottom w:w="80" w:type="dxa"/>
              <w:end w:w="120" w:type="dxa"/>
            </w:tcMar>
          </w:tcPr>
          <w:p>
            <w:pPr>
              <w:spacing w:after="20" w:line="252" w:lineRule="auto"/>
            </w:pPr>
            <w:r>
              <w:rPr>
                <w:rFonts w:ascii="Calibri" w:hAnsi="Calibri"/>
                <w:b w:val="0"/>
                <w:i w:val="0"/>
                <w:color w:val="19222E"/>
                <w:sz w:val="17"/>
              </w:rPr>
              <w:t>Long-term particulate pollution is associated with cognitive decline; vitamin B12 deficiency is a recognised reversible contributor in a subset of cognitive presentations.</w:t>
            </w:r>
          </w:p>
        </w:tc>
        <w:tc>
          <w:tcPr>
            <w:tcW w:type="dxa" w:w="3830"/>
            <w:vAlign w:val="center"/>
            <w:tcMar>
              <w:top w:w="80" w:type="dxa"/>
              <w:start w:w="120" w:type="dxa"/>
              <w:bottom w:w="80" w:type="dxa"/>
              <w:end w:w="120" w:type="dxa"/>
            </w:tcMar>
          </w:tcPr>
          <w:p>
            <w:pPr>
              <w:spacing w:after="20" w:line="252" w:lineRule="auto"/>
            </w:pPr>
            <w:r>
              <w:rPr>
                <w:rFonts w:ascii="Calibri" w:hAnsi="Calibri"/>
                <w:b w:val="0"/>
                <w:i w:val="0"/>
                <w:color w:val="19222E"/>
                <w:sz w:val="17"/>
              </w:rPr>
              <w:t>Justifies exposure and nutritional history when clinically indicated; neither finding specifically establishes OCD or an individual exposure.</w:t>
            </w:r>
          </w:p>
        </w:tc>
      </w:tr>
    </w:tbl>
    <w:p>
      <w:pPr>
        <w:spacing w:before="80" w:after="160"/>
        <w:widowControl w:val="1"/>
      </w:pPr>
      <w:r>
        <w:rPr>
          <w:rFonts w:ascii="Calibri" w:hAnsi="Calibri"/>
          <w:b w:val="0"/>
          <w:i/>
          <w:color w:val="5A626C"/>
          <w:sz w:val="18"/>
        </w:rPr>
        <w:t>Table 1. Evidence map. The statements summarise representative sources cited in Sections 4.1–4.6; they are not individual clinical conclusions.</w:t>
      </w:r>
    </w:p>
    <w:p>
      <w:pPr>
        <w:pStyle w:val="Heading2"/>
        <w:widowControl w:val="1"/>
      </w:pPr>
      <w:r>
        <w:t>4.1 Pain, stress and effective capacity</w:t>
      </w:r>
    </w:p>
    <w:p>
      <w:pPr>
        <w:spacing w:after="160" w:line="320" w:lineRule="auto"/>
        <w:widowControl w:val="1"/>
      </w:pPr>
      <w:r>
        <w:rPr>
          <w:rFonts w:ascii="Calibri" w:hAnsi="Calibri"/>
          <w:b w:val="0"/>
          <w:i w:val="0"/>
          <w:color w:val="19222E"/>
          <w:sz w:val="22"/>
        </w:rPr>
        <w:t>Pain competes for attention and can disrupt daily cognition. Moriarty et al. (2011) reviewed clinical and preclinical evidence for pain-related alterations in attention, executive functioning and general cognition, while also noting that analgesic medicines can add cognitive effects. Bushnell et al. (2013) described reciprocal relationships: attention, emotion and memory influence pain, and persistent pain can alter cognitive and affective functioning. A 2025 systematic review and meta-analysis of 15 studies and 1,865 participants found poorer short- and long-term memory in nociceptive and nociplastic pain groups, but not in the neuropathic-pain group, illustrating heterogeneity rather than a universal effect (Kelly et al., 2025).</w:t>
      </w:r>
    </w:p>
    <w:p>
      <w:pPr>
        <w:spacing w:after="160" w:line="320" w:lineRule="auto"/>
        <w:widowControl w:val="1"/>
      </w:pPr>
      <w:r>
        <w:rPr>
          <w:rFonts w:ascii="Calibri" w:hAnsi="Calibri"/>
          <w:b w:val="0"/>
          <w:i w:val="0"/>
          <w:color w:val="19222E"/>
          <w:sz w:val="22"/>
        </w:rPr>
        <w:t>Stress can also reduce effective capacity without requiring structural memory loss. Moran's (2016) meta-analysis of 177 samples involving 22,061 participants found a reliable association between anxiety and poorer working-memory capacity. McEwen's allostatic model distinguishes short-term adaptive stress responses from cumulative load produced by repeated or dysregulated activation (McEwen, 1998). A meta-analysis of more than 300 empirical reports linked psychological stress with changes in human immune parameters, with effects depending on stress duration and context (Segerstrom &amp; Miller, 2004). Thus, 'distress can affect the body' is supportable; 'all distress causes injury' is not.</w:t>
      </w:r>
    </w:p>
    <w:p>
      <w:pPr>
        <w:pStyle w:val="Heading2"/>
        <w:widowControl w:val="1"/>
      </w:pPr>
      <w:r>
        <w:t>4.2 Sleep, sensory and environmental load</w:t>
      </w:r>
    </w:p>
    <w:p>
      <w:pPr>
        <w:spacing w:after="160" w:line="320" w:lineRule="auto"/>
        <w:widowControl w:val="1"/>
      </w:pPr>
      <w:r>
        <w:rPr>
          <w:rFonts w:ascii="Calibri" w:hAnsi="Calibri"/>
          <w:b w:val="0"/>
          <w:i w:val="0"/>
          <w:color w:val="19222E"/>
          <w:sz w:val="22"/>
        </w:rPr>
        <w:t>Environmental stress may act directly, indirectly, or not at all in a particular case. Halperin (2014) reviewed evidence that nocturnal environmental noise disrupts sleep architecture and subjective sleep quality, provokes measurable stress responses and is followed by fatigue, mood change and reduced cognitive performance. Clark and Paunovic's (2018) systematic review found moderate-quality evidence for some aircraft-noise effects on children's reading and long-term memory, but evidence varied by noise source and cognitive domain, and the review found no eligible adult epidemiological studies. These limitations prevent direct extrapolation to a particular adult or a specific road-noise exposure.</w:t>
      </w:r>
    </w:p>
    <w:p>
      <w:pPr>
        <w:spacing w:after="160" w:line="320" w:lineRule="auto"/>
        <w:widowControl w:val="1"/>
      </w:pPr>
      <w:r>
        <w:rPr>
          <w:rFonts w:ascii="Calibri" w:hAnsi="Calibri"/>
          <w:b w:val="0"/>
          <w:i w:val="0"/>
          <w:color w:val="19222E"/>
          <w:sz w:val="22"/>
        </w:rPr>
        <w:t>Sleep remains a plausible mediator. A preregistered meta-analysis covering 154 experimental studies and 5,717 participants found that sleep loss reduced positive affect and increased anxiety symptoms, although findings for some negative-emotion outcomes were mixed (Palmer et al., 2024). For chemical pollution, Xu et al. (2025) reported associations between long-term particulate or ozone exposure and cognitive decline across 17 studies, but substantial heterogeneity and observational designs limit individual causal inference. Environmental concern should therefore lead to measurement - timing, dose, route, comparison data and biomarkers where appropriate - rather than automatic dismissal or automatic attribution.</w:t>
      </w:r>
    </w:p>
    <w:p>
      <w:pPr>
        <w:pStyle w:val="Heading2"/>
        <w:widowControl w:val="1"/>
      </w:pPr>
      <w:r>
        <w:t>4.3 Nutrition and metabolic contributors</w:t>
      </w:r>
    </w:p>
    <w:p>
      <w:pPr>
        <w:spacing w:after="160" w:line="320" w:lineRule="auto"/>
        <w:widowControl w:val="1"/>
      </w:pPr>
      <w:r>
        <w:rPr>
          <w:rFonts w:ascii="Calibri" w:hAnsi="Calibri"/>
          <w:b w:val="0"/>
          <w:i w:val="0"/>
          <w:color w:val="19222E"/>
          <w:sz w:val="22"/>
        </w:rPr>
        <w:t>Food quality is too broad to function as a medical explanation without specifying nutrient, contaminant, dose and biological pathway. Nevertheless, nutritional and metabolic contributors to cognition are clinically real. Moore et al. (2012) concluded that low vitamin B12 is associated with cognitive impairment and that a small subset of cases may be reversible with treatment, while evidence for supplementation in people without a relevant deficiency is not equivalent. The appropriate CURL implication is a proportionate medical and dietary history with targeted testing when indicated, not a presumption that food caused a repetitive syndrome.</w:t>
      </w:r>
    </w:p>
    <w:p>
      <w:pPr>
        <w:pStyle w:val="Heading2"/>
        <w:widowControl w:val="1"/>
      </w:pPr>
      <w:r>
        <w:t>4.4 Pregabalin and cognitive adverse effects</w:t>
      </w:r>
    </w:p>
    <w:p>
      <w:pPr>
        <w:spacing w:after="160" w:line="320" w:lineRule="auto"/>
        <w:widowControl w:val="1"/>
      </w:pPr>
      <w:r>
        <w:rPr>
          <w:rFonts w:ascii="Calibri" w:hAnsi="Calibri"/>
          <w:b w:val="0"/>
          <w:i w:val="0"/>
          <w:color w:val="19222E"/>
          <w:sz w:val="22"/>
        </w:rPr>
        <w:t>In a double-blind placebo-controlled trial in healthy volunteers, pregabalin produced mild negative effects on several cognitive measures over 12 weeks at the studied regimen (Salinsky et al., 2010). This establishes biological plausibility for treatment-related cognitive symptoms. It does not demonstrate permanent brain injury, quantify risk for every dose or population, or determine causation in one person. Individual assessment requires the time relation between initiation or dose changes and symptoms, renal function, co-medication and substance exposure, sleep, pain severity, neurological examination and objective cognitive measurement. Abrupt pregabalin discontinuation can cause withdrawal and should not be undertaken without medical guidance (National Health Service, 2026).</w:t>
      </w:r>
    </w:p>
    <w:p>
      <w:pPr>
        <w:pStyle w:val="Heading2"/>
        <w:widowControl w:val="1"/>
      </w:pPr>
      <w:r>
        <w:t>4.5 Memory accuracy, memory confidence and checking</w:t>
      </w:r>
    </w:p>
    <w:p>
      <w:pPr>
        <w:spacing w:after="160" w:line="320" w:lineRule="auto"/>
        <w:widowControl w:val="1"/>
      </w:pPr>
      <w:r>
        <w:rPr>
          <w:rFonts w:ascii="Calibri" w:hAnsi="Calibri"/>
          <w:b w:val="0"/>
          <w:i w:val="0"/>
          <w:color w:val="19222E"/>
          <w:sz w:val="22"/>
        </w:rPr>
        <w:t>The clearest evidence relevant to CURL concerns the distinction between memory ability and confidence in memory. In controlled experiments, repeated relevant checking reduced memory confidence, vividness and detail while leaving objective accuracy comparatively intact (van den Hout &amp; Kindt, 2003). A 2023 systematic review and meta-analysis found a large deterioration in memory confidence following repeated checking (Hedges' g = 0.87) and a much smaller deterioration in accuracy (g = 0.21), while noting limitations including publication bias and heavy reliance on analogue samples (Abbasi Jondani et al., 2023).</w:t>
      </w:r>
    </w:p>
    <w:p>
      <w:pPr>
        <w:spacing w:after="160" w:line="320" w:lineRule="auto"/>
        <w:widowControl w:val="1"/>
      </w:pPr>
      <w:r>
        <w:rPr>
          <w:rFonts w:ascii="Calibri" w:hAnsi="Calibri"/>
          <w:b w:val="0"/>
          <w:i w:val="0"/>
          <w:color w:val="19222E"/>
          <w:sz w:val="22"/>
        </w:rPr>
        <w:t>This result permits two pathways that should not be collapsed. First, genuine cognitive impairment may increase uncertainty and checking. Second, checking may itself make an initially adequate memory feel less trustworthy. These pathways can coexist. Meta-analytic neuropsychology also shows heterogeneous, generally small-to-moderate differences across several cognitive domains in adult OCD, rather than a simple finding that OCD equals global memory loss (Abramovitch et al., 2013). CURL therefore requires separate measurement of performance and metacognitive confidence.</w:t>
      </w:r>
    </w:p>
    <w:p>
      <w:pPr>
        <w:pStyle w:val="Heading2"/>
        <w:widowControl w:val="1"/>
      </w:pPr>
      <w:r>
        <w:t>4.6 Uncertainty, evidence accumulation and habit</w:t>
      </w:r>
    </w:p>
    <w:p>
      <w:pPr>
        <w:spacing w:after="160" w:line="320" w:lineRule="auto"/>
        <w:widowControl w:val="1"/>
      </w:pPr>
      <w:r>
        <w:rPr>
          <w:rFonts w:ascii="Calibri" w:hAnsi="Calibri"/>
          <w:b w:val="0"/>
          <w:i w:val="0"/>
          <w:color w:val="19222E"/>
          <w:sz w:val="22"/>
        </w:rPr>
        <w:t>Fradkin et al. (2020) associated obsessive-compulsive symptoms with uncertainty about state transitions: difficulty trusting how one state leads to the next may encourage repeated observation of already available information. Banca et al. (2015) found altered evidence accumulation in OCD under differing uncertainty conditions, consistent with difficulty reaching a stopping threshold. Habit research further suggests that repetitive behaviour can reflect imbalance between goal-directed control and stimulus-response learning, with stress and anxiety as possible contributors to the transition (Gillan et al., 2016).</w:t>
      </w:r>
    </w:p>
    <w:p>
      <w:pPr>
        <w:spacing w:after="160" w:line="320" w:lineRule="auto"/>
        <w:widowControl w:val="1"/>
      </w:pPr>
      <w:r>
        <w:rPr>
          <w:rFonts w:ascii="Calibri" w:hAnsi="Calibri"/>
          <w:b w:val="0"/>
          <w:i w:val="0"/>
          <w:color w:val="19222E"/>
          <w:sz w:val="22"/>
        </w:rPr>
        <w:t>Together these findings support a loop: uncertainty increases demand for evidence; checking temporarily supplies evidence or familiarity; repetition may reduce vividness or confidence; and the lower confidence generates renewed uncertainty. The behaviour is consequently understandable as regulation even when it becomes costly or no longer achieves its intended protection.</w:t>
      </w:r>
    </w:p>
    <w:p>
      <w:pPr>
        <w:pStyle w:val="Heading2"/>
        <w:widowControl w:val="1"/>
      </w:pPr>
      <w:r>
        <w:t>4.7 Medical and neurological routes to OCD-like symptoms</w:t>
      </w:r>
    </w:p>
    <w:p>
      <w:pPr>
        <w:spacing w:after="160" w:line="320" w:lineRule="auto"/>
        <w:widowControl w:val="1"/>
      </w:pPr>
      <w:r>
        <w:rPr>
          <w:rFonts w:ascii="Calibri" w:hAnsi="Calibri"/>
          <w:b w:val="0"/>
          <w:i w:val="0"/>
          <w:color w:val="19222E"/>
          <w:sz w:val="22"/>
        </w:rPr>
        <w:t>Secondary obsessive-compulsive syndromes provide direct evidence against an absolute mental–physical separation. Runge et al. (2026) systematically identified 228 suspected cases across 189 publications. The most frequently reported associated categories were brain lesions (25.4%), genetic syndromes (24.1%), head trauma (12.3%) and autoimmune-inflammatory processes (11.8%); tumors, neurodegeneration, seizures, infections and metabolic conditions were also represented. Brain imaging abnormalities were reported in 66.2% of the sample. Because this literature is based mainly on selected case reports and series, it demonstrates possibility but cannot estimate prevalence or prove every proposed causal relationship.</w:t>
      </w:r>
    </w:p>
    <w:p>
      <w:pPr>
        <w:spacing w:after="160" w:line="320" w:lineRule="auto"/>
        <w:widowControl w:val="1"/>
      </w:pPr>
      <w:r>
        <w:rPr>
          <w:rFonts w:ascii="Calibri" w:hAnsi="Calibri"/>
          <w:b w:val="0"/>
          <w:i w:val="0"/>
          <w:color w:val="19222E"/>
          <w:sz w:val="22"/>
        </w:rPr>
        <w:t>Endres et al. (2022) proposed an autoimmune OCD subtype for a small group and described potential red flags such as subacute onset, atypical age, disproportionate cognitive deficits, movement disorder, new seizures or headache, autonomic dysfunction, temporal relation with infection, autoimmune disease or suspicious investigations. The authors also emphasised that evidence remains incomplete and some treatment trials are negative or inconclusive. A systematic review and meta-analysis of immune findings in OCD likewise reported abnormalities in some measures but substantial inconsistency (Cosco et al., 2019). These sources support targeted investigation when red flags exist, not universal immune testing.</w:t>
      </w:r>
    </w:p>
    <w:p>
      <w:pPr>
        <w:pStyle w:val="Heading1"/>
        <w:widowControl w:val="1"/>
      </w:pPr>
      <w:r>
        <w:t>5. The CURL model</w:t>
      </w:r>
    </w:p>
    <w:p>
      <w:pPr>
        <w:spacing w:after="80"/>
        <w:jc w:val="center"/>
        <w:widowControl w:val="1"/>
      </w:pPr>
      <w:r>
        <w:drawing>
          <wp:inline xmlns:a="http://schemas.openxmlformats.org/drawingml/2006/main" xmlns:pic="http://schemas.openxmlformats.org/drawingml/2006/picture">
            <wp:extent cx="5760720" cy="4133193"/>
            <wp:docPr id="1" name="Picture 1" descr="CURL process model: capacity load reduces or undermines trusted capacity, which raises uncertainty; regulatory repetition provides short-term relief or familiarity, while feedback costs can further reduce confidence or capacity." title="Capacity–Uncertainty Regulation Loop process model"/>
            <wp:cNvGraphicFramePr>
              <a:graphicFrameLocks noChangeAspect="1"/>
            </wp:cNvGraphicFramePr>
            <a:graphic>
              <a:graphicData uri="http://schemas.openxmlformats.org/drawingml/2006/picture">
                <pic:pic>
                  <pic:nvPicPr>
                    <pic:cNvPr id="0" name="curl_model.png"/>
                    <pic:cNvPicPr/>
                  </pic:nvPicPr>
                  <pic:blipFill>
                    <a:blip r:embed="rId11"/>
                    <a:stretch>
                      <a:fillRect/>
                    </a:stretch>
                  </pic:blipFill>
                  <pic:spPr>
                    <a:xfrm>
                      <a:off x="0" y="0"/>
                      <a:ext cx="5760720" cy="4133193"/>
                    </a:xfrm>
                    <a:prstGeom prst="rect"/>
                  </pic:spPr>
                </pic:pic>
              </a:graphicData>
            </a:graphic>
          </wp:inline>
        </w:drawing>
      </w:r>
    </w:p>
    <w:p>
      <w:pPr>
        <w:spacing w:after="200"/>
        <w:jc w:val="center"/>
        <w:widowControl w:val="1"/>
      </w:pPr>
      <w:r>
        <w:rPr>
          <w:rFonts w:ascii="Calibri" w:hAnsi="Calibri"/>
          <w:b w:val="0"/>
          <w:i/>
          <w:color w:val="5A626C"/>
          <w:sz w:val="18"/>
        </w:rPr>
        <w:t>Figure 1. Proposed Capacity–Uncertainty Regulation Loop. Arrows represent hypotheses to be tested, not a causal sequence established in every person.</w:t>
      </w:r>
    </w:p>
    <w:p>
      <w:pPr>
        <w:pStyle w:val="Heading2"/>
        <w:widowControl w:val="1"/>
      </w:pPr>
      <w:r>
        <w:t>5.1 Components</w:t>
      </w:r>
    </w:p>
    <w:p>
      <w:pPr>
        <w:spacing w:after="160" w:line="320" w:lineRule="auto"/>
        <w:widowControl w:val="1"/>
      </w:pPr>
      <w:r>
        <w:rPr>
          <w:rFonts w:ascii="Calibri" w:hAnsi="Calibri"/>
          <w:b/>
          <w:i w:val="0"/>
          <w:color w:val="19222E"/>
          <w:sz w:val="22"/>
        </w:rPr>
        <w:t xml:space="preserve">Capacity. </w:t>
      </w:r>
      <w:r>
        <w:rPr>
          <w:rFonts w:ascii="Calibri" w:hAnsi="Calibri"/>
          <w:b w:val="0"/>
          <w:i w:val="0"/>
          <w:color w:val="19222E"/>
          <w:sz w:val="22"/>
        </w:rPr>
        <w:t>The currently available ability to attend, encode, retrieve, compare, predict, regulate emotion, tolerate sensation and act. Capacity is state-dependent and may be reduced by pain, fatigue, sleep loss, illness, medication, anxiety, sensory overload or competing demands.</w:t>
      </w:r>
    </w:p>
    <w:p>
      <w:pPr>
        <w:spacing w:after="160" w:line="320" w:lineRule="auto"/>
        <w:widowControl w:val="1"/>
      </w:pPr>
      <w:r>
        <w:rPr>
          <w:rFonts w:ascii="Calibri" w:hAnsi="Calibri"/>
          <w:b/>
          <w:i w:val="0"/>
          <w:color w:val="19222E"/>
          <w:sz w:val="22"/>
        </w:rPr>
        <w:t xml:space="preserve">Uncertainty. </w:t>
      </w:r>
      <w:r>
        <w:rPr>
          <w:rFonts w:ascii="Calibri" w:hAnsi="Calibri"/>
          <w:b w:val="0"/>
          <w:i w:val="0"/>
          <w:color w:val="19222E"/>
          <w:sz w:val="22"/>
        </w:rPr>
        <w:t>A felt or measured reduction in confidence about what occurred, what is present, what will follow or whether an action is complete. Uncertainty may reflect impaired performance, impaired confidence, ambiguous signals or mismatch among memory, perception and expectation.</w:t>
      </w:r>
    </w:p>
    <w:p>
      <w:pPr>
        <w:spacing w:after="160" w:line="320" w:lineRule="auto"/>
        <w:widowControl w:val="1"/>
      </w:pPr>
      <w:r>
        <w:rPr>
          <w:rFonts w:ascii="Calibri" w:hAnsi="Calibri"/>
          <w:b/>
          <w:i w:val="0"/>
          <w:color w:val="19222E"/>
          <w:sz w:val="22"/>
        </w:rPr>
        <w:t xml:space="preserve">Regulation. </w:t>
      </w:r>
      <w:r>
        <w:rPr>
          <w:rFonts w:ascii="Calibri" w:hAnsi="Calibri"/>
          <w:b w:val="0"/>
          <w:i w:val="0"/>
          <w:color w:val="19222E"/>
          <w:sz w:val="22"/>
        </w:rPr>
        <w:t>An attempt to restore safety, continuity or orientation through checking, repetition, ordering, reassurance, rumination, avoidance or another familiar action. Regulation describes function and does not imply that the strategy remains effective.</w:t>
      </w:r>
    </w:p>
    <w:p>
      <w:pPr>
        <w:spacing w:after="160" w:line="320" w:lineRule="auto"/>
        <w:widowControl w:val="1"/>
      </w:pPr>
      <w:r>
        <w:rPr>
          <w:rFonts w:ascii="Calibri" w:hAnsi="Calibri"/>
          <w:b/>
          <w:i w:val="0"/>
          <w:color w:val="19222E"/>
          <w:sz w:val="22"/>
        </w:rPr>
        <w:t xml:space="preserve">Loop. </w:t>
      </w:r>
      <w:r>
        <w:rPr>
          <w:rFonts w:ascii="Calibri" w:hAnsi="Calibri"/>
          <w:b w:val="0"/>
          <w:i w:val="0"/>
          <w:color w:val="19222E"/>
          <w:sz w:val="22"/>
        </w:rPr>
        <w:t>The feedback by which temporary relief reinforces repetition, while attentional cost, familiarity or reduced confidence may increase the next episode of uncertainty.</w:t>
      </w:r>
    </w:p>
    <w:p>
      <w:pPr>
        <w:pStyle w:val="Heading2"/>
        <w:widowControl w:val="1"/>
      </w:pPr>
      <w:r>
        <w:t>5.2 Multiple routes, not one universal cause</w:t>
      </w:r>
    </w:p>
    <w:p>
      <w:pPr>
        <w:spacing w:after="160" w:line="320" w:lineRule="auto"/>
        <w:widowControl w:val="1"/>
      </w:pPr>
      <w:r>
        <w:rPr>
          <w:rFonts w:ascii="Calibri" w:hAnsi="Calibri"/>
          <w:b w:val="0"/>
          <w:i w:val="0"/>
          <w:color w:val="19222E"/>
          <w:sz w:val="22"/>
        </w:rPr>
        <w:t>CURL predicts equifinality. A pain-dominant pathway may begin with attentional capture. A sleep-dominant pathway may begin with reduced executive control and emotional tolerance. A medication pathway may begin with sedation, slowed processing or impaired attention. A neurological pathway may affect relevant brain circuits. A social-threat pathway may maintain vigilance. An environmental pathway requires demonstrable exposure and a plausible dose-response relation. A primary OCD pathway may begin with uncertainty, threat appraisal or habit even without detectable memory impairment. No route is privileged in advance.</w:t>
      </w:r>
    </w:p>
    <w:p>
      <w:pPr>
        <w:pStyle w:val="Heading2"/>
        <w:widowControl w:val="1"/>
      </w:pPr>
      <w:r>
        <w:t>5.3 Cross-system analogy and its limit</w:t>
      </w:r>
    </w:p>
    <w:p>
      <w:pPr>
        <w:spacing w:after="160" w:line="320" w:lineRule="auto"/>
        <w:widowControl w:val="1"/>
      </w:pPr>
      <w:r>
        <w:rPr>
          <w:rFonts w:ascii="Calibri" w:hAnsi="Calibri"/>
          <w:b w:val="0"/>
          <w:i w:val="0"/>
          <w:color w:val="19222E"/>
          <w:sz w:val="22"/>
        </w:rPr>
        <w:t>The dialogue compared human looping with repetition or performance failure in overloaded computational systems. Modern language models can generate repetitive text under some decoding conditions and can produce agreement-seeking outputs when trained on preference signals (Holtzman et al., 2020; Sharma et al., 2024). This is useful as an information-processing analogy: finite systems can repeat familiar operations when uncertainty or resource constraints are poorly regulated. It does not prove that machine repetition is OCD, that machines have human feelings, or that computational and biological survival mechanisms are equivalent. Those remain separate empirical and philosophical questions.</w:t>
      </w:r>
    </w:p>
    <w:p>
      <w:pPr>
        <w:pStyle w:val="Heading1"/>
        <w:widowControl w:val="1"/>
      </w:pPr>
      <w:r>
        <w:t>6. Testable predictions</w:t>
      </w:r>
    </w:p>
    <w:p>
      <w:pPr>
        <w:spacing w:after="160" w:line="320" w:lineRule="auto"/>
        <w:widowControl w:val="1"/>
      </w:pPr>
      <w:r>
        <w:rPr>
          <w:rFonts w:ascii="Calibri" w:hAnsi="Calibri"/>
          <w:b w:val="0"/>
          <w:i w:val="0"/>
          <w:color w:val="19222E"/>
          <w:sz w:val="22"/>
        </w:rPr>
        <w:t>A useful framework must risk being wrong. CURL generates the following falsifiable or discriminating predictions:</w:t>
      </w:r>
    </w:p>
    <w:p>
      <w:pPr>
        <w:pStyle w:val="ListBullet"/>
        <w:spacing w:after="80" w:line="290" w:lineRule="auto"/>
        <w:ind w:left="540" w:hanging="279"/>
        <w:widowControl w:val="1"/>
      </w:pPr>
      <w:r>
        <w:rPr>
          <w:rFonts w:ascii="Calibri" w:hAnsi="Calibri"/>
          <w:b w:val="0"/>
          <w:i w:val="0"/>
          <w:color w:val="19222E"/>
          <w:sz w:val="22"/>
        </w:rPr>
        <w:t xml:space="preserve"> Within individuals, experimentally or naturally increased capacity load should predict greater uncertainty and more regulatory repetition, with timing appropriate to the proposed pathway.</w:t>
      </w:r>
    </w:p>
    <w:p>
      <w:pPr>
        <w:pStyle w:val="ListBullet"/>
        <w:spacing w:after="80" w:line="290" w:lineRule="auto"/>
        <w:ind w:left="540" w:hanging="279"/>
        <w:widowControl w:val="1"/>
      </w:pPr>
      <w:r>
        <w:rPr>
          <w:rFonts w:ascii="Calibri" w:hAnsi="Calibri"/>
          <w:b w:val="0"/>
          <w:i w:val="0"/>
          <w:color w:val="19222E"/>
          <w:sz w:val="22"/>
        </w:rPr>
        <w:t xml:space="preserve"> Objective memory performance and memory confidence should make partly independent contributions. Some participants should show confidence loss without equivalent accuracy loss; others with genuine impairment should show both.</w:t>
      </w:r>
    </w:p>
    <w:p>
      <w:pPr>
        <w:pStyle w:val="ListBullet"/>
        <w:spacing w:after="80" w:line="290" w:lineRule="auto"/>
        <w:ind w:left="540" w:hanging="279"/>
        <w:widowControl w:val="1"/>
      </w:pPr>
      <w:r>
        <w:rPr>
          <w:rFonts w:ascii="Calibri" w:hAnsi="Calibri"/>
          <w:b w:val="0"/>
          <w:i w:val="0"/>
          <w:color w:val="19222E"/>
          <w:sz w:val="22"/>
        </w:rPr>
        <w:t xml:space="preserve"> The same outward behaviour should separate into different physiological and contextual profiles, consistent with equifinality.</w:t>
      </w:r>
    </w:p>
    <w:p>
      <w:pPr>
        <w:pStyle w:val="ListBullet"/>
        <w:spacing w:after="80" w:line="290" w:lineRule="auto"/>
        <w:ind w:left="540" w:hanging="279"/>
        <w:widowControl w:val="1"/>
      </w:pPr>
      <w:r>
        <w:rPr>
          <w:rFonts w:ascii="Calibri" w:hAnsi="Calibri"/>
          <w:b w:val="0"/>
          <w:i w:val="0"/>
          <w:color w:val="19222E"/>
          <w:sz w:val="22"/>
        </w:rPr>
        <w:t xml:space="preserve"> Reducing a verified upstream load - for example, improving sleep, treating pain, correcting a deficiency or adjusting a causally implicated medicine - should reduce the loop in the subgroup for whom that load is causal, even without directly targeting the repetitive act.</w:t>
      </w:r>
    </w:p>
    <w:p>
      <w:pPr>
        <w:pStyle w:val="ListBullet"/>
        <w:spacing w:after="80" w:line="290" w:lineRule="auto"/>
        <w:ind w:left="540" w:hanging="279"/>
        <w:widowControl w:val="1"/>
      </w:pPr>
      <w:r>
        <w:rPr>
          <w:rFonts w:ascii="Calibri" w:hAnsi="Calibri"/>
          <w:b w:val="0"/>
          <w:i w:val="0"/>
          <w:color w:val="19222E"/>
          <w:sz w:val="22"/>
        </w:rPr>
        <w:t xml:space="preserve"> When checking provides immediate relief, the probability of checking again should rise; when repeated checking reduces vividness or confidence, delayed uncertainty should also rise.</w:t>
      </w:r>
    </w:p>
    <w:p>
      <w:pPr>
        <w:pStyle w:val="ListBullet"/>
        <w:spacing w:after="80" w:line="290" w:lineRule="auto"/>
        <w:ind w:left="540" w:hanging="279"/>
        <w:widowControl w:val="1"/>
      </w:pPr>
      <w:r>
        <w:rPr>
          <w:rFonts w:ascii="Calibri" w:hAnsi="Calibri"/>
          <w:b w:val="0"/>
          <w:i w:val="0"/>
          <w:color w:val="19222E"/>
          <w:sz w:val="22"/>
        </w:rPr>
        <w:t xml:space="preserve"> CURL should explain incremental variance in episode frequency or disability beyond established measures of OCD severity, intolerance of uncertainty, depression and general anxiety. If it does not, it may be redundant rather than useful.</w:t>
      </w:r>
    </w:p>
    <w:p>
      <w:pPr>
        <w:pStyle w:val="Heading1"/>
        <w:widowControl w:val="1"/>
      </w:pPr>
      <w:r>
        <w:t>7. Proposed research programme</w:t>
      </w:r>
    </w:p>
    <w:p>
      <w:pPr>
        <w:pStyle w:val="Heading2"/>
        <w:widowControl w:val="1"/>
      </w:pPr>
      <w:r>
        <w:t>7.1 Measurement study</w:t>
      </w:r>
    </w:p>
    <w:p>
      <w:pPr>
        <w:spacing w:after="160" w:line="320" w:lineRule="auto"/>
        <w:widowControl w:val="1"/>
      </w:pPr>
      <w:r>
        <w:rPr>
          <w:rFonts w:ascii="Calibri" w:hAnsi="Calibri"/>
          <w:b w:val="0"/>
          <w:i w:val="0"/>
          <w:color w:val="19222E"/>
          <w:sz w:val="22"/>
        </w:rPr>
        <w:t>Recruit participants with checking symptoms across diagnostic groups and a non-clinical comparison sample. Repeatedly measure pain, sleep, sensory burden, medication timing, working memory, prospective memory, confidence, autonomic arousal, perceived uncertainty and checking. Ecological momentary assessment would test the temporal order within real episodes. Analyses should compare person-level and episode-level effects rather than treating all participants as one pathway.</w:t>
      </w:r>
    </w:p>
    <w:p>
      <w:pPr>
        <w:pStyle w:val="Heading2"/>
        <w:widowControl w:val="1"/>
      </w:pPr>
      <w:r>
        <w:t>7.2 Experimental study</w:t>
      </w:r>
    </w:p>
    <w:p>
      <w:pPr>
        <w:spacing w:after="160" w:line="320" w:lineRule="auto"/>
        <w:widowControl w:val="1"/>
      </w:pPr>
      <w:r>
        <w:rPr>
          <w:rFonts w:ascii="Calibri" w:hAnsi="Calibri"/>
          <w:b w:val="0"/>
          <w:i w:val="0"/>
          <w:color w:val="19222E"/>
          <w:sz w:val="22"/>
        </w:rPr>
        <w:t>Use ethical, reversible manipulations of cognitive load or uncertainty alongside a repeated-checking task. Primary outcomes should include checking frequency, stopping threshold, objective accuracy, confidence, vividness, distress and relief over time. Mediation analysis could test whether uncertainty links load to checking and whether relief and confidence loss jointly maintain repetition.</w:t>
      </w:r>
    </w:p>
    <w:p>
      <w:pPr>
        <w:pStyle w:val="Heading2"/>
        <w:widowControl w:val="1"/>
      </w:pPr>
      <w:r>
        <w:t>7.3 Clinical stratification study</w:t>
      </w:r>
    </w:p>
    <w:p>
      <w:pPr>
        <w:spacing w:after="160" w:line="320" w:lineRule="auto"/>
        <w:widowControl w:val="1"/>
      </w:pPr>
      <w:r>
        <w:rPr>
          <w:rFonts w:ascii="Calibri" w:hAnsi="Calibri"/>
          <w:b w:val="0"/>
          <w:i w:val="0"/>
          <w:color w:val="19222E"/>
          <w:sz w:val="22"/>
        </w:rPr>
        <w:t>Compare routine OCD assessment with a CURL-informed assessment that includes medication chronology, pain, sleep, cognitive screening, sensory environment and neurological red flags. Outcomes should include missed medical contributors, unnecessary testing, treatment engagement, adverse events, symptom change and patient-reported experience of stigma or understanding. Independent adjudication is necessary to prevent CURL from becoming either a route to reflexive medicalisation or another dismissive label.</w:t>
      </w:r>
    </w:p>
    <w:p>
      <w:pPr>
        <w:pStyle w:val="Heading1"/>
        <w:widowControl w:val="1"/>
      </w:pPr>
      <w:r>
        <w:t>8. Clinical implications</w:t>
      </w:r>
    </w:p>
    <w:p>
      <w:pPr>
        <w:spacing w:after="160" w:line="320" w:lineRule="auto"/>
        <w:widowControl w:val="1"/>
      </w:pPr>
      <w:r>
        <w:rPr>
          <w:rFonts w:ascii="Calibri" w:hAnsi="Calibri"/>
          <w:b w:val="0"/>
          <w:i w:val="0"/>
          <w:color w:val="19222E"/>
          <w:sz w:val="22"/>
        </w:rPr>
        <w:t>CURL suggests a sequencing principle: investigate before moralising, measure before assuming, and integrate rather than force symptoms into either a physical or psychological category. It can complement established OCD treatment by clarifying what must be stabilised so that a person can participate in care. It should not delay evidence-based treatment when OCD is well established, nor encourage indiscriminate imaging, immune panels or toxicology without clinical indications.</w:t>
      </w:r>
    </w:p>
    <w:p>
      <w:pPr>
        <w:spacing w:after="160" w:line="320" w:lineRule="auto"/>
        <w:widowControl w:val="1"/>
      </w:pPr>
      <w:r>
        <w:rPr>
          <w:rFonts w:ascii="Calibri" w:hAnsi="Calibri"/>
          <w:b w:val="0"/>
          <w:i w:val="0"/>
          <w:color w:val="19222E"/>
          <w:sz w:val="22"/>
        </w:rPr>
        <w:t>A CURL-informed clinical formulation could document:</w:t>
      </w:r>
    </w:p>
    <w:p>
      <w:pPr>
        <w:pStyle w:val="ListBullet"/>
        <w:spacing w:after="80" w:line="290" w:lineRule="auto"/>
        <w:ind w:left="540" w:hanging="279"/>
        <w:widowControl w:val="1"/>
      </w:pPr>
      <w:r>
        <w:rPr>
          <w:rFonts w:ascii="Calibri" w:hAnsi="Calibri"/>
          <w:b w:val="0"/>
          <w:i w:val="0"/>
          <w:color w:val="19222E"/>
          <w:sz w:val="22"/>
        </w:rPr>
        <w:t xml:space="preserve"> onset, timing, fluctuations and functional consequences of the loop;</w:t>
      </w:r>
    </w:p>
    <w:p>
      <w:pPr>
        <w:pStyle w:val="ListBullet"/>
        <w:spacing w:after="80" w:line="290" w:lineRule="auto"/>
        <w:ind w:left="540" w:hanging="279"/>
        <w:widowControl w:val="1"/>
      </w:pPr>
      <w:r>
        <w:rPr>
          <w:rFonts w:ascii="Calibri" w:hAnsi="Calibri"/>
          <w:b w:val="0"/>
          <w:i w:val="0"/>
          <w:color w:val="19222E"/>
          <w:sz w:val="22"/>
        </w:rPr>
        <w:t xml:space="preserve"> objective memory and attention alongside confidence in those functions;</w:t>
      </w:r>
    </w:p>
    <w:p>
      <w:pPr>
        <w:pStyle w:val="ListBullet"/>
        <w:spacing w:after="80" w:line="290" w:lineRule="auto"/>
        <w:ind w:left="540" w:hanging="279"/>
        <w:widowControl w:val="1"/>
      </w:pPr>
      <w:r>
        <w:rPr>
          <w:rFonts w:ascii="Calibri" w:hAnsi="Calibri"/>
          <w:b w:val="0"/>
          <w:i w:val="0"/>
          <w:color w:val="19222E"/>
          <w:sz w:val="22"/>
        </w:rPr>
        <w:t xml:space="preserve"> pain, sleep, fatigue, sensory and social load;</w:t>
      </w:r>
    </w:p>
    <w:p>
      <w:pPr>
        <w:pStyle w:val="ListBullet"/>
        <w:spacing w:after="80" w:line="290" w:lineRule="auto"/>
        <w:ind w:left="540" w:hanging="279"/>
        <w:widowControl w:val="1"/>
      </w:pPr>
      <w:r>
        <w:rPr>
          <w:rFonts w:ascii="Calibri" w:hAnsi="Calibri"/>
          <w:b w:val="0"/>
          <w:i w:val="0"/>
          <w:color w:val="19222E"/>
          <w:sz w:val="22"/>
        </w:rPr>
        <w:t xml:space="preserve"> all medicines, dose changes, withdrawal, renal function and interacting substances;</w:t>
      </w:r>
    </w:p>
    <w:p>
      <w:pPr>
        <w:pStyle w:val="ListBullet"/>
        <w:spacing w:after="80" w:line="290" w:lineRule="auto"/>
        <w:ind w:left="540" w:hanging="279"/>
        <w:widowControl w:val="1"/>
      </w:pPr>
      <w:r>
        <w:rPr>
          <w:rFonts w:ascii="Calibri" w:hAnsi="Calibri"/>
          <w:b w:val="0"/>
          <w:i w:val="0"/>
          <w:color w:val="19222E"/>
          <w:sz w:val="22"/>
        </w:rPr>
        <w:t xml:space="preserve"> neurological or systemic red flags and proportionate investigations;</w:t>
      </w:r>
    </w:p>
    <w:p>
      <w:pPr>
        <w:pStyle w:val="ListBullet"/>
        <w:spacing w:after="80" w:line="290" w:lineRule="auto"/>
        <w:ind w:left="540" w:hanging="279"/>
        <w:widowControl w:val="1"/>
      </w:pPr>
      <w:r>
        <w:rPr>
          <w:rFonts w:ascii="Calibri" w:hAnsi="Calibri"/>
          <w:b w:val="0"/>
          <w:i w:val="0"/>
          <w:color w:val="19222E"/>
          <w:sz w:val="22"/>
        </w:rPr>
        <w:t xml:space="preserve"> specific environmental exposures with independently measurable time, place, dose and route;</w:t>
      </w:r>
    </w:p>
    <w:p>
      <w:pPr>
        <w:pStyle w:val="ListBullet"/>
        <w:spacing w:after="80" w:line="290" w:lineRule="auto"/>
        <w:ind w:left="540" w:hanging="279"/>
        <w:widowControl w:val="1"/>
      </w:pPr>
      <w:r>
        <w:rPr>
          <w:rFonts w:ascii="Calibri" w:hAnsi="Calibri"/>
          <w:b w:val="0"/>
          <w:i w:val="0"/>
          <w:color w:val="19222E"/>
          <w:sz w:val="22"/>
        </w:rPr>
        <w:t xml:space="preserve"> the short-term benefit obtained from repetition and its longer-term cost; and</w:t>
      </w:r>
    </w:p>
    <w:p>
      <w:pPr>
        <w:pStyle w:val="ListBullet"/>
        <w:spacing w:after="80" w:line="290" w:lineRule="auto"/>
        <w:ind w:left="540" w:hanging="279"/>
        <w:widowControl w:val="1"/>
      </w:pPr>
      <w:r>
        <w:rPr>
          <w:rFonts w:ascii="Calibri" w:hAnsi="Calibri"/>
          <w:b w:val="0"/>
          <w:i w:val="0"/>
          <w:color w:val="19222E"/>
          <w:sz w:val="22"/>
        </w:rPr>
        <w:t xml:space="preserve"> the person's own meaning, priorities and acceptable forms of care.</w:t>
      </w:r>
    </w:p>
    <w:p>
      <w:pPr>
        <w:shd w:fill="F4F6F9"/>
        <w:pBdr>
          <w:top w:val="single" w:sz="5" w:color="D4DCE5" w:space="5"/>
          <w:left w:val="single" w:sz="5" w:color="D4DCE5" w:space="5"/>
          <w:bottom w:val="single" w:sz="5" w:color="D4DCE5" w:space="5"/>
          <w:right w:val="single" w:sz="5" w:color="D4DCE5" w:space="5"/>
        </w:pBdr>
        <w:spacing w:before="80" w:after="160" w:line="300" w:lineRule="auto"/>
        <w:ind w:left="115" w:right="115"/>
        <w:widowControl w:val="1"/>
      </w:pPr>
      <w:r>
        <w:rPr>
          <w:rFonts w:ascii="Calibri" w:hAnsi="Calibri"/>
          <w:b/>
          <w:i w:val="0"/>
          <w:color w:val="1F4D78"/>
          <w:sz w:val="22"/>
        </w:rPr>
        <w:t xml:space="preserve">Safety boundary: </w:t>
      </w:r>
      <w:r>
        <w:rPr>
          <w:rFonts w:ascii="Calibri" w:hAnsi="Calibri"/>
          <w:b w:val="0"/>
          <w:i w:val="0"/>
          <w:color w:val="19222E"/>
          <w:sz w:val="22"/>
        </w:rPr>
        <w:t>CURL is not a self-diagnostic tool. Sudden confusion, focal weakness, speech or visual change, seizure, fainting or an unusually severe headache requires urgent medical assessment. Pregabalin should not be stopped abruptly without prescriber guidance.</w:t>
      </w:r>
    </w:p>
    <w:p>
      <w:pPr>
        <w:pStyle w:val="Heading1"/>
        <w:widowControl w:val="1"/>
      </w:pPr>
      <w:r>
        <w:t>9. Terminology, dignity and institutional critique</w:t>
      </w:r>
    </w:p>
    <w:p>
      <w:pPr>
        <w:spacing w:after="160" w:line="320" w:lineRule="auto"/>
        <w:widowControl w:val="1"/>
      </w:pPr>
      <w:r>
        <w:rPr>
          <w:rFonts w:ascii="Calibri" w:hAnsi="Calibri"/>
          <w:b w:val="0"/>
          <w:i w:val="0"/>
          <w:color w:val="19222E"/>
          <w:sz w:val="22"/>
        </w:rPr>
        <w:t>The established term OCD identifies a recognised and often disabling syndrome and provides access to research and treatment. At the same time, patients may experience its component words as implying blame, irrationality or defect. CURL offers supplementary language that names a possible process without deciding cause in advance. 'Regulation' recognises that an action may once have had a protective function; 'loop' recognises feedback; 'capacity' directs attention to resources and impairment; and 'uncertainty' names the state that may drive repetition.</w:t>
      </w:r>
    </w:p>
    <w:p>
      <w:pPr>
        <w:spacing w:after="160" w:line="320" w:lineRule="auto"/>
        <w:widowControl w:val="1"/>
      </w:pPr>
      <w:r>
        <w:rPr>
          <w:rFonts w:ascii="Calibri" w:hAnsi="Calibri"/>
          <w:b w:val="0"/>
          <w:i w:val="0"/>
          <w:color w:val="19222E"/>
          <w:sz w:val="22"/>
        </w:rPr>
        <w:t>It would be inaccurate to claim that psychology as a whole denies medical links. Biopsychosocial medicine, health psychology, neuropsychology, psychoneuroimmunology and pain science explicitly study them. The more defensible institutional criticism is that fragmented services and reductionist habits can still create premature psychologisation or, conversely, overlook psychological processes that meaningfully affect physical illness. Likewise, a proposed connection to Freudian ego theory is a historical and philosophical hypothesis, not a conclusion established by the medical evidence reviewed here. The mind–body split predates Freud and has multiple intellectual and organisational causes.</w:t>
      </w:r>
    </w:p>
    <w:p>
      <w:pPr>
        <w:pStyle w:val="Heading1"/>
        <w:widowControl w:val="1"/>
      </w:pPr>
      <w:r>
        <w:t>10. Limitations</w:t>
      </w:r>
    </w:p>
    <w:p>
      <w:pPr>
        <w:pStyle w:val="ListBullet"/>
        <w:spacing w:after="80" w:line="290" w:lineRule="auto"/>
        <w:ind w:left="540" w:hanging="279"/>
        <w:widowControl w:val="1"/>
      </w:pPr>
      <w:r>
        <w:rPr>
          <w:rFonts w:ascii="Calibri" w:hAnsi="Calibri"/>
          <w:b w:val="0"/>
          <w:i w:val="0"/>
          <w:color w:val="19222E"/>
          <w:sz w:val="22"/>
        </w:rPr>
        <w:t xml:space="preserve"> CURL was generated from one lived-experience dialogue and has not undergone qualitative saturation, Delphi consensus, psychometric development or clinical validation.</w:t>
      </w:r>
    </w:p>
    <w:p>
      <w:pPr>
        <w:pStyle w:val="ListBullet"/>
        <w:spacing w:after="80" w:line="290" w:lineRule="auto"/>
        <w:ind w:left="540" w:hanging="279"/>
        <w:widowControl w:val="1"/>
      </w:pPr>
      <w:r>
        <w:rPr>
          <w:rFonts w:ascii="Calibri" w:hAnsi="Calibri"/>
          <w:b w:val="0"/>
          <w:i w:val="0"/>
          <w:color w:val="19222E"/>
          <w:sz w:val="22"/>
        </w:rPr>
        <w:t xml:space="preserve"> The literature search was targeted rather than systematic and is vulnerable to selection bias and omission.</w:t>
      </w:r>
    </w:p>
    <w:p>
      <w:pPr>
        <w:pStyle w:val="ListBullet"/>
        <w:spacing w:after="80" w:line="290" w:lineRule="auto"/>
        <w:ind w:left="540" w:hanging="279"/>
        <w:widowControl w:val="1"/>
      </w:pPr>
      <w:r>
        <w:rPr>
          <w:rFonts w:ascii="Calibri" w:hAnsi="Calibri"/>
          <w:b w:val="0"/>
          <w:i w:val="0"/>
          <w:color w:val="19222E"/>
          <w:sz w:val="22"/>
        </w:rPr>
        <w:t xml:space="preserve"> Much checking research uses laboratory tasks or analogue samples, limiting ecological and clinical generalisability.</w:t>
      </w:r>
    </w:p>
    <w:p>
      <w:pPr>
        <w:pStyle w:val="ListBullet"/>
        <w:spacing w:after="80" w:line="290" w:lineRule="auto"/>
        <w:ind w:left="540" w:hanging="279"/>
        <w:widowControl w:val="1"/>
      </w:pPr>
      <w:r>
        <w:rPr>
          <w:rFonts w:ascii="Calibri" w:hAnsi="Calibri"/>
          <w:b w:val="0"/>
          <w:i w:val="0"/>
          <w:color w:val="19222E"/>
          <w:sz w:val="22"/>
        </w:rPr>
        <w:t xml:space="preserve"> Secondary OCD evidence is dominated by case reports and series, which demonstrate possible routes but exaggerate unusual presentations and cannot estimate prevalence.</w:t>
      </w:r>
    </w:p>
    <w:p>
      <w:pPr>
        <w:pStyle w:val="ListBullet"/>
        <w:spacing w:after="80" w:line="290" w:lineRule="auto"/>
        <w:ind w:left="540" w:hanging="279"/>
        <w:widowControl w:val="1"/>
      </w:pPr>
      <w:r>
        <w:rPr>
          <w:rFonts w:ascii="Calibri" w:hAnsi="Calibri"/>
          <w:b w:val="0"/>
          <w:i w:val="0"/>
          <w:color w:val="19222E"/>
          <w:sz w:val="22"/>
        </w:rPr>
        <w:t xml:space="preserve"> Associations among stress, pollution, pain and cognition do not establish the cause of one person's symptoms.</w:t>
      </w:r>
    </w:p>
    <w:p>
      <w:pPr>
        <w:pStyle w:val="ListBullet"/>
        <w:spacing w:after="80" w:line="290" w:lineRule="auto"/>
        <w:ind w:left="540" w:hanging="279"/>
        <w:widowControl w:val="1"/>
      </w:pPr>
      <w:r>
        <w:rPr>
          <w:rFonts w:ascii="Calibri" w:hAnsi="Calibri"/>
          <w:b w:val="0"/>
          <w:i w:val="0"/>
          <w:color w:val="19222E"/>
          <w:sz w:val="22"/>
        </w:rPr>
        <w:t xml:space="preserve"> The model may overlap substantially with existing concepts such as intolerance of uncertainty, memory distrust, negative reinforcement, allostatic load and habit. Incremental validity must be demonstrated.</w:t>
      </w:r>
    </w:p>
    <w:p>
      <w:pPr>
        <w:pStyle w:val="ListBullet"/>
        <w:spacing w:after="80" w:line="290" w:lineRule="auto"/>
        <w:ind w:left="540" w:hanging="279"/>
        <w:widowControl w:val="1"/>
      </w:pPr>
      <w:r>
        <w:rPr>
          <w:rFonts w:ascii="Calibri" w:hAnsi="Calibri"/>
          <w:b w:val="0"/>
          <w:i w:val="0"/>
          <w:color w:val="19222E"/>
          <w:sz w:val="22"/>
        </w:rPr>
        <w:t xml:space="preserve"> Non-stigmatising language is ethically valuable but does not itself establish scientific validity.</w:t>
      </w:r>
    </w:p>
    <w:p>
      <w:pPr>
        <w:pStyle w:val="Heading1"/>
        <w:widowControl w:val="1"/>
      </w:pPr>
      <w:r>
        <w:t>11. Conclusion</w:t>
      </w:r>
    </w:p>
    <w:p>
      <w:pPr>
        <w:spacing w:after="160" w:line="320" w:lineRule="auto"/>
        <w:widowControl w:val="1"/>
      </w:pPr>
      <w:r>
        <w:rPr>
          <w:rFonts w:ascii="Calibri" w:hAnsi="Calibri"/>
          <w:b w:val="0"/>
          <w:i w:val="0"/>
          <w:color w:val="19222E"/>
          <w:sz w:val="22"/>
        </w:rPr>
        <w:t>The reviewed evidence supports a modest conclusion: repetitive checking and related OCD-like phenomena should not automatically be interpreted as evidence of a single, purely psychological defect. Pain, stress, sleep disruption, medication effects, cognitive impairment and recognised neurological or systemic disease can alter capacity; uncertainty and memory distrust can promote repetition; and repeated checking can further reduce confidence while providing temporary relief. These relationships justify integrated assessment without proving that every proposed pathway applies in every case.</w:t>
      </w:r>
    </w:p>
    <w:p>
      <w:pPr>
        <w:spacing w:after="160" w:line="320" w:lineRule="auto"/>
        <w:widowControl w:val="1"/>
      </w:pPr>
      <w:r>
        <w:rPr>
          <w:rFonts w:ascii="Calibri" w:hAnsi="Calibri"/>
          <w:b w:val="0"/>
          <w:i w:val="0"/>
          <w:color w:val="19222E"/>
          <w:sz w:val="22"/>
        </w:rPr>
        <w:t>Capacity–Uncertainty Regulation Loop (CURL) names this provisional functional sequence. Its central clinical question is not 'What is wrong with this person?' but 'What capacity is unavailable or mistrusted, what uncertainty follows, what protection does the loop attempt, and what evidence would distinguish the possible causes?' CURL should be retained only if prospective research shows that it improves explanation, investigation and care beyond existing models.</w:t>
      </w:r>
    </w:p>
    <w:p>
      <w:pPr>
        <w:pStyle w:val="Heading1"/>
        <w:widowControl w:val="1"/>
      </w:pPr>
      <w:r>
        <w:t>Declarations</w:t>
      </w:r>
    </w:p>
    <w:p>
      <w:pPr>
        <w:spacing w:after="160" w:line="320" w:lineRule="auto"/>
        <w:widowControl w:val="1"/>
      </w:pPr>
      <w:r>
        <w:rPr>
          <w:rFonts w:ascii="Calibri" w:hAnsi="Calibri"/>
          <w:b/>
          <w:i w:val="0"/>
          <w:color w:val="19222E"/>
          <w:sz w:val="22"/>
        </w:rPr>
        <w:t xml:space="preserve">Ethics approval and consent to participate. </w:t>
      </w:r>
      <w:r>
        <w:rPr>
          <w:rFonts w:ascii="Calibri" w:hAnsi="Calibri"/>
          <w:b w:val="0"/>
          <w:i w:val="0"/>
          <w:color w:val="19222E"/>
          <w:sz w:val="22"/>
        </w:rPr>
        <w:t>This conceptual article reports no original intervention, medical record or participant dataset. The lived-experience author chose to use their own observations as a conceptual frame. Formal ethics review was therefore not sought. Any future study involving participants or identifiable clinical data will require appropriate ethics approval and consent.</w:t>
      </w:r>
    </w:p>
    <w:p>
      <w:pPr>
        <w:spacing w:after="160" w:line="320" w:lineRule="auto"/>
        <w:widowControl w:val="1"/>
      </w:pPr>
      <w:r>
        <w:rPr>
          <w:rFonts w:ascii="Calibri" w:hAnsi="Calibri"/>
          <w:b/>
          <w:i w:val="0"/>
          <w:color w:val="19222E"/>
          <w:sz w:val="22"/>
        </w:rPr>
        <w:t xml:space="preserve">Consent for publication. </w:t>
      </w:r>
      <w:r>
        <w:rPr>
          <w:rFonts w:ascii="Calibri" w:hAnsi="Calibri"/>
          <w:b w:val="0"/>
          <w:i w:val="0"/>
          <w:color w:val="19222E"/>
          <w:sz w:val="22"/>
        </w:rPr>
        <w:t>The named author has requested creation of this draft. No third-party identifying clinical information is included.</w:t>
      </w:r>
    </w:p>
    <w:p>
      <w:pPr>
        <w:spacing w:after="160" w:line="320" w:lineRule="auto"/>
        <w:widowControl w:val="1"/>
      </w:pPr>
      <w:r>
        <w:rPr>
          <w:rFonts w:ascii="Calibri" w:hAnsi="Calibri"/>
          <w:b/>
          <w:i w:val="0"/>
          <w:color w:val="19222E"/>
          <w:sz w:val="22"/>
        </w:rPr>
        <w:t xml:space="preserve">Data availability. </w:t>
      </w:r>
      <w:r>
        <w:rPr>
          <w:rFonts w:ascii="Calibri" w:hAnsi="Calibri"/>
          <w:b w:val="0"/>
          <w:i w:val="0"/>
          <w:color w:val="19222E"/>
          <w:sz w:val="22"/>
        </w:rPr>
        <w:t>No new empirical dataset was generated. The evidentiary basis is the published literature cited below.</w:t>
      </w:r>
    </w:p>
    <w:p>
      <w:pPr>
        <w:spacing w:after="160" w:line="320" w:lineRule="auto"/>
        <w:widowControl w:val="1"/>
      </w:pPr>
      <w:r>
        <w:rPr>
          <w:rFonts w:ascii="Calibri" w:hAnsi="Calibri"/>
          <w:b/>
          <w:i w:val="0"/>
          <w:color w:val="19222E"/>
          <w:sz w:val="22"/>
        </w:rPr>
        <w:t xml:space="preserve">Funding. </w:t>
      </w:r>
      <w:r>
        <w:rPr>
          <w:rFonts w:ascii="Calibri" w:hAnsi="Calibri"/>
          <w:b w:val="0"/>
          <w:i w:val="0"/>
          <w:color w:val="19222E"/>
          <w:sz w:val="22"/>
        </w:rPr>
        <w:t>To be confirmed by the author before submission.</w:t>
      </w:r>
    </w:p>
    <w:p>
      <w:pPr>
        <w:spacing w:after="160" w:line="320" w:lineRule="auto"/>
        <w:widowControl w:val="1"/>
      </w:pPr>
      <w:r>
        <w:rPr>
          <w:rFonts w:ascii="Calibri" w:hAnsi="Calibri"/>
          <w:b/>
          <w:i w:val="0"/>
          <w:color w:val="19222E"/>
          <w:sz w:val="22"/>
        </w:rPr>
        <w:t xml:space="preserve">Competing interests. </w:t>
      </w:r>
      <w:r>
        <w:rPr>
          <w:rFonts w:ascii="Calibri" w:hAnsi="Calibri"/>
          <w:b w:val="0"/>
          <w:i w:val="0"/>
          <w:color w:val="19222E"/>
          <w:sz w:val="22"/>
        </w:rPr>
        <w:t>To be reviewed and confirmed by the author before any submission.</w:t>
      </w:r>
    </w:p>
    <w:p>
      <w:pPr>
        <w:spacing w:after="160" w:line="320" w:lineRule="auto"/>
        <w:widowControl w:val="1"/>
      </w:pPr>
      <w:r>
        <w:rPr>
          <w:rFonts w:ascii="Calibri" w:hAnsi="Calibri"/>
          <w:b/>
          <w:i w:val="0"/>
          <w:color w:val="19222E"/>
          <w:sz w:val="22"/>
        </w:rPr>
        <w:t xml:space="preserve">Author contribution. </w:t>
      </w:r>
      <w:r>
        <w:rPr>
          <w:rFonts w:ascii="Calibri" w:hAnsi="Calibri"/>
          <w:b w:val="0"/>
          <w:i w:val="0"/>
          <w:color w:val="19222E"/>
          <w:sz w:val="22"/>
        </w:rPr>
        <w:t>AL originated the lived-experience questions and systems framing and directed the scope and values of the paper. The CURL acronym and manuscript structure were developed through dialogue with AI assistance, which also supported literature discovery, synthesis, drafting and document production. The human author must verify the final text and references and remains responsible for any submitted version.</w:t>
      </w:r>
    </w:p>
    <w:p>
      <w:pPr>
        <w:spacing w:after="160" w:line="320" w:lineRule="auto"/>
        <w:widowControl w:val="1"/>
      </w:pPr>
      <w:r>
        <w:rPr>
          <w:rFonts w:ascii="Calibri" w:hAnsi="Calibri"/>
          <w:b/>
          <w:i w:val="0"/>
          <w:color w:val="19222E"/>
          <w:sz w:val="22"/>
        </w:rPr>
        <w:t xml:space="preserve">AI-use disclosure. </w:t>
      </w:r>
      <w:r>
        <w:rPr>
          <w:rFonts w:ascii="Calibri" w:hAnsi="Calibri"/>
          <w:b w:val="0"/>
          <w:i w:val="0"/>
          <w:color w:val="19222E"/>
          <w:sz w:val="22"/>
        </w:rPr>
        <w:t>A generative AI system was used on 6 September 2026 to assist literature discovery, conceptual organisation and drafting. It was instructed to distinguish observation, hypothesis and established evidence and to avoid individual diagnosis. Bibliographic and substantive verification is required before journal submission.</w:t>
      </w:r>
    </w:p>
    <w:p>
      <w:pPr>
        <w:spacing w:after="160" w:line="320" w:lineRule="auto"/>
        <w:widowControl w:val="1"/>
      </w:pPr>
      <w:r>
        <w:rPr>
          <w:rFonts w:ascii="Calibri" w:hAnsi="Calibri"/>
          <w:b/>
          <w:i w:val="0"/>
          <w:color w:val="19222E"/>
          <w:sz w:val="22"/>
        </w:rPr>
        <w:t xml:space="preserve">Clinical disclaimer. </w:t>
      </w:r>
      <w:r>
        <w:rPr>
          <w:rFonts w:ascii="Calibri" w:hAnsi="Calibri"/>
          <w:b w:val="0"/>
          <w:i w:val="0"/>
          <w:color w:val="19222E"/>
          <w:sz w:val="22"/>
        </w:rPr>
        <w:t>This paper is a research hypothesis and does not provide diagnosis or individual treatment advice.</w:t>
      </w:r>
    </w:p>
    <w:p>
      <w:pPr>
        <w:pStyle w:val="Heading1"/>
        <w:widowControl w:val="1"/>
      </w:pPr>
      <w:r>
        <w:t>References</w:t>
      </w:r>
    </w:p>
    <w:p>
      <w:pPr>
        <w:pStyle w:val="Reference"/>
        <w:widowControl w:val="1"/>
      </w:pPr>
      <w:r>
        <w:rPr>
          <w:rFonts w:ascii="Calibri" w:hAnsi="Calibri"/>
          <w:b w:val="0"/>
          <w:i w:val="0"/>
          <w:color w:val="19222E"/>
          <w:sz w:val="20"/>
        </w:rPr>
        <w:t xml:space="preserve">Abbasi Jondani, J., Yazdkhasti, F., &amp; Abedi, A. (2023). Memory confidence and memory accuracy deterioration following repeated checking: A systematic review and meta-analysis. Journal of Behavior Therapy and Experimental Psychiatry, 81, 101855. </w:t>
      </w:r>
      <w:hyperlink r:id="rId12">
        <w:r>
          <w:rPr>
            <w:color w:val="2E74B5"/>
            <w:u w:val="single"/>
            <w:rFonts w:ascii="Calibri" w:hAnsi="Calibri"/>
            <w:sz w:val="20"/>
          </w:rPr>
          <w:t>https://doi.org/10.1016/j.jbtep.2023.101855</w:t>
        </w:r>
      </w:hyperlink>
    </w:p>
    <w:p>
      <w:pPr>
        <w:pStyle w:val="Reference"/>
        <w:widowControl w:val="1"/>
      </w:pPr>
      <w:r>
        <w:rPr>
          <w:rFonts w:ascii="Calibri" w:hAnsi="Calibri"/>
          <w:b w:val="0"/>
          <w:i w:val="0"/>
          <w:color w:val="19222E"/>
          <w:sz w:val="20"/>
        </w:rPr>
        <w:t xml:space="preserve">Abramovitch, A., Abramowitz, J. S., &amp; Mittelman, A. (2013). The neuropsychology of adult obsessive-compulsive disorder: A meta-analysis. Clinical Psychology Review, 33(8), 1163–1171. </w:t>
      </w:r>
      <w:hyperlink r:id="rId13">
        <w:r>
          <w:rPr>
            <w:color w:val="2E74B5"/>
            <w:u w:val="single"/>
            <w:rFonts w:ascii="Calibri" w:hAnsi="Calibri"/>
            <w:sz w:val="20"/>
          </w:rPr>
          <w:t>https://doi.org/10.1016/j.cpr.2013.09.004</w:t>
        </w:r>
      </w:hyperlink>
    </w:p>
    <w:p>
      <w:pPr>
        <w:pStyle w:val="Reference"/>
        <w:widowControl w:val="1"/>
      </w:pPr>
      <w:r>
        <w:rPr>
          <w:rFonts w:ascii="Calibri" w:hAnsi="Calibri"/>
          <w:b w:val="0"/>
          <w:i w:val="0"/>
          <w:color w:val="19222E"/>
          <w:sz w:val="20"/>
        </w:rPr>
        <w:t xml:space="preserve">Banca, P., Vestergaard, M. D., Rankov, V., Baek, K., Mitchell, S., Lapa, T., Castelo-Branco, M., &amp; Voon, V. (2015). Evidence accumulation in obsessive-compulsive disorder: The role of uncertainty and monetary reward on perceptual decision-making thresholds. Neuropsychopharmacology, 40(5), 1192–1202. </w:t>
      </w:r>
      <w:hyperlink r:id="rId14">
        <w:r>
          <w:rPr>
            <w:color w:val="2E74B5"/>
            <w:u w:val="single"/>
            <w:rFonts w:ascii="Calibri" w:hAnsi="Calibri"/>
            <w:sz w:val="20"/>
          </w:rPr>
          <w:t>https://doi.org/10.1038/npp.2014.303</w:t>
        </w:r>
      </w:hyperlink>
    </w:p>
    <w:p>
      <w:pPr>
        <w:pStyle w:val="Reference"/>
        <w:widowControl w:val="1"/>
      </w:pPr>
      <w:r>
        <w:rPr>
          <w:rFonts w:ascii="Calibri" w:hAnsi="Calibri"/>
          <w:b w:val="0"/>
          <w:i w:val="0"/>
          <w:color w:val="19222E"/>
          <w:sz w:val="20"/>
        </w:rPr>
        <w:t xml:space="preserve">Bushnell, M. C., Čeko, M., &amp; Low, L. A. (2013). Cognitive and emotional control of pain and its disruption in chronic pain. Nature Reviews Neuroscience, 14(7), 502–511. </w:t>
      </w:r>
      <w:hyperlink r:id="rId15">
        <w:r>
          <w:rPr>
            <w:color w:val="2E74B5"/>
            <w:u w:val="single"/>
            <w:rFonts w:ascii="Calibri" w:hAnsi="Calibri"/>
            <w:sz w:val="20"/>
          </w:rPr>
          <w:t>https://doi.org/10.1038/nrn3516</w:t>
        </w:r>
      </w:hyperlink>
    </w:p>
    <w:p>
      <w:pPr>
        <w:pStyle w:val="Reference"/>
        <w:widowControl w:val="1"/>
      </w:pPr>
      <w:r>
        <w:rPr>
          <w:rFonts w:ascii="Calibri" w:hAnsi="Calibri"/>
          <w:b w:val="0"/>
          <w:i w:val="0"/>
          <w:color w:val="19222E"/>
          <w:sz w:val="20"/>
        </w:rPr>
        <w:t xml:space="preserve">Cicchetti, D., &amp; Rogosch, F. A. (1996). Equifinality and multifinality in developmental psychopathology. Development and Psychopathology, 8, 597–600. </w:t>
      </w:r>
      <w:hyperlink r:id="rId16">
        <w:r>
          <w:rPr>
            <w:color w:val="2E74B5"/>
            <w:u w:val="single"/>
            <w:rFonts w:ascii="Calibri" w:hAnsi="Calibri"/>
            <w:sz w:val="20"/>
          </w:rPr>
          <w:t>https://doi.org/10.1017/S0954579400007318</w:t>
        </w:r>
      </w:hyperlink>
    </w:p>
    <w:p>
      <w:pPr>
        <w:pStyle w:val="Reference"/>
        <w:widowControl w:val="1"/>
      </w:pPr>
      <w:r>
        <w:rPr>
          <w:rFonts w:ascii="Calibri" w:hAnsi="Calibri"/>
          <w:b w:val="0"/>
          <w:i w:val="0"/>
          <w:color w:val="19222E"/>
          <w:sz w:val="20"/>
        </w:rPr>
        <w:t xml:space="preserve">Clark, C., &amp; Paunovic, K. (2018). WHO environmental noise guidelines for the European Region: A systematic review on environmental noise and cognition. International Journal of Environmental Research and Public Health, 15(2), 285. </w:t>
      </w:r>
      <w:hyperlink r:id="rId17">
        <w:r>
          <w:rPr>
            <w:color w:val="2E74B5"/>
            <w:u w:val="single"/>
            <w:rFonts w:ascii="Calibri" w:hAnsi="Calibri"/>
            <w:sz w:val="20"/>
          </w:rPr>
          <w:t>https://doi.org/10.3390/ijerph15020285</w:t>
        </w:r>
      </w:hyperlink>
    </w:p>
    <w:p>
      <w:pPr>
        <w:pStyle w:val="Reference"/>
        <w:widowControl w:val="1"/>
      </w:pPr>
      <w:r>
        <w:rPr>
          <w:rFonts w:ascii="Calibri" w:hAnsi="Calibri"/>
          <w:b w:val="0"/>
          <w:i w:val="0"/>
          <w:color w:val="19222E"/>
          <w:sz w:val="20"/>
        </w:rPr>
        <w:t xml:space="preserve">Cosco, T. D., Pillinger, T., Emam, H., Solmi, M., Budhdeo, S., Prina, A. M., Maes, M., Stein, D. J., Stubbs, B., &amp; Carvalho, A. F. (2019). Immune aberrations in obsessive-compulsive disorder: A systematic review and meta-analysis. Molecular Neurobiology, 56(7), 4751–4759. </w:t>
      </w:r>
      <w:hyperlink r:id="rId18">
        <w:r>
          <w:rPr>
            <w:color w:val="2E74B5"/>
            <w:u w:val="single"/>
            <w:rFonts w:ascii="Calibri" w:hAnsi="Calibri"/>
            <w:sz w:val="20"/>
          </w:rPr>
          <w:t>https://doi.org/10.1007/s12035-018-1409-x</w:t>
        </w:r>
      </w:hyperlink>
    </w:p>
    <w:p>
      <w:pPr>
        <w:pStyle w:val="Reference"/>
        <w:widowControl w:val="1"/>
      </w:pPr>
      <w:r>
        <w:rPr>
          <w:rFonts w:ascii="Calibri" w:hAnsi="Calibri"/>
          <w:b w:val="0"/>
          <w:i w:val="0"/>
          <w:color w:val="19222E"/>
          <w:sz w:val="20"/>
        </w:rPr>
        <w:t xml:space="preserve">Endres, D., Pollak, T. A., Bechter, K., Denzel, D., Pitsch, K., Nickel, K., Runge, K., Pankratz, B., Klatzmann, D., Tamouza, R., Mallet, L., Leboyer, M., Prüss, H., Voderholzer, U., Cunningham, J. L., Domschke, K., Tebartz van Elst, L., Schiele, M. A., &amp; ECNP Network Immuno-NeuroPsychiatry. (2022). Immunological causes of obsessive-compulsive disorder: Is it time for the concept of an autoimmune OCD subtype? Translational Psychiatry, 12, 5. </w:t>
      </w:r>
      <w:hyperlink r:id="rId19">
        <w:r>
          <w:rPr>
            <w:color w:val="2E74B5"/>
            <w:u w:val="single"/>
            <w:rFonts w:ascii="Calibri" w:hAnsi="Calibri"/>
            <w:sz w:val="20"/>
          </w:rPr>
          <w:t>https://doi.org/10.1038/s41398-021-01700-4</w:t>
        </w:r>
      </w:hyperlink>
    </w:p>
    <w:p>
      <w:pPr>
        <w:pStyle w:val="Reference"/>
        <w:widowControl w:val="1"/>
      </w:pPr>
      <w:r>
        <w:rPr>
          <w:rFonts w:ascii="Calibri" w:hAnsi="Calibri"/>
          <w:b w:val="0"/>
          <w:i w:val="0"/>
          <w:color w:val="19222E"/>
          <w:sz w:val="20"/>
        </w:rPr>
        <w:t xml:space="preserve">Engel, G. L. (1977). The need for a new medical model: A challenge for biomedicine. Science, 196(4286), 129–136. </w:t>
      </w:r>
      <w:hyperlink r:id="rId20">
        <w:r>
          <w:rPr>
            <w:color w:val="2E74B5"/>
            <w:u w:val="single"/>
            <w:rFonts w:ascii="Calibri" w:hAnsi="Calibri"/>
            <w:sz w:val="20"/>
          </w:rPr>
          <w:t>https://doi.org/10.1126/science.847460</w:t>
        </w:r>
      </w:hyperlink>
    </w:p>
    <w:p>
      <w:pPr>
        <w:pStyle w:val="Reference"/>
        <w:widowControl w:val="1"/>
      </w:pPr>
      <w:r>
        <w:rPr>
          <w:rFonts w:ascii="Calibri" w:hAnsi="Calibri"/>
          <w:b w:val="0"/>
          <w:i w:val="0"/>
          <w:color w:val="19222E"/>
          <w:sz w:val="20"/>
        </w:rPr>
        <w:t xml:space="preserve">Fradkin, I., Ludwig, C., Eldar, E., &amp; Huppert, J. D. (2020). Doubting what you already know: Uncertainty regarding state transitions is associated with obsessive compulsive symptoms. PLOS Computational Biology, 16(2), e1007634. </w:t>
      </w:r>
      <w:hyperlink r:id="rId21">
        <w:r>
          <w:rPr>
            <w:color w:val="2E74B5"/>
            <w:u w:val="single"/>
            <w:rFonts w:ascii="Calibri" w:hAnsi="Calibri"/>
            <w:sz w:val="20"/>
          </w:rPr>
          <w:t>https://doi.org/10.1371/journal.pcbi.1007634</w:t>
        </w:r>
      </w:hyperlink>
    </w:p>
    <w:p>
      <w:pPr>
        <w:pStyle w:val="Reference"/>
        <w:widowControl w:val="1"/>
      </w:pPr>
      <w:r>
        <w:rPr>
          <w:rFonts w:ascii="Calibri" w:hAnsi="Calibri"/>
          <w:b w:val="0"/>
          <w:i w:val="0"/>
          <w:color w:val="19222E"/>
          <w:sz w:val="20"/>
        </w:rPr>
        <w:t xml:space="preserve">Gatchel, R. J., Peng, Y. B., Peters, M. L., Fuchs, P. N., &amp; Turk, D. C. (2007). The biopsychosocial approach to chronic pain: Scientific advances and future directions. Psychological Bulletin, 133(4), 581–624. </w:t>
      </w:r>
      <w:hyperlink r:id="rId22">
        <w:r>
          <w:rPr>
            <w:color w:val="2E74B5"/>
            <w:u w:val="single"/>
            <w:rFonts w:ascii="Calibri" w:hAnsi="Calibri"/>
            <w:sz w:val="20"/>
          </w:rPr>
          <w:t>https://doi.org/10.1037/0033-2909.133.4.581</w:t>
        </w:r>
      </w:hyperlink>
    </w:p>
    <w:p>
      <w:pPr>
        <w:pStyle w:val="Reference"/>
        <w:widowControl w:val="1"/>
      </w:pPr>
      <w:r>
        <w:rPr>
          <w:rFonts w:ascii="Calibri" w:hAnsi="Calibri"/>
          <w:b w:val="0"/>
          <w:i w:val="0"/>
          <w:color w:val="19222E"/>
          <w:sz w:val="20"/>
        </w:rPr>
        <w:t xml:space="preserve">Gillan, C. M., Robbins, T. W., Sahakian, B. J., van den Heuvel, O. A., &amp; van Wingen, G. (2016). The role of habit in compulsivity. European Neuropsychopharmacology, 26(5), 828–840. </w:t>
      </w:r>
      <w:hyperlink r:id="rId23">
        <w:r>
          <w:rPr>
            <w:color w:val="2E74B5"/>
            <w:u w:val="single"/>
            <w:rFonts w:ascii="Calibri" w:hAnsi="Calibri"/>
            <w:sz w:val="20"/>
          </w:rPr>
          <w:t>https://doi.org/10.1016/j.euroneuro.2015.12.033</w:t>
        </w:r>
      </w:hyperlink>
    </w:p>
    <w:p>
      <w:pPr>
        <w:pStyle w:val="Reference"/>
        <w:widowControl w:val="1"/>
      </w:pPr>
      <w:r>
        <w:rPr>
          <w:rFonts w:ascii="Calibri" w:hAnsi="Calibri"/>
          <w:b w:val="0"/>
          <w:i w:val="0"/>
          <w:color w:val="19222E"/>
          <w:sz w:val="20"/>
        </w:rPr>
        <w:t xml:space="preserve">Halperin, D. (2014). Environmental noise and sleep disturbances: A threat to health? Sleep Science, 7(4), 209–212. </w:t>
      </w:r>
      <w:hyperlink r:id="rId24">
        <w:r>
          <w:rPr>
            <w:color w:val="2E74B5"/>
            <w:u w:val="single"/>
            <w:rFonts w:ascii="Calibri" w:hAnsi="Calibri"/>
            <w:sz w:val="20"/>
          </w:rPr>
          <w:t>https://doi.org/10.1016/j.slsci.2014.11.003</w:t>
        </w:r>
      </w:hyperlink>
    </w:p>
    <w:p>
      <w:pPr>
        <w:pStyle w:val="Reference"/>
        <w:widowControl w:val="1"/>
      </w:pPr>
      <w:r>
        <w:rPr>
          <w:rFonts w:ascii="Calibri" w:hAnsi="Calibri"/>
          <w:b w:val="0"/>
          <w:i w:val="0"/>
          <w:color w:val="19222E"/>
          <w:sz w:val="20"/>
        </w:rPr>
        <w:t xml:space="preserve">Holtzman, A., Buys, J., Du, L., Forbes, M., &amp; Choi, Y. (2020). The curious case of neural text degeneration. Proceedings of the International Conference on Learning Representations. </w:t>
      </w:r>
      <w:hyperlink r:id="rId25">
        <w:r>
          <w:rPr>
            <w:color w:val="2E74B5"/>
            <w:u w:val="single"/>
            <w:rFonts w:ascii="Calibri" w:hAnsi="Calibri"/>
            <w:sz w:val="20"/>
          </w:rPr>
          <w:t>https://arxiv.org/abs/1904.09751</w:t>
        </w:r>
      </w:hyperlink>
    </w:p>
    <w:p>
      <w:pPr>
        <w:pStyle w:val="Reference"/>
        <w:widowControl w:val="1"/>
      </w:pPr>
      <w:r>
        <w:rPr>
          <w:rFonts w:ascii="Calibri" w:hAnsi="Calibri"/>
          <w:b w:val="0"/>
          <w:i w:val="0"/>
          <w:color w:val="19222E"/>
          <w:sz w:val="20"/>
        </w:rPr>
        <w:t xml:space="preserve">Kelly, K., Keohane, E., &amp; Davy, G. (2025). The effect of chronic pain on memory: A systematic review and meta-analysis exploring the impact of nociceptive, neuropathic and nociplastic pain. Brain and Cognition, 187, 106305. </w:t>
      </w:r>
      <w:hyperlink r:id="rId26">
        <w:r>
          <w:rPr>
            <w:color w:val="2E74B5"/>
            <w:u w:val="single"/>
            <w:rFonts w:ascii="Calibri" w:hAnsi="Calibri"/>
            <w:sz w:val="20"/>
          </w:rPr>
          <w:t>https://doi.org/10.1016/j.bandc.2025.106305</w:t>
        </w:r>
      </w:hyperlink>
    </w:p>
    <w:p>
      <w:pPr>
        <w:pStyle w:val="Reference"/>
        <w:widowControl w:val="1"/>
      </w:pPr>
      <w:r>
        <w:rPr>
          <w:rFonts w:ascii="Calibri" w:hAnsi="Calibri"/>
          <w:b w:val="0"/>
          <w:i w:val="0"/>
          <w:color w:val="19222E"/>
          <w:sz w:val="20"/>
        </w:rPr>
        <w:t xml:space="preserve">McEwen, B. S. (1998). Protective and damaging effects of stress mediators. New England Journal of Medicine, 338(3), 171–179. </w:t>
      </w:r>
      <w:hyperlink r:id="rId27">
        <w:r>
          <w:rPr>
            <w:color w:val="2E74B5"/>
            <w:u w:val="single"/>
            <w:rFonts w:ascii="Calibri" w:hAnsi="Calibri"/>
            <w:sz w:val="20"/>
          </w:rPr>
          <w:t>https://doi.org/10.1056/NEJM199801153380307</w:t>
        </w:r>
      </w:hyperlink>
    </w:p>
    <w:p>
      <w:pPr>
        <w:pStyle w:val="Reference"/>
        <w:widowControl w:val="1"/>
      </w:pPr>
      <w:r>
        <w:rPr>
          <w:rFonts w:ascii="Calibri" w:hAnsi="Calibri"/>
          <w:b w:val="0"/>
          <w:i w:val="0"/>
          <w:color w:val="19222E"/>
          <w:sz w:val="20"/>
        </w:rPr>
        <w:t xml:space="preserve">Moore, E., Mander, A., Ames, D., Carne, R., Sanders, K., &amp; Watters, D. (2012). Cognitive impairment and vitamin B12: A review. International Psychogeriatrics, 24(4), 541–556. </w:t>
      </w:r>
      <w:hyperlink r:id="rId28">
        <w:r>
          <w:rPr>
            <w:color w:val="2E74B5"/>
            <w:u w:val="single"/>
            <w:rFonts w:ascii="Calibri" w:hAnsi="Calibri"/>
            <w:sz w:val="20"/>
          </w:rPr>
          <w:t>https://doi.org/10.1017/S1041610211002511</w:t>
        </w:r>
      </w:hyperlink>
    </w:p>
    <w:p>
      <w:pPr>
        <w:pStyle w:val="Reference"/>
        <w:widowControl w:val="1"/>
      </w:pPr>
      <w:r>
        <w:rPr>
          <w:rFonts w:ascii="Calibri" w:hAnsi="Calibri"/>
          <w:b w:val="0"/>
          <w:i w:val="0"/>
          <w:color w:val="19222E"/>
          <w:sz w:val="20"/>
        </w:rPr>
        <w:t xml:space="preserve">Moran, T. P. (2016). Anxiety and working memory capacity: A meta-analysis and narrative review. Psychological Bulletin, 142(8), 831–864. </w:t>
      </w:r>
      <w:hyperlink r:id="rId29">
        <w:r>
          <w:rPr>
            <w:color w:val="2E74B5"/>
            <w:u w:val="single"/>
            <w:rFonts w:ascii="Calibri" w:hAnsi="Calibri"/>
            <w:sz w:val="20"/>
          </w:rPr>
          <w:t>https://doi.org/10.1037/bul0000051</w:t>
        </w:r>
      </w:hyperlink>
    </w:p>
    <w:p>
      <w:pPr>
        <w:pStyle w:val="Reference"/>
        <w:widowControl w:val="1"/>
      </w:pPr>
      <w:r>
        <w:rPr>
          <w:rFonts w:ascii="Calibri" w:hAnsi="Calibri"/>
          <w:b w:val="0"/>
          <w:i w:val="0"/>
          <w:color w:val="19222E"/>
          <w:sz w:val="20"/>
        </w:rPr>
        <w:t xml:space="preserve">Moriarty, O., McGuire, B. E., &amp; Finn, D. P. (2011). The effect of pain on cognitive function: A review of clinical and preclinical research. Progress in Neurobiology, 93(3), 385–404. </w:t>
      </w:r>
      <w:hyperlink r:id="rId30">
        <w:r>
          <w:rPr>
            <w:color w:val="2E74B5"/>
            <w:u w:val="single"/>
            <w:rFonts w:ascii="Calibri" w:hAnsi="Calibri"/>
            <w:sz w:val="20"/>
          </w:rPr>
          <w:t>https://doi.org/10.1016/j.pneurobio.2011.01.002</w:t>
        </w:r>
      </w:hyperlink>
    </w:p>
    <w:p>
      <w:pPr>
        <w:pStyle w:val="Reference"/>
        <w:widowControl w:val="1"/>
      </w:pPr>
      <w:r>
        <w:rPr>
          <w:rFonts w:ascii="Calibri" w:hAnsi="Calibri"/>
          <w:b w:val="0"/>
          <w:i w:val="0"/>
          <w:color w:val="19222E"/>
          <w:sz w:val="20"/>
        </w:rPr>
        <w:t xml:space="preserve">National Health Service. (2026, January 20). How and when to take pregabalin. </w:t>
      </w:r>
      <w:hyperlink r:id="rId31">
        <w:r>
          <w:rPr>
            <w:color w:val="2E74B5"/>
            <w:u w:val="single"/>
            <w:rFonts w:ascii="Calibri" w:hAnsi="Calibri"/>
            <w:sz w:val="20"/>
          </w:rPr>
          <w:t>https://www.nhs.uk/medicines/pregabalin/how-and-when-to-take-pregabalin/</w:t>
        </w:r>
      </w:hyperlink>
    </w:p>
    <w:p>
      <w:pPr>
        <w:pStyle w:val="Reference"/>
        <w:widowControl w:val="1"/>
      </w:pPr>
      <w:r>
        <w:rPr>
          <w:rFonts w:ascii="Calibri" w:hAnsi="Calibri"/>
          <w:b w:val="0"/>
          <w:i w:val="0"/>
          <w:color w:val="19222E"/>
          <w:sz w:val="20"/>
        </w:rPr>
        <w:t xml:space="preserve">Palmer, C. A., Bower, J. L., Cho, K. W., Clementi, M. A., Lau, S., Oosterhoff, B., &amp; Alfano, C. A. (2024). Sleep loss and emotion: A systematic review and meta-analysis of over fifty years of experimental research. Psychological Bulletin, 150(4), 440–463. </w:t>
      </w:r>
      <w:hyperlink r:id="rId32">
        <w:r>
          <w:rPr>
            <w:color w:val="2E74B5"/>
            <w:u w:val="single"/>
            <w:rFonts w:ascii="Calibri" w:hAnsi="Calibri"/>
            <w:sz w:val="20"/>
          </w:rPr>
          <w:t>https://doi.org/10.1037/bul0000410</w:t>
        </w:r>
      </w:hyperlink>
    </w:p>
    <w:p>
      <w:pPr>
        <w:pStyle w:val="Reference"/>
        <w:widowControl w:val="1"/>
      </w:pPr>
      <w:r>
        <w:rPr>
          <w:rFonts w:ascii="Calibri" w:hAnsi="Calibri"/>
          <w:b w:val="0"/>
          <w:i w:val="0"/>
          <w:color w:val="19222E"/>
          <w:sz w:val="20"/>
        </w:rPr>
        <w:t xml:space="preserve">Runge, K., Feige, B., Schiele, M. A., von Zedtwitz, K., Maier, A., Stöcker, N., Dressle, R. J., Baldermann, J. C., Maier, S. J., Nickel, K., Prüss, H., Coenen, V. A., Voderholzer, U., Domschke, K., Tebartz van Elst, L., &amp; Endres, D. (2026). Secondary obsessive-compulsive syndromes: A systematic literature review resulting in 228 suspected cases. Molecular Psychiatry, 31(2), 1121–1131. </w:t>
      </w:r>
      <w:hyperlink r:id="rId33">
        <w:r>
          <w:rPr>
            <w:color w:val="2E74B5"/>
            <w:u w:val="single"/>
            <w:rFonts w:ascii="Calibri" w:hAnsi="Calibri"/>
            <w:sz w:val="20"/>
          </w:rPr>
          <w:t>https://doi.org/10.1038/s41380-025-03395-1</w:t>
        </w:r>
      </w:hyperlink>
    </w:p>
    <w:p>
      <w:pPr>
        <w:pStyle w:val="Reference"/>
        <w:widowControl w:val="1"/>
      </w:pPr>
      <w:r>
        <w:rPr>
          <w:rFonts w:ascii="Calibri" w:hAnsi="Calibri"/>
          <w:b w:val="0"/>
          <w:i w:val="0"/>
          <w:color w:val="19222E"/>
          <w:sz w:val="20"/>
        </w:rPr>
        <w:t xml:space="preserve">Salinsky, M., Storzbach, D., &amp; Munoz, S. (2010). Cognitive effects of pregabalin in healthy volunteers: A double-blind, placebo-controlled trial. Neurology, 74(9), 755–761. </w:t>
      </w:r>
      <w:hyperlink r:id="rId34">
        <w:r>
          <w:rPr>
            <w:color w:val="2E74B5"/>
            <w:u w:val="single"/>
            <w:rFonts w:ascii="Calibri" w:hAnsi="Calibri"/>
            <w:sz w:val="20"/>
          </w:rPr>
          <w:t>https://doi.org/10.1212/WNL.0b013e3181d25b34</w:t>
        </w:r>
      </w:hyperlink>
    </w:p>
    <w:p>
      <w:pPr>
        <w:pStyle w:val="Reference"/>
        <w:widowControl w:val="1"/>
      </w:pPr>
      <w:r>
        <w:rPr>
          <w:rFonts w:ascii="Calibri" w:hAnsi="Calibri"/>
          <w:b w:val="0"/>
          <w:i w:val="0"/>
          <w:color w:val="19222E"/>
          <w:sz w:val="20"/>
        </w:rPr>
        <w:t xml:space="preserve">Segerstrom, S. C., &amp; Miller, G. E. (2004). Psychological stress and the human immune system: A meta-analytic study of 30 years of inquiry. Psychological Bulletin, 130(4), 601–630. </w:t>
      </w:r>
      <w:hyperlink r:id="rId35">
        <w:r>
          <w:rPr>
            <w:color w:val="2E74B5"/>
            <w:u w:val="single"/>
            <w:rFonts w:ascii="Calibri" w:hAnsi="Calibri"/>
            <w:sz w:val="20"/>
          </w:rPr>
          <w:t>https://doi.org/10.1037/0033-2909.130.4.601</w:t>
        </w:r>
      </w:hyperlink>
    </w:p>
    <w:p>
      <w:pPr>
        <w:pStyle w:val="Reference"/>
        <w:widowControl w:val="1"/>
      </w:pPr>
      <w:r>
        <w:rPr>
          <w:rFonts w:ascii="Calibri" w:hAnsi="Calibri"/>
          <w:b w:val="0"/>
          <w:i w:val="0"/>
          <w:color w:val="19222E"/>
          <w:sz w:val="20"/>
        </w:rPr>
        <w:t xml:space="preserve">Sharma, M., Tong, M., Korbak, T., Duvenaud, D., Askell, A., Bowman, S. R., Durmus, E., Hatfield-Dodds, Z., Johnston, S. R., Kravec, S., Maxwell, T., McCandlish, S., Ndousse, K., Rausch, O., Schiefer, N., Yan, D., Zhang, M., &amp; Perez, E. (2024). Towards understanding sycophancy in language models. Proceedings of the International Conference on Learning Representations. </w:t>
      </w:r>
      <w:hyperlink r:id="rId36">
        <w:r>
          <w:rPr>
            <w:color w:val="2E74B5"/>
            <w:u w:val="single"/>
            <w:rFonts w:ascii="Calibri" w:hAnsi="Calibri"/>
            <w:sz w:val="20"/>
          </w:rPr>
          <w:t>https://proceedings.iclr.cc/paper_files/paper/2024/hash/0105f7972202c1d4fb817da9f21a9663-Abstract-Conference.html</w:t>
        </w:r>
      </w:hyperlink>
    </w:p>
    <w:p>
      <w:pPr>
        <w:pStyle w:val="Reference"/>
        <w:widowControl w:val="1"/>
      </w:pPr>
      <w:r>
        <w:rPr>
          <w:rFonts w:ascii="Calibri" w:hAnsi="Calibri"/>
          <w:b w:val="0"/>
          <w:i w:val="0"/>
          <w:color w:val="19222E"/>
          <w:sz w:val="20"/>
        </w:rPr>
        <w:t xml:space="preserve">van den Hout, M., &amp; Kindt, M. (2003). Repeated checking causes memory distrust. Behaviour Research and Therapy, 41(3), 301–316. </w:t>
      </w:r>
      <w:hyperlink r:id="rId37">
        <w:r>
          <w:rPr>
            <w:color w:val="2E74B5"/>
            <w:u w:val="single"/>
            <w:rFonts w:ascii="Calibri" w:hAnsi="Calibri"/>
            <w:sz w:val="20"/>
          </w:rPr>
          <w:t>https://doi.org/10.1016/S0005-7967(02)00012-8</w:t>
        </w:r>
      </w:hyperlink>
    </w:p>
    <w:p>
      <w:pPr>
        <w:pStyle w:val="Reference"/>
        <w:widowControl w:val="1"/>
      </w:pPr>
      <w:r>
        <w:rPr>
          <w:rFonts w:ascii="Calibri" w:hAnsi="Calibri"/>
          <w:b w:val="0"/>
          <w:i w:val="0"/>
          <w:color w:val="19222E"/>
          <w:sz w:val="20"/>
        </w:rPr>
        <w:t xml:space="preserve">Xu, H., Zhou, X., Xu, S., Fang, Z., Li, C., Lv, Y., Cheng, K., &amp; Ren, Y. (2025). Exposure to air pollution and cognitive function based on the Mini-Mental State Examination: A systematic review and meta-analysis. International Journal of Environmental Health Research, 35(7), 1958–1971. </w:t>
      </w:r>
      <w:hyperlink r:id="rId38">
        <w:r>
          <w:rPr>
            <w:color w:val="2E74B5"/>
            <w:u w:val="single"/>
            <w:rFonts w:ascii="Calibri" w:hAnsi="Calibri"/>
            <w:sz w:val="20"/>
          </w:rPr>
          <w:t>https://doi.org/10.1080/09603123.2024.2418010</w:t>
        </w:r>
      </w:hyperlink>
    </w:p>
    <w:p>
      <w:pPr>
        <w:pStyle w:val="Heading1"/>
        <w:widowControl w:val="1"/>
      </w:pPr>
      <w:r>
        <w:t>Verification note</w:t>
      </w:r>
    </w:p>
    <w:p>
      <w:pPr>
        <w:spacing w:after="160" w:line="320" w:lineRule="auto"/>
        <w:widowControl w:val="1"/>
      </w:pPr>
      <w:r>
        <w:rPr>
          <w:rFonts w:ascii="Calibri" w:hAnsi="Calibri"/>
          <w:b w:val="0"/>
          <w:i w:val="0"/>
          <w:color w:val="19222E"/>
          <w:sz w:val="22"/>
        </w:rPr>
        <w:t>Before submission to a journal, the author should independently verify every reference against the publisher record, select a target journal, adapt the manuscript to that journal's word limit and reference style, and obtain review from appropriately qualified clinicians and researchers. The present paper is designed as a medically cautious research draft, not as peer-reviewed evidence for an individual diagnosis or causal allegation.</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b w:val="0"/>
        <w:i w:val="0"/>
        <w:color w:val="5A626C"/>
        <w:sz w:val="18"/>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i w:val="0"/>
        <w:color w:val="5A626C"/>
        <w:sz w:val="18"/>
      </w:rPr>
      <w:t>CURL conceptual paper</w:t>
    </w:r>
    <w:r>
      <w:rPr>
        <w:rFonts w:ascii="Calibri" w:hAnsi="Calibri"/>
        <w:b w:val="0"/>
        <w:i w:val="0"/>
        <w:color w:val="5A626C"/>
        <w:sz w:val="18"/>
      </w:rPr>
      <w:t xml:space="preserve">  |  Draft - not peer reviewed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60" w:line="320" w:lineRule="auto"/>
      <w:jc w:val="both"/>
    </w:pPr>
    <w:rPr>
      <w:rFonts w:ascii="Calibri" w:hAnsi="Calibri"/>
      <w:color w:val="19222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pPr>
      <w:spacing w:after="100" w:line="276" w:lineRule="auto"/>
      <w:ind w:left="403" w:hanging="403"/>
    </w:pPr>
    <w:rPr>
      <w:rFonts w:ascii="Calibri" w:hAnsi="Calibri"/>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doi.org/10.1016/j.jbtep.2023.101855" TargetMode="External"/><Relationship Id="rId13" Type="http://schemas.openxmlformats.org/officeDocument/2006/relationships/hyperlink" Target="https://doi.org/10.1016/j.cpr.2013.09.004" TargetMode="External"/><Relationship Id="rId14" Type="http://schemas.openxmlformats.org/officeDocument/2006/relationships/hyperlink" Target="https://doi.org/10.1038/npp.2014.303" TargetMode="External"/><Relationship Id="rId15" Type="http://schemas.openxmlformats.org/officeDocument/2006/relationships/hyperlink" Target="https://doi.org/10.1038/nrn3516" TargetMode="External"/><Relationship Id="rId16" Type="http://schemas.openxmlformats.org/officeDocument/2006/relationships/hyperlink" Target="https://doi.org/10.1017/S0954579400007318" TargetMode="External"/><Relationship Id="rId17" Type="http://schemas.openxmlformats.org/officeDocument/2006/relationships/hyperlink" Target="https://doi.org/10.3390/ijerph15020285" TargetMode="External"/><Relationship Id="rId18" Type="http://schemas.openxmlformats.org/officeDocument/2006/relationships/hyperlink" Target="https://doi.org/10.1007/s12035-018-1409-x" TargetMode="External"/><Relationship Id="rId19" Type="http://schemas.openxmlformats.org/officeDocument/2006/relationships/hyperlink" Target="https://doi.org/10.1038/s41398-021-01700-4" TargetMode="External"/><Relationship Id="rId20" Type="http://schemas.openxmlformats.org/officeDocument/2006/relationships/hyperlink" Target="https://doi.org/10.1126/science.847460" TargetMode="External"/><Relationship Id="rId21" Type="http://schemas.openxmlformats.org/officeDocument/2006/relationships/hyperlink" Target="https://doi.org/10.1371/journal.pcbi.1007634" TargetMode="External"/><Relationship Id="rId22" Type="http://schemas.openxmlformats.org/officeDocument/2006/relationships/hyperlink" Target="https://doi.org/10.1037/0033-2909.133.4.581" TargetMode="External"/><Relationship Id="rId23" Type="http://schemas.openxmlformats.org/officeDocument/2006/relationships/hyperlink" Target="https://doi.org/10.1016/j.euroneuro.2015.12.033" TargetMode="External"/><Relationship Id="rId24" Type="http://schemas.openxmlformats.org/officeDocument/2006/relationships/hyperlink" Target="https://doi.org/10.1016/j.slsci.2014.11.003" TargetMode="External"/><Relationship Id="rId25" Type="http://schemas.openxmlformats.org/officeDocument/2006/relationships/hyperlink" Target="https://arxiv.org/abs/1904.09751" TargetMode="External"/><Relationship Id="rId26" Type="http://schemas.openxmlformats.org/officeDocument/2006/relationships/hyperlink" Target="https://doi.org/10.1016/j.bandc.2025.106305" TargetMode="External"/><Relationship Id="rId27" Type="http://schemas.openxmlformats.org/officeDocument/2006/relationships/hyperlink" Target="https://doi.org/10.1056/NEJM199801153380307" TargetMode="External"/><Relationship Id="rId28" Type="http://schemas.openxmlformats.org/officeDocument/2006/relationships/hyperlink" Target="https://doi.org/10.1017/S1041610211002511" TargetMode="External"/><Relationship Id="rId29" Type="http://schemas.openxmlformats.org/officeDocument/2006/relationships/hyperlink" Target="https://doi.org/10.1037/bul0000051" TargetMode="External"/><Relationship Id="rId30" Type="http://schemas.openxmlformats.org/officeDocument/2006/relationships/hyperlink" Target="https://doi.org/10.1016/j.pneurobio.2011.01.002" TargetMode="External"/><Relationship Id="rId31" Type="http://schemas.openxmlformats.org/officeDocument/2006/relationships/hyperlink" Target="https://www.nhs.uk/medicines/pregabalin/how-and-when-to-take-pregabalin/" TargetMode="External"/><Relationship Id="rId32" Type="http://schemas.openxmlformats.org/officeDocument/2006/relationships/hyperlink" Target="https://doi.org/10.1037/bul0000410" TargetMode="External"/><Relationship Id="rId33" Type="http://schemas.openxmlformats.org/officeDocument/2006/relationships/hyperlink" Target="https://doi.org/10.1038/s41380-025-03395-1" TargetMode="External"/><Relationship Id="rId34" Type="http://schemas.openxmlformats.org/officeDocument/2006/relationships/hyperlink" Target="https://doi.org/10.1212/WNL.0b013e3181d25b34" TargetMode="External"/><Relationship Id="rId35" Type="http://schemas.openxmlformats.org/officeDocument/2006/relationships/hyperlink" Target="https://doi.org/10.1037/0033-2909.130.4.601" TargetMode="External"/><Relationship Id="rId36" Type="http://schemas.openxmlformats.org/officeDocument/2006/relationships/hyperlink" Target="https://proceedings.iclr.cc/paper_files/paper/2024/hash/0105f7972202c1d4fb817da9f21a9663-Abstract-Conference.html" TargetMode="External"/><Relationship Id="rId37" Type="http://schemas.openxmlformats.org/officeDocument/2006/relationships/hyperlink" Target="https://doi.org/10.1016/S0005-7967(02)00012-8" TargetMode="External"/><Relationship Id="rId38" Type="http://schemas.openxmlformats.org/officeDocument/2006/relationships/hyperlink" Target="https://doi.org/10.1080/09603123.2024.2418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Capacity–Uncertainty Regulation Loop (CURL)</dc:title>
  <dc:subject>Conceptual hypothesis and targeted narrative review</dc:subject>
  <dc:creator>AL</dc:creator>
  <cp:keywords>CURL, OCD, checking, memory confidence, uncertainty, pain, stress, pregabalin</cp:keywords>
  <dc:description>Draft generated with disclosed AI assistance; not peer reviewed.</dc:description>
  <cp:lastModifiedBy/>
  <cp:revision>1</cp:revision>
  <dcterms:created xsi:type="dcterms:W3CDTF">2013-12-23T23:15:00Z</dcterms:created>
  <dcterms:modified xsi:type="dcterms:W3CDTF">2013-12-23T23:15:00Z</dcterms:modified>
  <cp:category/>
</cp:coreProperties>
</file>