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When Organisations Fail Corporate Manslaughter and Preventable Death in the United Kingdom</w:t>
      </w:r>
    </w:p>
    <w:p>
      <w:r>
        <w:br w:type="page"/>
      </w:r>
    </w:p>
    <w:p>
      <w:pPr>
        <w:pStyle w:val="Heading1"/>
        <w:pBdr>
          <w:bottom w:val="single" w:sz="8" w:space="4" w:color="2F5597"/>
        </w:pBdr>
      </w:pPr>
      <w:r>
        <w:t>Executive summary</w:t>
      </w:r>
    </w:p>
    <w:p>
      <w:r>
        <w:t>The Corporate Manslaughter and Corporate Homicide Act 2007 is not limited to private companies and is not limited to any industry. It can apply to corporations, specified government departments and bodies, police forces, and certain partnerships, trade unions and employers associations. It can therefore reach construction firms, manufacturers, energy businesses, supermarkets, private medical practices, NHS foundation trusts, care providers, media companies and online platforms where the statutory conditions are met. The label or industry is not decisive. The legal structure, duty of care, management failure, causation and territorial rules are.</w:t>
      </w:r>
      <w:r>
        <w:rPr>
          <w:color w:val="2F5597"/>
          <w:vertAlign w:val="superscript"/>
        </w:rPr>
        <w:t>[1]</w:t>
      </w:r>
      <w:r>
        <w:rPr>
          <w:color w:val="2F5597"/>
          <w:vertAlign w:val="superscript"/>
        </w:rPr>
        <w:t>[3]</w:t>
      </w:r>
    </w:p>
    <w:p>
      <w:r>
        <w:t>The offence is deliberately narrow. Prosecutors must prove beyond reasonable doubt that a qualifying organisation owed the deceased a relevant duty of care; that the way its activities were managed or organised was a gross breach; that senior management made a substantial contribution to that breach; and that the breach caused or more than minimally contributed to the death. Individuals are not defendants under this Act, although they may face gross negligence manslaughter, health and safety, fraud or other offences in their own right.</w:t>
      </w:r>
      <w:r>
        <w:rPr>
          <w:color w:val="2F5597"/>
          <w:vertAlign w:val="superscript"/>
        </w:rPr>
        <w:t>[3]</w:t>
      </w:r>
    </w:p>
    <w:p>
      <w:r>
        <w:t>This paper reviews the law, evidence requirements, ten illustrative convictions, ten unsuccessful or alternative outcomes, ten years of fatal injury data in construction and manufacturing, medical and medicines issues, slow deaths from harmful exposure, and current matters awaiting a decision. It is a public education and screening document, not legal advice and not a finding of guilt.</w:t>
      </w:r>
    </w:p>
    <w:tbl>
      <w:tblPr>
        <w:tblW w:type="auto" w:w="0"/>
        <w:jc w:val="center"/>
        <w:tblLook w:firstColumn="1" w:firstRow="1" w:lastColumn="0" w:lastRow="0" w:noHBand="0" w:noVBand="1" w:val="04A0"/>
      </w:tblPr>
      <w:tblGrid>
        <w:gridCol w:w="9663"/>
      </w:tblGrid>
      <w:tr>
        <w:tc>
          <w:tcPr>
            <w:tcW w:type="dxa" w:w="9663"/>
            <w:shd w:fill="D9EAF7"/>
            <w:tcMar>
              <w:top w:w="130" w:type="dxa"/>
              <w:start w:w="160" w:type="dxa"/>
              <w:bottom w:w="130" w:type="dxa"/>
              <w:end w:w="160" w:type="dxa"/>
            </w:tcMar>
          </w:tcPr>
          <w:p>
            <w:pPr>
              <w:spacing w:after="80"/>
            </w:pPr>
            <w:r>
              <w:rPr>
                <w:b/>
                <w:color w:val="17365D"/>
              </w:rPr>
              <w:t>Central finding</w:t>
            </w:r>
          </w:p>
          <w:p>
            <w:pPr>
              <w:spacing w:after="0"/>
            </w:pPr>
            <w:r>
              <w:t>The Act is universal across qualifying organisations, not universal across every harmful event. A death connected to an organisation does not become corporate manslaughter unless every statutory element can be proved to the criminal standard.</w:t>
            </w:r>
          </w:p>
        </w:tc>
        <w:trPr>
          <w:tblHeader/>
        </w:trPr>
      </w:tr>
    </w:tbl>
    <w:p>
      <w:pPr>
        <w:pStyle w:val="Heading1"/>
        <w:pBdr>
          <w:bottom w:val="single" w:sz="8" w:space="4" w:color="2F5597"/>
        </w:pBdr>
      </w:pPr>
      <w:r>
        <w:t>Scope limitations and public purpose</w:t>
      </w:r>
    </w:p>
    <w:p>
      <w:r>
        <w:t>The figures in this paper are a minimum based on publicly identifiable information located during the investigation so far. They are not a complete count. The number of relevant deaths and incidents is expected to be substantially higher as the research expands.</w:t>
      </w:r>
    </w:p>
    <w:p>
      <w:r>
        <w:t>Important omissions may include deaths that were not reported or were recorded under another category; deaths occurring years after harmful exposure; cases awaiting an inquest, expert evidence or a regulatory decision; patient and service user deaths excluded from published workplace fatality statistics; and information that is not yet publicly available. This initial review is therefore a surface scan and an evolving evidence register, not the completed investigation.</w:t>
      </w:r>
    </w:p>
    <w:p>
      <w:r>
        <w:t>This does not mean that every identified death amounts to corporate manslaughter. Each case must be assessed individually against the statutory requirements of duty of care, gross breach, senior management involvement and causation. The purpose is to identify matters that may warrant closer examination, not to presume guilt.</w:t>
      </w:r>
    </w:p>
    <w:p>
      <w:r>
        <w:t>One purpose of this paper is public legal education. Many workers, patients, families and witnesses do not know that the Corporate Manslaughter and Corporate Homicide Act exists, which organisations it covers, what evidence is required, or where concerns should be reported. Lack of awareness may mean that relevant evidence, recurring organisational failures and potentially connected deaths are never examined together.</w:t>
      </w:r>
    </w:p>
    <w:p>
      <w:r>
        <w:t>The paper therefore aims to explain the law in accessible language, preserve a transparent evidence trail and help distinguish corporate manslaughter from individual wrongdoing, ordinary negligence, regulatory breaches and unavoidable death. The register will be updated as further reliable evidence becomes available.</w:t>
      </w:r>
    </w:p>
    <w:tbl>
      <w:tblPr>
        <w:tblW w:type="auto" w:w="0"/>
        <w:jc w:val="center"/>
        <w:tblLook w:firstColumn="1" w:firstRow="1" w:lastColumn="0" w:lastRow="0" w:noHBand="0" w:noVBand="1" w:val="04A0"/>
      </w:tblPr>
      <w:tblGrid>
        <w:gridCol w:w="9663"/>
      </w:tblGrid>
      <w:tr>
        <w:tc>
          <w:tcPr>
            <w:tcW w:type="dxa" w:w="9663"/>
            <w:shd w:fill="FCE4D6"/>
            <w:tcMar>
              <w:top w:w="130" w:type="dxa"/>
              <w:start w:w="160" w:type="dxa"/>
              <w:bottom w:w="130" w:type="dxa"/>
              <w:end w:w="160" w:type="dxa"/>
            </w:tcMar>
          </w:tcPr>
          <w:p>
            <w:pPr>
              <w:spacing w:after="80"/>
            </w:pPr>
            <w:r>
              <w:rPr>
                <w:b/>
                <w:color w:val="17365D"/>
              </w:rPr>
              <w:t>Fairness safeguard</w:t>
            </w:r>
          </w:p>
          <w:p>
            <w:pPr>
              <w:spacing w:after="0"/>
            </w:pPr>
            <w:r>
              <w:t>Nothing in this draft alleges that an organisation or person is guilty unless a court conviction is expressly recorded. Live allegations and investigations are stated only as matters requiring lawful, independent examination.</w:t>
            </w:r>
          </w:p>
        </w:tc>
        <w:trPr>
          <w:tblHeader/>
        </w:trPr>
      </w:tr>
    </w:tbl>
    <w:p>
      <w:pPr>
        <w:pStyle w:val="Heading1"/>
        <w:pBdr>
          <w:bottom w:val="single" w:sz="8" w:space="4" w:color="2F5597"/>
        </w:pBdr>
      </w:pPr>
      <w:r>
        <w:t>The law and who it covers</w:t>
      </w:r>
    </w:p>
    <w:p>
      <w:pPr>
        <w:pStyle w:val="Heading2"/>
      </w:pPr>
      <w:r>
        <w:t>The statutory test</w:t>
      </w:r>
    </w:p>
    <w:p>
      <w:r>
        <w:t>Section 1 creates the offence. An organisation is guilty if the way its activities are managed or organised causes a death and amounts to a gross breach of a relevant duty of care, but only where senior management's management or organisation of those activities is a substantial element in the breach. Gross means conduct falling far below what could reasonably be expected in the circumstances.</w:t>
      </w:r>
      <w:r>
        <w:rPr>
          <w:color w:val="2F5597"/>
          <w:vertAlign w:val="superscript"/>
        </w:rPr>
        <w:t>[1]</w:t>
      </w:r>
      <w:r>
        <w:rPr>
          <w:color w:val="2F5597"/>
          <w:vertAlign w:val="superscript"/>
        </w:rPr>
        <w:t>[2]</w:t>
      </w:r>
      <w:r>
        <w:rPr>
          <w:color w:val="2F5597"/>
          <w:vertAlign w:val="superscript"/>
        </w:rPr>
        <w:t>[3]</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1944"/>
            <w:shd w:fill="17365D"/>
            <w:tcMar>
              <w:top w:w="80" w:type="dxa"/>
              <w:start w:w="90" w:type="dxa"/>
              <w:bottom w:w="80" w:type="dxa"/>
              <w:end w:w="90" w:type="dxa"/>
            </w:tcMar>
            <w:vAlign w:val="center"/>
          </w:tcPr>
          <w:p>
            <w:pPr>
              <w:jc w:val="left"/>
            </w:pPr>
            <w:r>
              <w:rPr>
                <w:b/>
                <w:color w:val="FFFFFF"/>
                <w:sz w:val="17"/>
              </w:rPr>
              <w:t>Element</w:t>
            </w:r>
          </w:p>
        </w:tc>
        <w:tc>
          <w:tcPr>
            <w:tcW w:type="dxa" w:w="3528"/>
            <w:shd w:fill="17365D"/>
            <w:tcMar>
              <w:top w:w="80" w:type="dxa"/>
              <w:start w:w="90" w:type="dxa"/>
              <w:bottom w:w="80" w:type="dxa"/>
              <w:end w:w="90" w:type="dxa"/>
            </w:tcMar>
            <w:vAlign w:val="center"/>
          </w:tcPr>
          <w:p>
            <w:pPr>
              <w:jc w:val="left"/>
            </w:pPr>
            <w:r>
              <w:rPr>
                <w:b/>
                <w:color w:val="FFFFFF"/>
                <w:sz w:val="17"/>
              </w:rPr>
              <w:t>Question for investigators</w:t>
            </w:r>
          </w:p>
        </w:tc>
        <w:tc>
          <w:tcPr>
            <w:tcW w:type="dxa" w:w="4104"/>
            <w:shd w:fill="17365D"/>
            <w:tcMar>
              <w:top w:w="80" w:type="dxa"/>
              <w:start w:w="90" w:type="dxa"/>
              <w:bottom w:w="80" w:type="dxa"/>
              <w:end w:w="90" w:type="dxa"/>
            </w:tcMar>
            <w:vAlign w:val="center"/>
          </w:tcPr>
          <w:p>
            <w:pPr>
              <w:jc w:val="left"/>
            </w:pPr>
            <w:r>
              <w:rPr>
                <w:b/>
                <w:color w:val="FFFFFF"/>
                <w:sz w:val="17"/>
              </w:rPr>
              <w:t>Typical proof</w:t>
            </w:r>
          </w:p>
        </w:tc>
      </w:tr>
      <w:tr>
        <w:trPr>
          <w:cantSplit/>
        </w:trPr>
        <w:tc>
          <w:tcPr>
            <w:tcW w:type="dxa" w:w="1944"/>
            <w:tcMar>
              <w:top w:w="80" w:type="dxa"/>
              <w:start w:w="90" w:type="dxa"/>
              <w:bottom w:w="80" w:type="dxa"/>
              <w:end w:w="90" w:type="dxa"/>
            </w:tcMar>
            <w:vAlign w:val="top"/>
          </w:tcPr>
          <w:p>
            <w:r>
              <w:rPr>
                <w:sz w:val="17"/>
              </w:rPr>
              <w:t>Qualifying organisation</w:t>
            </w:r>
          </w:p>
        </w:tc>
        <w:tc>
          <w:tcPr>
            <w:tcW w:type="dxa" w:w="3528"/>
            <w:tcMar>
              <w:top w:w="80" w:type="dxa"/>
              <w:start w:w="90" w:type="dxa"/>
              <w:bottom w:w="80" w:type="dxa"/>
              <w:end w:w="90" w:type="dxa"/>
            </w:tcMar>
            <w:vAlign w:val="top"/>
          </w:tcPr>
          <w:p>
            <w:r>
              <w:rPr>
                <w:sz w:val="17"/>
              </w:rPr>
              <w:t>Is the proposed defendant one of the bodies covered by section 1</w:t>
            </w:r>
          </w:p>
        </w:tc>
        <w:tc>
          <w:tcPr>
            <w:tcW w:type="dxa" w:w="4104"/>
            <w:tcMar>
              <w:top w:w="80" w:type="dxa"/>
              <w:start w:w="90" w:type="dxa"/>
              <w:bottom w:w="80" w:type="dxa"/>
              <w:end w:w="90" w:type="dxa"/>
            </w:tcMar>
            <w:vAlign w:val="top"/>
          </w:tcPr>
          <w:p>
            <w:r>
              <w:rPr>
                <w:sz w:val="17"/>
              </w:rPr>
              <w:t>Incorporation records, statute, partnership agreement, group structure</w:t>
            </w:r>
          </w:p>
        </w:tc>
      </w:tr>
      <w:tr>
        <w:trPr>
          <w:cantSplit/>
        </w:trPr>
        <w:tc>
          <w:tcPr>
            <w:tcW w:type="dxa" w:w="1944"/>
            <w:tcMar>
              <w:top w:w="80" w:type="dxa"/>
              <w:start w:w="90" w:type="dxa"/>
              <w:bottom w:w="80" w:type="dxa"/>
              <w:end w:w="90" w:type="dxa"/>
            </w:tcMar>
            <w:vAlign w:val="top"/>
            <w:shd w:fill="EEF3F8"/>
          </w:tcPr>
          <w:p>
            <w:r>
              <w:rPr>
                <w:sz w:val="17"/>
              </w:rPr>
              <w:t>Relevant duty of care</w:t>
            </w:r>
          </w:p>
        </w:tc>
        <w:tc>
          <w:tcPr>
            <w:tcW w:type="dxa" w:w="3528"/>
            <w:tcMar>
              <w:top w:w="80" w:type="dxa"/>
              <w:start w:w="90" w:type="dxa"/>
              <w:bottom w:w="80" w:type="dxa"/>
              <w:end w:w="90" w:type="dxa"/>
            </w:tcMar>
            <w:vAlign w:val="top"/>
            <w:shd w:fill="EEF3F8"/>
          </w:tcPr>
          <w:p>
            <w:r>
              <w:rPr>
                <w:sz w:val="17"/>
              </w:rPr>
              <w:t>Did it owe the deceased a duty recognised by negligence law</w:t>
            </w:r>
          </w:p>
        </w:tc>
        <w:tc>
          <w:tcPr>
            <w:tcW w:type="dxa" w:w="4104"/>
            <w:tcMar>
              <w:top w:w="80" w:type="dxa"/>
              <w:start w:w="90" w:type="dxa"/>
              <w:bottom w:w="80" w:type="dxa"/>
              <w:end w:w="90" w:type="dxa"/>
            </w:tcMar>
            <w:vAlign w:val="top"/>
            <w:shd w:fill="EEF3F8"/>
          </w:tcPr>
          <w:p>
            <w:r>
              <w:rPr>
                <w:sz w:val="17"/>
              </w:rPr>
              <w:t>Contracts, employment status, occupier control, service relationship, clinical responsibility</w:t>
            </w:r>
          </w:p>
        </w:tc>
      </w:tr>
      <w:tr>
        <w:trPr>
          <w:cantSplit/>
        </w:trPr>
        <w:tc>
          <w:tcPr>
            <w:tcW w:type="dxa" w:w="1944"/>
            <w:tcMar>
              <w:top w:w="80" w:type="dxa"/>
              <w:start w:w="90" w:type="dxa"/>
              <w:bottom w:w="80" w:type="dxa"/>
              <w:end w:w="90" w:type="dxa"/>
            </w:tcMar>
            <w:vAlign w:val="top"/>
          </w:tcPr>
          <w:p>
            <w:r>
              <w:rPr>
                <w:sz w:val="17"/>
              </w:rPr>
              <w:t>Gross breach</w:t>
            </w:r>
          </w:p>
        </w:tc>
        <w:tc>
          <w:tcPr>
            <w:tcW w:type="dxa" w:w="3528"/>
            <w:tcMar>
              <w:top w:w="80" w:type="dxa"/>
              <w:start w:w="90" w:type="dxa"/>
              <w:bottom w:w="80" w:type="dxa"/>
              <w:end w:w="90" w:type="dxa"/>
            </w:tcMar>
            <w:vAlign w:val="top"/>
          </w:tcPr>
          <w:p>
            <w:r>
              <w:rPr>
                <w:sz w:val="17"/>
              </w:rPr>
              <w:t>Did conduct fall far below reasonable expectations</w:t>
            </w:r>
          </w:p>
        </w:tc>
        <w:tc>
          <w:tcPr>
            <w:tcW w:type="dxa" w:w="4104"/>
            <w:tcMar>
              <w:top w:w="80" w:type="dxa"/>
              <w:start w:w="90" w:type="dxa"/>
              <w:bottom w:w="80" w:type="dxa"/>
              <w:end w:w="90" w:type="dxa"/>
            </w:tcMar>
            <w:vAlign w:val="top"/>
          </w:tcPr>
          <w:p>
            <w:r>
              <w:rPr>
                <w:sz w:val="17"/>
              </w:rPr>
              <w:t>Law, guidance, risk standards, obviousness of risk, duration and seriousness of failures</w:t>
            </w:r>
          </w:p>
        </w:tc>
      </w:tr>
      <w:tr>
        <w:trPr>
          <w:cantSplit/>
        </w:trPr>
        <w:tc>
          <w:tcPr>
            <w:tcW w:type="dxa" w:w="1944"/>
            <w:tcMar>
              <w:top w:w="80" w:type="dxa"/>
              <w:start w:w="90" w:type="dxa"/>
              <w:bottom w:w="80" w:type="dxa"/>
              <w:end w:w="90" w:type="dxa"/>
            </w:tcMar>
            <w:vAlign w:val="top"/>
            <w:shd w:fill="EEF3F8"/>
          </w:tcPr>
          <w:p>
            <w:r>
              <w:rPr>
                <w:sz w:val="17"/>
              </w:rPr>
              <w:t>Senior management</w:t>
            </w:r>
          </w:p>
        </w:tc>
        <w:tc>
          <w:tcPr>
            <w:tcW w:type="dxa" w:w="3528"/>
            <w:tcMar>
              <w:top w:w="80" w:type="dxa"/>
              <w:start w:w="90" w:type="dxa"/>
              <w:bottom w:w="80" w:type="dxa"/>
              <w:end w:w="90" w:type="dxa"/>
            </w:tcMar>
            <w:vAlign w:val="top"/>
            <w:shd w:fill="EEF3F8"/>
          </w:tcPr>
          <w:p>
            <w:r>
              <w:rPr>
                <w:sz w:val="17"/>
              </w:rPr>
              <w:t>Was senior management's role a substantial element</w:t>
            </w:r>
          </w:p>
        </w:tc>
        <w:tc>
          <w:tcPr>
            <w:tcW w:type="dxa" w:w="4104"/>
            <w:tcMar>
              <w:top w:w="80" w:type="dxa"/>
              <w:start w:w="90" w:type="dxa"/>
              <w:bottom w:w="80" w:type="dxa"/>
              <w:end w:w="90" w:type="dxa"/>
            </w:tcMar>
            <w:vAlign w:val="top"/>
            <w:shd w:fill="EEF3F8"/>
          </w:tcPr>
          <w:p>
            <w:r>
              <w:rPr>
                <w:sz w:val="17"/>
              </w:rPr>
              <w:t>Organisation charts, delegated authority, budgets, board papers, regional control, actual practice</w:t>
            </w:r>
          </w:p>
        </w:tc>
      </w:tr>
      <w:tr>
        <w:trPr>
          <w:cantSplit/>
        </w:trPr>
        <w:tc>
          <w:tcPr>
            <w:tcW w:type="dxa" w:w="1944"/>
            <w:tcMar>
              <w:top w:w="80" w:type="dxa"/>
              <w:start w:w="90" w:type="dxa"/>
              <w:bottom w:w="80" w:type="dxa"/>
              <w:end w:w="90" w:type="dxa"/>
            </w:tcMar>
            <w:vAlign w:val="top"/>
          </w:tcPr>
          <w:p>
            <w:r>
              <w:rPr>
                <w:sz w:val="17"/>
              </w:rPr>
              <w:t>Causation</w:t>
            </w:r>
          </w:p>
        </w:tc>
        <w:tc>
          <w:tcPr>
            <w:tcW w:type="dxa" w:w="3528"/>
            <w:tcMar>
              <w:top w:w="80" w:type="dxa"/>
              <w:start w:w="90" w:type="dxa"/>
              <w:bottom w:w="80" w:type="dxa"/>
              <w:end w:w="90" w:type="dxa"/>
            </w:tcMar>
            <w:vAlign w:val="top"/>
          </w:tcPr>
          <w:p>
            <w:r>
              <w:rPr>
                <w:sz w:val="17"/>
              </w:rPr>
              <w:t>Did the breach cause or make more than a minimal contribution to death</w:t>
            </w:r>
          </w:p>
        </w:tc>
        <w:tc>
          <w:tcPr>
            <w:tcW w:type="dxa" w:w="4104"/>
            <w:tcMar>
              <w:top w:w="80" w:type="dxa"/>
              <w:start w:w="90" w:type="dxa"/>
              <w:bottom w:w="80" w:type="dxa"/>
              <w:end w:w="90" w:type="dxa"/>
            </w:tcMar>
            <w:vAlign w:val="top"/>
          </w:tcPr>
          <w:p>
            <w:r>
              <w:rPr>
                <w:sz w:val="17"/>
              </w:rPr>
              <w:t>Post mortem, toxicology, engineering or clinical experts, counterfactual timeline</w:t>
            </w:r>
          </w:p>
        </w:tc>
      </w:tr>
      <w:tr>
        <w:trPr>
          <w:cantSplit/>
        </w:trPr>
        <w:tc>
          <w:tcPr>
            <w:tcW w:type="dxa" w:w="1944"/>
            <w:tcMar>
              <w:top w:w="80" w:type="dxa"/>
              <w:start w:w="90" w:type="dxa"/>
              <w:bottom w:w="80" w:type="dxa"/>
              <w:end w:w="90" w:type="dxa"/>
            </w:tcMar>
            <w:vAlign w:val="top"/>
            <w:shd w:fill="EEF3F8"/>
          </w:tcPr>
          <w:p>
            <w:r>
              <w:rPr>
                <w:sz w:val="17"/>
              </w:rPr>
              <w:t>Jurisdiction</w:t>
            </w:r>
          </w:p>
        </w:tc>
        <w:tc>
          <w:tcPr>
            <w:tcW w:type="dxa" w:w="3528"/>
            <w:tcMar>
              <w:top w:w="80" w:type="dxa"/>
              <w:start w:w="90" w:type="dxa"/>
              <w:bottom w:w="80" w:type="dxa"/>
              <w:end w:w="90" w:type="dxa"/>
            </w:tcMar>
            <w:vAlign w:val="top"/>
            <w:shd w:fill="EEF3F8"/>
          </w:tcPr>
          <w:p>
            <w:r>
              <w:rPr>
                <w:sz w:val="17"/>
              </w:rPr>
              <w:t>Was the harm resulting in death sustained in the United Kingdom</w:t>
            </w:r>
          </w:p>
        </w:tc>
        <w:tc>
          <w:tcPr>
            <w:tcW w:type="dxa" w:w="4104"/>
            <w:tcMar>
              <w:top w:w="80" w:type="dxa"/>
              <w:start w:w="90" w:type="dxa"/>
              <w:bottom w:w="80" w:type="dxa"/>
              <w:end w:w="90" w:type="dxa"/>
            </w:tcMar>
            <w:vAlign w:val="top"/>
            <w:shd w:fill="EEF3F8"/>
          </w:tcPr>
          <w:p>
            <w:r>
              <w:rPr>
                <w:sz w:val="17"/>
              </w:rPr>
              <w:t>Location of exposure or injury, vessel or offshore rules</w:t>
            </w:r>
          </w:p>
        </w:tc>
      </w:tr>
    </w:tbl>
    <w:p>
      <w:pPr>
        <w:spacing w:after="0"/>
      </w:pPr>
    </w:p>
    <w:p>
      <w:pPr>
        <w:pStyle w:val="Heading2"/>
      </w:pPr>
      <w:r>
        <w:t>Covered organisations</w:t>
      </w:r>
    </w:p>
    <w:p>
      <w:pPr>
        <w:pStyle w:val="ListBullet"/>
      </w:pPr>
      <w:r>
        <w:rPr>
          <w:b/>
        </w:rPr>
        <w:t xml:space="preserve">Private and public corporations. </w:t>
      </w:r>
      <w:r>
        <w:t>Limited companies, PLCs, companies limited by guarantee, LLPs and statutory corporations can qualify. NHS foundation trusts and local authorities may therefore be defendants.</w:t>
      </w:r>
    </w:p>
    <w:p>
      <w:pPr>
        <w:pStyle w:val="ListBullet"/>
      </w:pPr>
      <w:r>
        <w:rPr>
          <w:b/>
        </w:rPr>
        <w:t xml:space="preserve">Government and policing. </w:t>
      </w:r>
      <w:r>
        <w:t>Specified departments and bodies in Schedule 1 and police forces can qualify, subject to statutory exemptions.</w:t>
      </w:r>
    </w:p>
    <w:p>
      <w:pPr>
        <w:pStyle w:val="ListBullet"/>
      </w:pPr>
      <w:r>
        <w:rPr>
          <w:b/>
        </w:rPr>
        <w:t xml:space="preserve">Other employer bodies. </w:t>
      </w:r>
      <w:r>
        <w:t>A partnership, trade union or employers association can qualify when it is an employer.</w:t>
      </w:r>
    </w:p>
    <w:p>
      <w:pPr>
        <w:pStyle w:val="ListBullet"/>
      </w:pPr>
      <w:r>
        <w:rPr>
          <w:b/>
        </w:rPr>
        <w:t xml:space="preserve">Foreign corporations. </w:t>
      </w:r>
      <w:r>
        <w:t>A body incorporated abroad can qualify if the statutory territorial rule is met.</w:t>
      </w:r>
    </w:p>
    <w:p>
      <w:pPr>
        <w:pStyle w:val="ListBullet"/>
      </w:pPr>
      <w:r>
        <w:rPr>
          <w:b/>
        </w:rPr>
        <w:t xml:space="preserve">Not individuals. </w:t>
      </w:r>
      <w:r>
        <w:t>A doctor, director, manager, worker or platform employee cannot be convicted under this Act personally. Other offences may apply.</w:t>
      </w:r>
    </w:p>
    <w:p>
      <w:r>
        <w:t>More than one organisation in a group, contracting chain or shared site can in principle be prosecuted, but duty, breach, senior management and causation must be proved separately for each defendant.</w:t>
      </w:r>
      <w:r>
        <w:rPr>
          <w:color w:val="2F5597"/>
          <w:vertAlign w:val="superscript"/>
        </w:rPr>
        <w:t>[3]</w:t>
      </w:r>
    </w:p>
    <w:p>
      <w:pPr>
        <w:pStyle w:val="Heading2"/>
      </w:pPr>
      <w:r>
        <w:t>Important public authority restrictions</w:t>
      </w:r>
    </w:p>
    <w:p>
      <w:r>
        <w:t>The Act contains complete or partial exclusions for certain public functions. Public policy decisions, including some resource allocation decisions, exclusive public functions and statutory inspections are among the complete exclusions described in CPS guidance. Emergency responses receive a partial restriction, although medical treatment itself is not excluded. These provisions are especially important when considering regulators such as the Care Quality Commission or the Medicines and Healthcare products Regulatory Agency. A licensing, policy or statutory inspection decision cannot simply be relabelled corporate manslaughter. The precise statutory function and any ordinary negligence duty must first be identified.</w:t>
      </w:r>
      <w:r>
        <w:rPr>
          <w:color w:val="2F5597"/>
          <w:vertAlign w:val="superscript"/>
        </w:rPr>
        <w:t>[1]</w:t>
      </w:r>
      <w:r>
        <w:rPr>
          <w:color w:val="2F5597"/>
          <w:vertAlign w:val="superscript"/>
        </w:rPr>
        <w:t>[3]</w:t>
      </w:r>
    </w:p>
    <w:tbl>
      <w:tblPr>
        <w:tblW w:type="auto" w:w="0"/>
        <w:jc w:val="center"/>
        <w:tblLook w:firstColumn="1" w:firstRow="1" w:lastColumn="0" w:lastRow="0" w:noHBand="0" w:noVBand="1" w:val="04A0"/>
      </w:tblPr>
      <w:tblGrid>
        <w:gridCol w:w="9663"/>
      </w:tblGrid>
      <w:tr>
        <w:tc>
          <w:tcPr>
            <w:tcW w:type="dxa" w:w="9663"/>
            <w:shd w:fill="D9EAF7"/>
            <w:tcMar>
              <w:top w:w="130" w:type="dxa"/>
              <w:start w:w="160" w:type="dxa"/>
              <w:bottom w:w="130" w:type="dxa"/>
              <w:end w:w="160" w:type="dxa"/>
            </w:tcMar>
          </w:tcPr>
          <w:p>
            <w:pPr>
              <w:spacing w:after="80"/>
            </w:pPr>
            <w:r>
              <w:rPr>
                <w:b/>
                <w:color w:val="17365D"/>
              </w:rPr>
              <w:t>CQC and MHRA</w:t>
            </w:r>
          </w:p>
          <w:p>
            <w:pPr>
              <w:spacing w:after="0"/>
            </w:pPr>
            <w:r>
              <w:t>The more direct corporate manslaughter candidate is ordinarily the provider, manufacturer, supplier or other organisation that owed the deceased an operational duty of care. A regulator may be criticised, reviewed, judicially challenged or investigated under another legal route, but the 2007 Act contains significant public function and inspection limits. Evidence of dishonesty, corruption or unlawful licensing would require separate proof and potentially different offences.</w:t>
            </w:r>
          </w:p>
        </w:tc>
        <w:trPr>
          <w:tblHeader/>
        </w:trPr>
      </w:tr>
    </w:tbl>
    <w:p>
      <w:pPr>
        <w:pStyle w:val="Heading1"/>
        <w:pBdr>
          <w:bottom w:val="single" w:sz="8" w:space="4" w:color="2F5597"/>
        </w:pBdr>
      </w:pPr>
      <w:r>
        <w:t>What the Act can and cannot reach</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1944"/>
            <w:shd w:fill="17365D"/>
            <w:tcMar>
              <w:top w:w="80" w:type="dxa"/>
              <w:start w:w="90" w:type="dxa"/>
              <w:bottom w:w="80" w:type="dxa"/>
              <w:end w:w="90" w:type="dxa"/>
            </w:tcMar>
            <w:vAlign w:val="center"/>
          </w:tcPr>
          <w:p>
            <w:pPr>
              <w:jc w:val="left"/>
            </w:pPr>
            <w:r>
              <w:rPr>
                <w:b/>
                <w:color w:val="FFFFFF"/>
                <w:sz w:val="16"/>
              </w:rPr>
              <w:t>Setting</w:t>
            </w:r>
          </w:p>
        </w:tc>
        <w:tc>
          <w:tcPr>
            <w:tcW w:type="dxa" w:w="1800"/>
            <w:shd w:fill="17365D"/>
            <w:tcMar>
              <w:top w:w="80" w:type="dxa"/>
              <w:start w:w="90" w:type="dxa"/>
              <w:bottom w:w="80" w:type="dxa"/>
              <w:end w:w="90" w:type="dxa"/>
            </w:tcMar>
            <w:vAlign w:val="center"/>
          </w:tcPr>
          <w:p>
            <w:pPr>
              <w:jc w:val="left"/>
            </w:pPr>
            <w:r>
              <w:rPr>
                <w:b/>
                <w:color w:val="FFFFFF"/>
                <w:sz w:val="16"/>
              </w:rPr>
              <w:t>Can the Act apply</w:t>
            </w:r>
          </w:p>
        </w:tc>
        <w:tc>
          <w:tcPr>
            <w:tcW w:type="dxa" w:w="5832"/>
            <w:shd w:fill="17365D"/>
            <w:tcMar>
              <w:top w:w="80" w:type="dxa"/>
              <w:start w:w="90" w:type="dxa"/>
              <w:bottom w:w="80" w:type="dxa"/>
              <w:end w:w="90" w:type="dxa"/>
            </w:tcMar>
            <w:vAlign w:val="center"/>
          </w:tcPr>
          <w:p>
            <w:pPr>
              <w:jc w:val="left"/>
            </w:pPr>
            <w:r>
              <w:rPr>
                <w:b/>
                <w:color w:val="FFFFFF"/>
                <w:sz w:val="16"/>
              </w:rPr>
              <w:t>Core difficulty</w:t>
            </w:r>
          </w:p>
        </w:tc>
      </w:tr>
      <w:tr>
        <w:trPr>
          <w:cantSplit/>
        </w:trPr>
        <w:tc>
          <w:tcPr>
            <w:tcW w:type="dxa" w:w="1944"/>
            <w:tcMar>
              <w:top w:w="80" w:type="dxa"/>
              <w:start w:w="90" w:type="dxa"/>
              <w:bottom w:w="80" w:type="dxa"/>
              <w:end w:w="90" w:type="dxa"/>
            </w:tcMar>
            <w:vAlign w:val="top"/>
          </w:tcPr>
          <w:p>
            <w:r>
              <w:rPr>
                <w:sz w:val="16"/>
              </w:rPr>
              <w:t>Construction</w:t>
            </w:r>
          </w:p>
        </w:tc>
        <w:tc>
          <w:tcPr>
            <w:tcW w:type="dxa" w:w="1800"/>
            <w:tcMar>
              <w:top w:w="80" w:type="dxa"/>
              <w:start w:w="90" w:type="dxa"/>
              <w:bottom w:w="80" w:type="dxa"/>
              <w:end w:w="90" w:type="dxa"/>
            </w:tcMar>
            <w:vAlign w:val="top"/>
          </w:tcPr>
          <w:p>
            <w:r>
              <w:rPr>
                <w:sz w:val="16"/>
              </w:rPr>
              <w:t>Yes</w:t>
            </w:r>
          </w:p>
        </w:tc>
        <w:tc>
          <w:tcPr>
            <w:tcW w:type="dxa" w:w="5832"/>
            <w:tcMar>
              <w:top w:w="80" w:type="dxa"/>
              <w:start w:w="90" w:type="dxa"/>
              <w:bottom w:w="80" w:type="dxa"/>
              <w:end w:w="90" w:type="dxa"/>
            </w:tcMar>
            <w:vAlign w:val="top"/>
          </w:tcPr>
          <w:p>
            <w:r>
              <w:rPr>
                <w:sz w:val="16"/>
              </w:rPr>
              <w:t>Identifying duty across client, designer, principal contractor and subcontractors, then linking senior management systems to the fatal mechanism</w:t>
            </w:r>
          </w:p>
        </w:tc>
      </w:tr>
      <w:tr>
        <w:trPr>
          <w:cantSplit/>
        </w:trPr>
        <w:tc>
          <w:tcPr>
            <w:tcW w:type="dxa" w:w="1944"/>
            <w:tcMar>
              <w:top w:w="80" w:type="dxa"/>
              <w:start w:w="90" w:type="dxa"/>
              <w:bottom w:w="80" w:type="dxa"/>
              <w:end w:w="90" w:type="dxa"/>
            </w:tcMar>
            <w:vAlign w:val="top"/>
            <w:shd w:fill="EEF3F8"/>
          </w:tcPr>
          <w:p>
            <w:r>
              <w:rPr>
                <w:sz w:val="16"/>
              </w:rPr>
              <w:t>Manufacturing</w:t>
            </w:r>
          </w:p>
        </w:tc>
        <w:tc>
          <w:tcPr>
            <w:tcW w:type="dxa" w:w="1800"/>
            <w:tcMar>
              <w:top w:w="80" w:type="dxa"/>
              <w:start w:w="90" w:type="dxa"/>
              <w:bottom w:w="80" w:type="dxa"/>
              <w:end w:w="90" w:type="dxa"/>
            </w:tcMar>
            <w:vAlign w:val="top"/>
            <w:shd w:fill="EEF3F8"/>
          </w:tcPr>
          <w:p>
            <w:r>
              <w:rPr>
                <w:sz w:val="16"/>
              </w:rPr>
              <w:t>Yes</w:t>
            </w:r>
          </w:p>
        </w:tc>
        <w:tc>
          <w:tcPr>
            <w:tcW w:type="dxa" w:w="5832"/>
            <w:tcMar>
              <w:top w:w="80" w:type="dxa"/>
              <w:start w:w="90" w:type="dxa"/>
              <w:bottom w:w="80" w:type="dxa"/>
              <w:end w:w="90" w:type="dxa"/>
            </w:tcMar>
            <w:vAlign w:val="top"/>
            <w:shd w:fill="EEF3F8"/>
          </w:tcPr>
          <w:p>
            <w:r>
              <w:rPr>
                <w:sz w:val="16"/>
              </w:rPr>
              <w:t>Machinery guarding, isolation, maintenance, dust, chemicals, competence and production pressure often create a documentable system case</w:t>
            </w:r>
          </w:p>
        </w:tc>
      </w:tr>
      <w:tr>
        <w:trPr>
          <w:cantSplit/>
        </w:trPr>
        <w:tc>
          <w:tcPr>
            <w:tcW w:type="dxa" w:w="1944"/>
            <w:tcMar>
              <w:top w:w="80" w:type="dxa"/>
              <w:start w:w="90" w:type="dxa"/>
              <w:bottom w:w="80" w:type="dxa"/>
              <w:end w:w="90" w:type="dxa"/>
            </w:tcMar>
            <w:vAlign w:val="top"/>
          </w:tcPr>
          <w:p>
            <w:r>
              <w:rPr>
                <w:sz w:val="16"/>
              </w:rPr>
              <w:t>Energy and utilities</w:t>
            </w:r>
          </w:p>
        </w:tc>
        <w:tc>
          <w:tcPr>
            <w:tcW w:type="dxa" w:w="1800"/>
            <w:tcMar>
              <w:top w:w="80" w:type="dxa"/>
              <w:start w:w="90" w:type="dxa"/>
              <w:bottom w:w="80" w:type="dxa"/>
              <w:end w:w="90" w:type="dxa"/>
            </w:tcMar>
            <w:vAlign w:val="top"/>
          </w:tcPr>
          <w:p>
            <w:r>
              <w:rPr>
                <w:sz w:val="16"/>
              </w:rPr>
              <w:t>Yes</w:t>
            </w:r>
          </w:p>
        </w:tc>
        <w:tc>
          <w:tcPr>
            <w:tcW w:type="dxa" w:w="5832"/>
            <w:tcMar>
              <w:top w:w="80" w:type="dxa"/>
              <w:start w:w="90" w:type="dxa"/>
              <w:bottom w:w="80" w:type="dxa"/>
              <w:end w:w="90" w:type="dxa"/>
            </w:tcMar>
            <w:vAlign w:val="top"/>
          </w:tcPr>
          <w:p>
            <w:r>
              <w:rPr>
                <w:sz w:val="16"/>
              </w:rPr>
              <w:t>Complex asset ownership, contracting chains, major hazard regulation, technical causation and emergency response boundaries</w:t>
            </w:r>
          </w:p>
        </w:tc>
      </w:tr>
      <w:tr>
        <w:trPr>
          <w:cantSplit/>
        </w:trPr>
        <w:tc>
          <w:tcPr>
            <w:tcW w:type="dxa" w:w="1944"/>
            <w:tcMar>
              <w:top w:w="80" w:type="dxa"/>
              <w:start w:w="90" w:type="dxa"/>
              <w:bottom w:w="80" w:type="dxa"/>
              <w:end w:w="90" w:type="dxa"/>
            </w:tcMar>
            <w:vAlign w:val="top"/>
            <w:shd w:fill="EEF3F8"/>
          </w:tcPr>
          <w:p>
            <w:r>
              <w:rPr>
                <w:sz w:val="16"/>
              </w:rPr>
              <w:t>Supermarkets and food supply</w:t>
            </w:r>
          </w:p>
        </w:tc>
        <w:tc>
          <w:tcPr>
            <w:tcW w:type="dxa" w:w="1800"/>
            <w:tcMar>
              <w:top w:w="80" w:type="dxa"/>
              <w:start w:w="90" w:type="dxa"/>
              <w:bottom w:w="80" w:type="dxa"/>
              <w:end w:w="90" w:type="dxa"/>
            </w:tcMar>
            <w:vAlign w:val="top"/>
            <w:shd w:fill="EEF3F8"/>
          </w:tcPr>
          <w:p>
            <w:r>
              <w:rPr>
                <w:sz w:val="16"/>
              </w:rPr>
              <w:t>Yes</w:t>
            </w:r>
          </w:p>
        </w:tc>
        <w:tc>
          <w:tcPr>
            <w:tcW w:type="dxa" w:w="5832"/>
            <w:tcMar>
              <w:top w:w="80" w:type="dxa"/>
              <w:start w:w="90" w:type="dxa"/>
              <w:bottom w:w="80" w:type="dxa"/>
              <w:end w:w="90" w:type="dxa"/>
            </w:tcMar>
            <w:vAlign w:val="top"/>
            <w:shd w:fill="EEF3F8"/>
          </w:tcPr>
          <w:p>
            <w:r>
              <w:rPr>
                <w:sz w:val="16"/>
              </w:rPr>
              <w:t>A specific death must be linked to a gross organisational failure in sourcing, testing, traceability, recall, hygiene or warning</w:t>
            </w:r>
          </w:p>
        </w:tc>
      </w:tr>
      <w:tr>
        <w:trPr>
          <w:cantSplit/>
        </w:trPr>
        <w:tc>
          <w:tcPr>
            <w:tcW w:type="dxa" w:w="1944"/>
            <w:tcMar>
              <w:top w:w="80" w:type="dxa"/>
              <w:start w:w="90" w:type="dxa"/>
              <w:bottom w:w="80" w:type="dxa"/>
              <w:end w:w="90" w:type="dxa"/>
            </w:tcMar>
            <w:vAlign w:val="top"/>
          </w:tcPr>
          <w:p>
            <w:r>
              <w:rPr>
                <w:sz w:val="16"/>
              </w:rPr>
              <w:t>Private medical practice</w:t>
            </w:r>
          </w:p>
        </w:tc>
        <w:tc>
          <w:tcPr>
            <w:tcW w:type="dxa" w:w="1800"/>
            <w:tcMar>
              <w:top w:w="80" w:type="dxa"/>
              <w:start w:w="90" w:type="dxa"/>
              <w:bottom w:w="80" w:type="dxa"/>
              <w:end w:w="90" w:type="dxa"/>
            </w:tcMar>
            <w:vAlign w:val="top"/>
          </w:tcPr>
          <w:p>
            <w:r>
              <w:rPr>
                <w:sz w:val="16"/>
              </w:rPr>
              <w:t>Yes if it is a qualifying organisation</w:t>
            </w:r>
          </w:p>
        </w:tc>
        <w:tc>
          <w:tcPr>
            <w:tcW w:type="dxa" w:w="5832"/>
            <w:tcMar>
              <w:top w:w="80" w:type="dxa"/>
              <w:start w:w="90" w:type="dxa"/>
              <w:bottom w:w="80" w:type="dxa"/>
              <w:end w:w="90" w:type="dxa"/>
            </w:tcMar>
            <w:vAlign w:val="top"/>
          </w:tcPr>
          <w:p>
            <w:r>
              <w:rPr>
                <w:sz w:val="16"/>
              </w:rPr>
              <w:t>Distinguishing a clinicians individual error from organisation wide governance, supervision, staffing and prescribing failures</w:t>
            </w:r>
          </w:p>
        </w:tc>
      </w:tr>
      <w:tr>
        <w:trPr>
          <w:cantSplit/>
        </w:trPr>
        <w:tc>
          <w:tcPr>
            <w:tcW w:type="dxa" w:w="1944"/>
            <w:tcMar>
              <w:top w:w="80" w:type="dxa"/>
              <w:start w:w="90" w:type="dxa"/>
              <w:bottom w:w="80" w:type="dxa"/>
              <w:end w:w="90" w:type="dxa"/>
            </w:tcMar>
            <w:vAlign w:val="top"/>
            <w:shd w:fill="EEF3F8"/>
          </w:tcPr>
          <w:p>
            <w:r>
              <w:rPr>
                <w:sz w:val="16"/>
              </w:rPr>
              <w:t>NHS and care providers</w:t>
            </w:r>
          </w:p>
        </w:tc>
        <w:tc>
          <w:tcPr>
            <w:tcW w:type="dxa" w:w="1800"/>
            <w:tcMar>
              <w:top w:w="80" w:type="dxa"/>
              <w:start w:w="90" w:type="dxa"/>
              <w:bottom w:w="80" w:type="dxa"/>
              <w:end w:w="90" w:type="dxa"/>
            </w:tcMar>
            <w:vAlign w:val="top"/>
            <w:shd w:fill="EEF3F8"/>
          </w:tcPr>
          <w:p>
            <w:r>
              <w:rPr>
                <w:sz w:val="16"/>
              </w:rPr>
              <w:t>Yes for qualifying bodies</w:t>
            </w:r>
          </w:p>
        </w:tc>
        <w:tc>
          <w:tcPr>
            <w:tcW w:type="dxa" w:w="5832"/>
            <w:tcMar>
              <w:top w:w="80" w:type="dxa"/>
              <w:start w:w="90" w:type="dxa"/>
              <w:bottom w:w="80" w:type="dxa"/>
              <w:end w:w="90" w:type="dxa"/>
            </w:tcMar>
            <w:vAlign w:val="top"/>
            <w:shd w:fill="EEF3F8"/>
          </w:tcPr>
          <w:p>
            <w:r>
              <w:rPr>
                <w:sz w:val="16"/>
              </w:rPr>
              <w:t>Causation, clinical complexity, detained patient duties and senior management evidence; regulatory offences may be more readily proved</w:t>
            </w:r>
          </w:p>
        </w:tc>
      </w:tr>
      <w:tr>
        <w:trPr>
          <w:cantSplit/>
        </w:trPr>
        <w:tc>
          <w:tcPr>
            <w:tcW w:type="dxa" w:w="1944"/>
            <w:tcMar>
              <w:top w:w="80" w:type="dxa"/>
              <w:start w:w="90" w:type="dxa"/>
              <w:bottom w:w="80" w:type="dxa"/>
              <w:end w:w="90" w:type="dxa"/>
            </w:tcMar>
            <w:vAlign w:val="top"/>
          </w:tcPr>
          <w:p>
            <w:r>
              <w:rPr>
                <w:sz w:val="16"/>
              </w:rPr>
              <w:t>Media and journalism companies</w:t>
            </w:r>
          </w:p>
        </w:tc>
        <w:tc>
          <w:tcPr>
            <w:tcW w:type="dxa" w:w="1800"/>
            <w:tcMar>
              <w:top w:w="80" w:type="dxa"/>
              <w:start w:w="90" w:type="dxa"/>
              <w:bottom w:w="80" w:type="dxa"/>
              <w:end w:w="90" w:type="dxa"/>
            </w:tcMar>
            <w:vAlign w:val="top"/>
          </w:tcPr>
          <w:p>
            <w:r>
              <w:rPr>
                <w:sz w:val="16"/>
              </w:rPr>
              <w:t>In principle yes</w:t>
            </w:r>
          </w:p>
        </w:tc>
        <w:tc>
          <w:tcPr>
            <w:tcW w:type="dxa" w:w="5832"/>
            <w:tcMar>
              <w:top w:w="80" w:type="dxa"/>
              <w:start w:w="90" w:type="dxa"/>
              <w:bottom w:w="80" w:type="dxa"/>
              <w:end w:w="90" w:type="dxa"/>
            </w:tcMar>
            <w:vAlign w:val="top"/>
          </w:tcPr>
          <w:p>
            <w:r>
              <w:rPr>
                <w:sz w:val="16"/>
              </w:rPr>
              <w:t>A relevant duty and a sufficiently direct causal chain between organisational management and a particular death are rarely straightforward</w:t>
            </w:r>
          </w:p>
        </w:tc>
      </w:tr>
      <w:tr>
        <w:trPr>
          <w:cantSplit/>
        </w:trPr>
        <w:tc>
          <w:tcPr>
            <w:tcW w:type="dxa" w:w="1944"/>
            <w:tcMar>
              <w:top w:w="80" w:type="dxa"/>
              <w:start w:w="90" w:type="dxa"/>
              <w:bottom w:w="80" w:type="dxa"/>
              <w:end w:w="90" w:type="dxa"/>
            </w:tcMar>
            <w:vAlign w:val="top"/>
            <w:shd w:fill="EEF3F8"/>
          </w:tcPr>
          <w:p>
            <w:r>
              <w:rPr>
                <w:sz w:val="16"/>
              </w:rPr>
              <w:t>YouTube or another platform</w:t>
            </w:r>
          </w:p>
        </w:tc>
        <w:tc>
          <w:tcPr>
            <w:tcW w:type="dxa" w:w="1800"/>
            <w:tcMar>
              <w:top w:w="80" w:type="dxa"/>
              <w:start w:w="90" w:type="dxa"/>
              <w:bottom w:w="80" w:type="dxa"/>
              <w:end w:w="90" w:type="dxa"/>
            </w:tcMar>
            <w:vAlign w:val="top"/>
            <w:shd w:fill="EEF3F8"/>
          </w:tcPr>
          <w:p>
            <w:r>
              <w:rPr>
                <w:sz w:val="16"/>
              </w:rPr>
              <w:t>In principle the corporate operator may qualify</w:t>
            </w:r>
          </w:p>
        </w:tc>
        <w:tc>
          <w:tcPr>
            <w:tcW w:type="dxa" w:w="5832"/>
            <w:tcMar>
              <w:top w:w="80" w:type="dxa"/>
              <w:start w:w="90" w:type="dxa"/>
              <w:bottom w:w="80" w:type="dxa"/>
              <w:end w:w="90" w:type="dxa"/>
            </w:tcMar>
            <w:vAlign w:val="top"/>
            <w:shd w:fill="EEF3F8"/>
          </w:tcPr>
          <w:p>
            <w:r>
              <w:rPr>
                <w:sz w:val="16"/>
              </w:rPr>
              <w:t>Content, recommendation or advertising evidence alone is insufficient; duty, gross breach, senior management and criminal causation must all be proved</w:t>
            </w:r>
          </w:p>
        </w:tc>
      </w:tr>
    </w:tbl>
    <w:p>
      <w:pPr>
        <w:spacing w:after="0"/>
      </w:pPr>
    </w:p>
    <w:p>
      <w:r>
        <w:t>Sales manipulation, hate speech, dangerous challenges or algorithmic promotion may be evidence in a wider investigation, but are not automatically corporate manslaughter. Investigators would have to identify the organisation that owed the deceased a legally relevant duty, prove that senior management materially contributed to a gross management failure, and establish a sufficiently direct causal link despite the acts of users, attackers, drivers or other third parties. Communications, online safety, consumer protection, fraud, incitement, terrorism, product safety or individual homicide law may be more appropriate routes.</w:t>
      </w:r>
    </w:p>
    <w:p>
      <w:pPr>
        <w:pStyle w:val="Heading1"/>
        <w:pBdr>
          <w:bottom w:val="single" w:sz="8" w:space="4" w:color="2F5597"/>
        </w:pBdr>
      </w:pPr>
      <w:r>
        <w:t>Evidence and causation</w:t>
      </w:r>
    </w:p>
    <w:p>
      <w:pPr>
        <w:pStyle w:val="Heading2"/>
      </w:pPr>
      <w:r>
        <w:t>Evidence categories</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1800"/>
            <w:shd w:fill="17365D"/>
            <w:tcMar>
              <w:top w:w="80" w:type="dxa"/>
              <w:start w:w="90" w:type="dxa"/>
              <w:bottom w:w="80" w:type="dxa"/>
              <w:end w:w="90" w:type="dxa"/>
            </w:tcMar>
            <w:vAlign w:val="center"/>
          </w:tcPr>
          <w:p>
            <w:pPr>
              <w:jc w:val="left"/>
            </w:pPr>
            <w:r>
              <w:rPr>
                <w:b/>
                <w:color w:val="FFFFFF"/>
                <w:sz w:val="16"/>
              </w:rPr>
              <w:t>Evidence family</w:t>
            </w:r>
          </w:p>
        </w:tc>
        <w:tc>
          <w:tcPr>
            <w:tcW w:type="dxa" w:w="4536"/>
            <w:shd w:fill="17365D"/>
            <w:tcMar>
              <w:top w:w="80" w:type="dxa"/>
              <w:start w:w="90" w:type="dxa"/>
              <w:bottom w:w="80" w:type="dxa"/>
              <w:end w:w="90" w:type="dxa"/>
            </w:tcMar>
            <w:vAlign w:val="center"/>
          </w:tcPr>
          <w:p>
            <w:pPr>
              <w:jc w:val="left"/>
            </w:pPr>
            <w:r>
              <w:rPr>
                <w:b/>
                <w:color w:val="FFFFFF"/>
                <w:sz w:val="16"/>
              </w:rPr>
              <w:t>Examples</w:t>
            </w:r>
          </w:p>
        </w:tc>
        <w:tc>
          <w:tcPr>
            <w:tcW w:type="dxa" w:w="3240"/>
            <w:shd w:fill="17365D"/>
            <w:tcMar>
              <w:top w:w="80" w:type="dxa"/>
              <w:start w:w="90" w:type="dxa"/>
              <w:bottom w:w="80" w:type="dxa"/>
              <w:end w:w="90" w:type="dxa"/>
            </w:tcMar>
            <w:vAlign w:val="center"/>
          </w:tcPr>
          <w:p>
            <w:pPr>
              <w:jc w:val="left"/>
            </w:pPr>
            <w:r>
              <w:rPr>
                <w:b/>
                <w:color w:val="FFFFFF"/>
                <w:sz w:val="16"/>
              </w:rPr>
              <w:t>What it may establish</w:t>
            </w:r>
          </w:p>
        </w:tc>
      </w:tr>
      <w:tr>
        <w:trPr>
          <w:cantSplit/>
        </w:trPr>
        <w:tc>
          <w:tcPr>
            <w:tcW w:type="dxa" w:w="1800"/>
            <w:tcMar>
              <w:top w:w="80" w:type="dxa"/>
              <w:start w:w="90" w:type="dxa"/>
              <w:bottom w:w="80" w:type="dxa"/>
              <w:end w:w="90" w:type="dxa"/>
            </w:tcMar>
            <w:vAlign w:val="top"/>
          </w:tcPr>
          <w:p>
            <w:r>
              <w:rPr>
                <w:sz w:val="16"/>
              </w:rPr>
              <w:t>Governance</w:t>
            </w:r>
          </w:p>
        </w:tc>
        <w:tc>
          <w:tcPr>
            <w:tcW w:type="dxa" w:w="4536"/>
            <w:tcMar>
              <w:top w:w="80" w:type="dxa"/>
              <w:start w:w="90" w:type="dxa"/>
              <w:bottom w:w="80" w:type="dxa"/>
              <w:end w:w="90" w:type="dxa"/>
            </w:tcMar>
            <w:vAlign w:val="top"/>
          </w:tcPr>
          <w:p>
            <w:r>
              <w:rPr>
                <w:sz w:val="16"/>
              </w:rPr>
              <w:t>Board papers, risk registers, audit minutes, complaints, whistleblowing, internal investigations</w:t>
            </w:r>
          </w:p>
        </w:tc>
        <w:tc>
          <w:tcPr>
            <w:tcW w:type="dxa" w:w="3240"/>
            <w:tcMar>
              <w:top w:w="80" w:type="dxa"/>
              <w:start w:w="90" w:type="dxa"/>
              <w:bottom w:w="80" w:type="dxa"/>
              <w:end w:w="90" w:type="dxa"/>
            </w:tcMar>
            <w:vAlign w:val="top"/>
          </w:tcPr>
          <w:p>
            <w:r>
              <w:rPr>
                <w:sz w:val="16"/>
              </w:rPr>
              <w:t>Knowledge, priority, accepted practice, repeated warning and senior management involvement</w:t>
            </w:r>
          </w:p>
        </w:tc>
      </w:tr>
      <w:tr>
        <w:trPr>
          <w:cantSplit/>
        </w:trPr>
        <w:tc>
          <w:tcPr>
            <w:tcW w:type="dxa" w:w="1800"/>
            <w:tcMar>
              <w:top w:w="80" w:type="dxa"/>
              <w:start w:w="90" w:type="dxa"/>
              <w:bottom w:w="80" w:type="dxa"/>
              <w:end w:w="90" w:type="dxa"/>
            </w:tcMar>
            <w:vAlign w:val="top"/>
            <w:shd w:fill="EEF3F8"/>
          </w:tcPr>
          <w:p>
            <w:r>
              <w:rPr>
                <w:sz w:val="16"/>
              </w:rPr>
              <w:t>Resources and incentives</w:t>
            </w:r>
          </w:p>
        </w:tc>
        <w:tc>
          <w:tcPr>
            <w:tcW w:type="dxa" w:w="4536"/>
            <w:tcMar>
              <w:top w:w="80" w:type="dxa"/>
              <w:start w:w="90" w:type="dxa"/>
              <w:bottom w:w="80" w:type="dxa"/>
              <w:end w:w="90" w:type="dxa"/>
            </w:tcMar>
            <w:vAlign w:val="top"/>
            <w:shd w:fill="EEF3F8"/>
          </w:tcPr>
          <w:p>
            <w:r>
              <w:rPr>
                <w:sz w:val="16"/>
              </w:rPr>
              <w:t>Budgets, staffing models, procurement, targets, bonuses, production schedules</w:t>
            </w:r>
          </w:p>
        </w:tc>
        <w:tc>
          <w:tcPr>
            <w:tcW w:type="dxa" w:w="3240"/>
            <w:tcMar>
              <w:top w:w="80" w:type="dxa"/>
              <w:start w:w="90" w:type="dxa"/>
              <w:bottom w:w="80" w:type="dxa"/>
              <w:end w:w="90" w:type="dxa"/>
            </w:tcMar>
            <w:vAlign w:val="top"/>
            <w:shd w:fill="EEF3F8"/>
          </w:tcPr>
          <w:p>
            <w:r>
              <w:rPr>
                <w:sz w:val="16"/>
              </w:rPr>
              <w:t>Whether cost, speed or output displaced a known safety control</w:t>
            </w:r>
          </w:p>
        </w:tc>
      </w:tr>
      <w:tr>
        <w:trPr>
          <w:cantSplit/>
        </w:trPr>
        <w:tc>
          <w:tcPr>
            <w:tcW w:type="dxa" w:w="1800"/>
            <w:tcMar>
              <w:top w:w="80" w:type="dxa"/>
              <w:start w:w="90" w:type="dxa"/>
              <w:bottom w:w="80" w:type="dxa"/>
              <w:end w:w="90" w:type="dxa"/>
            </w:tcMar>
            <w:vAlign w:val="top"/>
          </w:tcPr>
          <w:p>
            <w:r>
              <w:rPr>
                <w:sz w:val="16"/>
              </w:rPr>
              <w:t>Competence and control</w:t>
            </w:r>
          </w:p>
        </w:tc>
        <w:tc>
          <w:tcPr>
            <w:tcW w:type="dxa" w:w="4536"/>
            <w:tcMar>
              <w:top w:w="80" w:type="dxa"/>
              <w:start w:w="90" w:type="dxa"/>
              <w:bottom w:w="80" w:type="dxa"/>
              <w:end w:w="90" w:type="dxa"/>
            </w:tcMar>
            <w:vAlign w:val="top"/>
          </w:tcPr>
          <w:p>
            <w:r>
              <w:rPr>
                <w:sz w:val="16"/>
              </w:rPr>
              <w:t>Qualifications, licences, recruitment checks, supervision, training and contractor vetting</w:t>
            </w:r>
          </w:p>
        </w:tc>
        <w:tc>
          <w:tcPr>
            <w:tcW w:type="dxa" w:w="3240"/>
            <w:tcMar>
              <w:top w:w="80" w:type="dxa"/>
              <w:start w:w="90" w:type="dxa"/>
              <w:bottom w:w="80" w:type="dxa"/>
              <w:end w:w="90" w:type="dxa"/>
            </w:tcMar>
            <w:vAlign w:val="top"/>
          </w:tcPr>
          <w:p>
            <w:r>
              <w:rPr>
                <w:sz w:val="16"/>
              </w:rPr>
              <w:t>Whether the organisation selected and controlled competent people</w:t>
            </w:r>
          </w:p>
        </w:tc>
      </w:tr>
      <w:tr>
        <w:trPr>
          <w:cantSplit/>
        </w:trPr>
        <w:tc>
          <w:tcPr>
            <w:tcW w:type="dxa" w:w="1800"/>
            <w:tcMar>
              <w:top w:w="80" w:type="dxa"/>
              <w:start w:w="90" w:type="dxa"/>
              <w:bottom w:w="80" w:type="dxa"/>
              <w:end w:w="90" w:type="dxa"/>
            </w:tcMar>
            <w:vAlign w:val="top"/>
            <w:shd w:fill="EEF3F8"/>
          </w:tcPr>
          <w:p>
            <w:r>
              <w:rPr>
                <w:sz w:val="16"/>
              </w:rPr>
              <w:t>Operational record</w:t>
            </w:r>
          </w:p>
        </w:tc>
        <w:tc>
          <w:tcPr>
            <w:tcW w:type="dxa" w:w="4536"/>
            <w:tcMar>
              <w:top w:w="80" w:type="dxa"/>
              <w:start w:w="90" w:type="dxa"/>
              <w:bottom w:w="80" w:type="dxa"/>
              <w:end w:w="90" w:type="dxa"/>
            </w:tcMar>
            <w:vAlign w:val="top"/>
            <w:shd w:fill="EEF3F8"/>
          </w:tcPr>
          <w:p>
            <w:r>
              <w:rPr>
                <w:sz w:val="16"/>
              </w:rPr>
              <w:t>Permits, maintenance, cleaning, testing, prescriptions, observations, handovers and incident logs</w:t>
            </w:r>
          </w:p>
        </w:tc>
        <w:tc>
          <w:tcPr>
            <w:tcW w:type="dxa" w:w="3240"/>
            <w:tcMar>
              <w:top w:w="80" w:type="dxa"/>
              <w:start w:w="90" w:type="dxa"/>
              <w:bottom w:w="80" w:type="dxa"/>
              <w:end w:w="90" w:type="dxa"/>
            </w:tcMar>
            <w:vAlign w:val="top"/>
            <w:shd w:fill="EEF3F8"/>
          </w:tcPr>
          <w:p>
            <w:r>
              <w:rPr>
                <w:sz w:val="16"/>
              </w:rPr>
              <w:t>What happened in practice rather than on paper</w:t>
            </w:r>
          </w:p>
        </w:tc>
      </w:tr>
      <w:tr>
        <w:trPr>
          <w:cantSplit/>
        </w:trPr>
        <w:tc>
          <w:tcPr>
            <w:tcW w:type="dxa" w:w="1800"/>
            <w:tcMar>
              <w:top w:w="80" w:type="dxa"/>
              <w:start w:w="90" w:type="dxa"/>
              <w:bottom w:w="80" w:type="dxa"/>
              <w:end w:w="90" w:type="dxa"/>
            </w:tcMar>
            <w:vAlign w:val="top"/>
          </w:tcPr>
          <w:p>
            <w:r>
              <w:rPr>
                <w:sz w:val="16"/>
              </w:rPr>
              <w:t>Warnings</w:t>
            </w:r>
          </w:p>
        </w:tc>
        <w:tc>
          <w:tcPr>
            <w:tcW w:type="dxa" w:w="4536"/>
            <w:tcMar>
              <w:top w:w="80" w:type="dxa"/>
              <w:start w:w="90" w:type="dxa"/>
              <w:bottom w:w="80" w:type="dxa"/>
              <w:end w:w="90" w:type="dxa"/>
            </w:tcMar>
            <w:vAlign w:val="top"/>
          </w:tcPr>
          <w:p>
            <w:r>
              <w:rPr>
                <w:sz w:val="16"/>
              </w:rPr>
              <w:t>Regulatory notices, safety alerts, near misses, adverse incident reports, emails and previous deaths</w:t>
            </w:r>
          </w:p>
        </w:tc>
        <w:tc>
          <w:tcPr>
            <w:tcW w:type="dxa" w:w="3240"/>
            <w:tcMar>
              <w:top w:w="80" w:type="dxa"/>
              <w:start w:w="90" w:type="dxa"/>
              <w:bottom w:w="80" w:type="dxa"/>
              <w:end w:w="90" w:type="dxa"/>
            </w:tcMar>
            <w:vAlign w:val="top"/>
          </w:tcPr>
          <w:p>
            <w:r>
              <w:rPr>
                <w:sz w:val="16"/>
              </w:rPr>
              <w:t>Foreseeability, duration and seriousness of risk</w:t>
            </w:r>
          </w:p>
        </w:tc>
      </w:tr>
      <w:tr>
        <w:trPr>
          <w:cantSplit/>
        </w:trPr>
        <w:tc>
          <w:tcPr>
            <w:tcW w:type="dxa" w:w="1800"/>
            <w:tcMar>
              <w:top w:w="80" w:type="dxa"/>
              <w:start w:w="90" w:type="dxa"/>
              <w:bottom w:w="80" w:type="dxa"/>
              <w:end w:w="90" w:type="dxa"/>
            </w:tcMar>
            <w:vAlign w:val="top"/>
            <w:shd w:fill="EEF3F8"/>
          </w:tcPr>
          <w:p>
            <w:r>
              <w:rPr>
                <w:sz w:val="16"/>
              </w:rPr>
              <w:t>Death evidence</w:t>
            </w:r>
          </w:p>
        </w:tc>
        <w:tc>
          <w:tcPr>
            <w:tcW w:type="dxa" w:w="4536"/>
            <w:tcMar>
              <w:top w:w="80" w:type="dxa"/>
              <w:start w:w="90" w:type="dxa"/>
              <w:bottom w:w="80" w:type="dxa"/>
              <w:end w:w="90" w:type="dxa"/>
            </w:tcMar>
            <w:vAlign w:val="top"/>
            <w:shd w:fill="EEF3F8"/>
          </w:tcPr>
          <w:p>
            <w:r>
              <w:rPr>
                <w:sz w:val="16"/>
              </w:rPr>
              <w:t>Post mortem, toxicology, clinical records, pathology, engineering reconstruction and digital data</w:t>
            </w:r>
          </w:p>
        </w:tc>
        <w:tc>
          <w:tcPr>
            <w:tcW w:type="dxa" w:w="3240"/>
            <w:tcMar>
              <w:top w:w="80" w:type="dxa"/>
              <w:start w:w="90" w:type="dxa"/>
              <w:bottom w:w="80" w:type="dxa"/>
              <w:end w:w="90" w:type="dxa"/>
            </w:tcMar>
            <w:vAlign w:val="top"/>
            <w:shd w:fill="EEF3F8"/>
          </w:tcPr>
          <w:p>
            <w:r>
              <w:rPr>
                <w:sz w:val="16"/>
              </w:rPr>
              <w:t>Mechanism, timing and causal contribution</w:t>
            </w:r>
          </w:p>
        </w:tc>
      </w:tr>
      <w:tr>
        <w:trPr>
          <w:cantSplit/>
        </w:trPr>
        <w:tc>
          <w:tcPr>
            <w:tcW w:type="dxa" w:w="1800"/>
            <w:tcMar>
              <w:top w:w="80" w:type="dxa"/>
              <w:start w:w="90" w:type="dxa"/>
              <w:bottom w:w="80" w:type="dxa"/>
              <w:end w:w="90" w:type="dxa"/>
            </w:tcMar>
            <w:vAlign w:val="top"/>
          </w:tcPr>
          <w:p>
            <w:r>
              <w:rPr>
                <w:sz w:val="16"/>
              </w:rPr>
              <w:t>Communications</w:t>
            </w:r>
          </w:p>
        </w:tc>
        <w:tc>
          <w:tcPr>
            <w:tcW w:type="dxa" w:w="4536"/>
            <w:tcMar>
              <w:top w:w="80" w:type="dxa"/>
              <w:start w:w="90" w:type="dxa"/>
              <w:bottom w:w="80" w:type="dxa"/>
              <w:end w:w="90" w:type="dxa"/>
            </w:tcMar>
            <w:vAlign w:val="top"/>
          </w:tcPr>
          <w:p>
            <w:r>
              <w:rPr>
                <w:sz w:val="16"/>
              </w:rPr>
              <w:t>Labels, consent records, accessible formats, interpreter notes, recordings and comprehension checks</w:t>
            </w:r>
          </w:p>
        </w:tc>
        <w:tc>
          <w:tcPr>
            <w:tcW w:type="dxa" w:w="3240"/>
            <w:tcMar>
              <w:top w:w="80" w:type="dxa"/>
              <w:start w:w="90" w:type="dxa"/>
              <w:bottom w:w="80" w:type="dxa"/>
              <w:end w:w="90" w:type="dxa"/>
            </w:tcMar>
            <w:vAlign w:val="top"/>
          </w:tcPr>
          <w:p>
            <w:r>
              <w:rPr>
                <w:sz w:val="16"/>
              </w:rPr>
              <w:t>What was communicated, to whom, when and in what usable form</w:t>
            </w:r>
          </w:p>
        </w:tc>
      </w:tr>
      <w:tr>
        <w:trPr>
          <w:cantSplit/>
        </w:trPr>
        <w:tc>
          <w:tcPr>
            <w:tcW w:type="dxa" w:w="1800"/>
            <w:tcMar>
              <w:top w:w="80" w:type="dxa"/>
              <w:start w:w="90" w:type="dxa"/>
              <w:bottom w:w="80" w:type="dxa"/>
              <w:end w:w="90" w:type="dxa"/>
            </w:tcMar>
            <w:vAlign w:val="top"/>
            <w:shd w:fill="EEF3F8"/>
          </w:tcPr>
          <w:p>
            <w:r>
              <w:rPr>
                <w:sz w:val="16"/>
              </w:rPr>
              <w:t>Integrity</w:t>
            </w:r>
          </w:p>
        </w:tc>
        <w:tc>
          <w:tcPr>
            <w:tcW w:type="dxa" w:w="4536"/>
            <w:tcMar>
              <w:top w:w="80" w:type="dxa"/>
              <w:start w:w="90" w:type="dxa"/>
              <w:bottom w:w="80" w:type="dxa"/>
              <w:end w:w="90" w:type="dxa"/>
            </w:tcMar>
            <w:vAlign w:val="top"/>
            <w:shd w:fill="EEF3F8"/>
          </w:tcPr>
          <w:p>
            <w:r>
              <w:rPr>
                <w:sz w:val="16"/>
              </w:rPr>
              <w:t>Version history, metadata, disclosure logs, deletion records and document retention</w:t>
            </w:r>
          </w:p>
        </w:tc>
        <w:tc>
          <w:tcPr>
            <w:tcW w:type="dxa" w:w="3240"/>
            <w:tcMar>
              <w:top w:w="80" w:type="dxa"/>
              <w:start w:w="90" w:type="dxa"/>
              <w:bottom w:w="80" w:type="dxa"/>
              <w:end w:w="90" w:type="dxa"/>
            </w:tcMar>
            <w:vAlign w:val="top"/>
            <w:shd w:fill="EEF3F8"/>
          </w:tcPr>
          <w:p>
            <w:r>
              <w:rPr>
                <w:sz w:val="16"/>
              </w:rPr>
              <w:t>Reliability, possible concealment or later reconstruction</w:t>
            </w:r>
          </w:p>
        </w:tc>
      </w:tr>
    </w:tbl>
    <w:p>
      <w:pPr>
        <w:spacing w:after="0"/>
      </w:pPr>
    </w:p>
    <w:p>
      <w:pPr>
        <w:pStyle w:val="Heading2"/>
      </w:pPr>
      <w:r>
        <w:t>What a warning proves</w:t>
      </w:r>
    </w:p>
    <w:p>
      <w:r>
        <w:t>A clear email stating that combining medicine A with medicine B can cause fatal respiratory depression may be relevant evidence. It can show that a warning was given and may affect breach or causation. It is not a complete defence by itself. The court would still ask whether the warning was accurate, timely, prominent, accessible to that patient, reinforced where required, and accompanied by reasonable prescribing, monitoring and safeguarding. It would also ask whether the patient understood it and whether the organisation knew that standard written communication was inaccessible.</w:t>
      </w:r>
    </w:p>
    <w:p>
      <w:r>
        <w:t>Contributory fault by the deceased is not an automatic bar to prosecution. CPS guidance states that even knowing participation in a criminal act is not by itself a defence, and an employer's duty may include ensuring that safeguards are actually observed. A patient's deliberate act may be highly relevant to causation, but responsibility is not transferred merely by producing small print or recording a warning.</w:t>
      </w:r>
      <w:r>
        <w:rPr>
          <w:color w:val="2F5597"/>
          <w:vertAlign w:val="superscript"/>
        </w:rPr>
        <w:t>[3]</w:t>
      </w:r>
    </w:p>
    <w:p>
      <w:pPr>
        <w:pStyle w:val="Heading2"/>
      </w:pPr>
      <w:r>
        <w:t>Accessible communication</w:t>
      </w:r>
    </w:p>
    <w:p>
      <w:r>
        <w:t>For a blind person, a person who cannot read, or a person with language or cognitive barriers, reasonable communication may require large print, Braille, audio, Easy Read, an interpreter, a support person or a verbal explanation with a recorded comprehension check. The NHS Accessible Information Standard applies to NHS and publicly funded adult social care and the Equality Act 2010 may require reasonable adjustments more broadly. The legal question remains fact specific. There is no universal rule requiring a recording, but a reliable contemporaneous record is much stronger than an unsupported assertion that the person understood.</w:t>
      </w:r>
      <w:r>
        <w:rPr>
          <w:color w:val="2F5597"/>
          <w:vertAlign w:val="superscript"/>
        </w:rPr>
        <w:t>[11]</w:t>
      </w:r>
      <w:r>
        <w:rPr>
          <w:color w:val="2F5597"/>
          <w:vertAlign w:val="superscript"/>
        </w:rPr>
        <w:t>[12]</w:t>
      </w:r>
    </w:p>
    <w:p>
      <w:pPr>
        <w:pStyle w:val="Heading1"/>
        <w:pBdr>
          <w:bottom w:val="single" w:sz="8" w:space="4" w:color="2F5597"/>
        </w:pBdr>
      </w:pPr>
      <w:r>
        <w:t>Medicines and prescribing</w:t>
      </w:r>
    </w:p>
    <w:p>
      <w:r>
        <w:t>A medicine being licensed does not mean it is risk free and does not by itself prove negligence or corporate manslaughter when a patient dies. Licensing weighs evidence about quality, safety and efficacy for authorised use. Risks may evolve after wider use, which is why pharmacovigilance, adverse event reporting, updated product information, recalls and professional prescribing guidance matter. The MHRA Yellow Card scheme is one route for reporting suspected adverse reactions and product safety concerns.</w:t>
      </w:r>
      <w:r>
        <w:rPr>
          <w:color w:val="2F5597"/>
          <w:vertAlign w:val="superscript"/>
        </w:rPr>
        <w:t>[9]</w:t>
      </w:r>
      <w:r>
        <w:rPr>
          <w:color w:val="2F5597"/>
          <w:vertAlign w:val="superscript"/>
        </w:rPr>
        <w:t>[39]</w:t>
      </w:r>
    </w:p>
    <w:p>
      <w:r>
        <w:t>Pregabalin and opioids illustrate the evidential approach. Both can depress the central nervous system, and risk may rise with other depressants, respiratory or neurological disease, renal impairment, older age or higher exposure. A credible case review should obtain the indication, dose, titration, co-prescriptions, dispensing history, renal function, respiratory history, mental capacity, alcohol or non-prescribed substances, warnings, follow up, toxicology and cause of death. A statistical association or the presence of both medicines is not enough to prove the statutory offence.</w:t>
      </w:r>
      <w:r>
        <w:rPr>
          <w:color w:val="2F5597"/>
          <w:vertAlign w:val="superscript"/>
        </w:rPr>
        <w:t>[10]</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2880"/>
            <w:shd w:fill="17365D"/>
            <w:tcMar>
              <w:top w:w="80" w:type="dxa"/>
              <w:start w:w="90" w:type="dxa"/>
              <w:bottom w:w="80" w:type="dxa"/>
              <w:end w:w="90" w:type="dxa"/>
            </w:tcMar>
            <w:vAlign w:val="center"/>
          </w:tcPr>
          <w:p>
            <w:pPr>
              <w:jc w:val="left"/>
            </w:pPr>
            <w:r>
              <w:rPr>
                <w:b/>
                <w:color w:val="FFFFFF"/>
                <w:sz w:val="16"/>
              </w:rPr>
              <w:t>Possible organisational failure</w:t>
            </w:r>
          </w:p>
        </w:tc>
        <w:tc>
          <w:tcPr>
            <w:tcW w:type="dxa" w:w="3960"/>
            <w:shd w:fill="17365D"/>
            <w:tcMar>
              <w:top w:w="80" w:type="dxa"/>
              <w:start w:w="90" w:type="dxa"/>
              <w:bottom w:w="80" w:type="dxa"/>
              <w:end w:w="90" w:type="dxa"/>
            </w:tcMar>
            <w:vAlign w:val="center"/>
          </w:tcPr>
          <w:p>
            <w:pPr>
              <w:jc w:val="left"/>
            </w:pPr>
            <w:r>
              <w:rPr>
                <w:b/>
                <w:color w:val="FFFFFF"/>
                <w:sz w:val="16"/>
              </w:rPr>
              <w:t>Evidence to seek</w:t>
            </w:r>
          </w:p>
        </w:tc>
        <w:tc>
          <w:tcPr>
            <w:tcW w:type="dxa" w:w="2736"/>
            <w:shd w:fill="17365D"/>
            <w:tcMar>
              <w:top w:w="80" w:type="dxa"/>
              <w:start w:w="90" w:type="dxa"/>
              <w:bottom w:w="80" w:type="dxa"/>
              <w:end w:w="90" w:type="dxa"/>
            </w:tcMar>
            <w:vAlign w:val="center"/>
          </w:tcPr>
          <w:p>
            <w:pPr>
              <w:jc w:val="left"/>
            </w:pPr>
            <w:r>
              <w:rPr>
                <w:b/>
                <w:color w:val="FFFFFF"/>
                <w:sz w:val="16"/>
              </w:rPr>
              <w:t>Alternative or parallel route</w:t>
            </w:r>
          </w:p>
        </w:tc>
      </w:tr>
      <w:tr>
        <w:trPr>
          <w:cantSplit/>
        </w:trPr>
        <w:tc>
          <w:tcPr>
            <w:tcW w:type="dxa" w:w="2880"/>
            <w:tcMar>
              <w:top w:w="80" w:type="dxa"/>
              <w:start w:w="90" w:type="dxa"/>
              <w:bottom w:w="80" w:type="dxa"/>
              <w:end w:w="90" w:type="dxa"/>
            </w:tcMar>
            <w:vAlign w:val="top"/>
          </w:tcPr>
          <w:p>
            <w:r>
              <w:rPr>
                <w:sz w:val="16"/>
              </w:rPr>
              <w:t>Pressure to prescribe or sell</w:t>
            </w:r>
          </w:p>
        </w:tc>
        <w:tc>
          <w:tcPr>
            <w:tcW w:type="dxa" w:w="3960"/>
            <w:tcMar>
              <w:top w:w="80" w:type="dxa"/>
              <w:start w:w="90" w:type="dxa"/>
              <w:bottom w:w="80" w:type="dxa"/>
              <w:end w:w="90" w:type="dxa"/>
            </w:tcMar>
            <w:vAlign w:val="top"/>
          </w:tcPr>
          <w:p>
            <w:r>
              <w:rPr>
                <w:sz w:val="16"/>
              </w:rPr>
              <w:t>Targets, incentive schemes, formularies, emails, sales data, override logs</w:t>
            </w:r>
          </w:p>
        </w:tc>
        <w:tc>
          <w:tcPr>
            <w:tcW w:type="dxa" w:w="2736"/>
            <w:tcMar>
              <w:top w:w="80" w:type="dxa"/>
              <w:start w:w="90" w:type="dxa"/>
              <w:bottom w:w="80" w:type="dxa"/>
              <w:end w:w="90" w:type="dxa"/>
            </w:tcMar>
            <w:vAlign w:val="top"/>
          </w:tcPr>
          <w:p>
            <w:r>
              <w:rPr>
                <w:sz w:val="16"/>
              </w:rPr>
              <w:t>Professional discipline, fraud, bribery, consumer or medicines regulation</w:t>
            </w:r>
          </w:p>
        </w:tc>
      </w:tr>
      <w:tr>
        <w:trPr>
          <w:cantSplit/>
        </w:trPr>
        <w:tc>
          <w:tcPr>
            <w:tcW w:type="dxa" w:w="2880"/>
            <w:tcMar>
              <w:top w:w="80" w:type="dxa"/>
              <w:start w:w="90" w:type="dxa"/>
              <w:bottom w:w="80" w:type="dxa"/>
              <w:end w:w="90" w:type="dxa"/>
            </w:tcMar>
            <w:vAlign w:val="top"/>
            <w:shd w:fill="EEF3F8"/>
          </w:tcPr>
          <w:p>
            <w:r>
              <w:rPr>
                <w:sz w:val="16"/>
              </w:rPr>
              <w:t>Unqualified distribution</w:t>
            </w:r>
          </w:p>
        </w:tc>
        <w:tc>
          <w:tcPr>
            <w:tcW w:type="dxa" w:w="3960"/>
            <w:tcMar>
              <w:top w:w="80" w:type="dxa"/>
              <w:start w:w="90" w:type="dxa"/>
              <w:bottom w:w="80" w:type="dxa"/>
              <w:end w:w="90" w:type="dxa"/>
            </w:tcMar>
            <w:vAlign w:val="top"/>
            <w:shd w:fill="EEF3F8"/>
          </w:tcPr>
          <w:p>
            <w:r>
              <w:rPr>
                <w:sz w:val="16"/>
              </w:rPr>
              <w:t>Licence scope, responsible person records, credential checks, wholesale and dispensing chain</w:t>
            </w:r>
          </w:p>
        </w:tc>
        <w:tc>
          <w:tcPr>
            <w:tcW w:type="dxa" w:w="2736"/>
            <w:tcMar>
              <w:top w:w="80" w:type="dxa"/>
              <w:start w:w="90" w:type="dxa"/>
              <w:bottom w:w="80" w:type="dxa"/>
              <w:end w:w="90" w:type="dxa"/>
            </w:tcMar>
            <w:vAlign w:val="top"/>
            <w:shd w:fill="EEF3F8"/>
          </w:tcPr>
          <w:p>
            <w:r>
              <w:rPr>
                <w:sz w:val="16"/>
              </w:rPr>
              <w:t>Human Medicines Regulations, professional regulation, medicines offences</w:t>
            </w:r>
          </w:p>
        </w:tc>
      </w:tr>
      <w:tr>
        <w:trPr>
          <w:cantSplit/>
        </w:trPr>
        <w:tc>
          <w:tcPr>
            <w:tcW w:type="dxa" w:w="2880"/>
            <w:tcMar>
              <w:top w:w="80" w:type="dxa"/>
              <w:start w:w="90" w:type="dxa"/>
              <w:bottom w:w="80" w:type="dxa"/>
              <w:end w:w="90" w:type="dxa"/>
            </w:tcMar>
            <w:vAlign w:val="top"/>
          </w:tcPr>
          <w:p>
            <w:r>
              <w:rPr>
                <w:sz w:val="16"/>
              </w:rPr>
              <w:t>Known interaction not communicated</w:t>
            </w:r>
          </w:p>
        </w:tc>
        <w:tc>
          <w:tcPr>
            <w:tcW w:type="dxa" w:w="3960"/>
            <w:tcMar>
              <w:top w:w="80" w:type="dxa"/>
              <w:start w:w="90" w:type="dxa"/>
              <w:bottom w:w="80" w:type="dxa"/>
              <w:end w:w="90" w:type="dxa"/>
            </w:tcMar>
            <w:vAlign w:val="top"/>
          </w:tcPr>
          <w:p>
            <w:r>
              <w:rPr>
                <w:sz w:val="16"/>
              </w:rPr>
              <w:t>Product information, alerts, consultation record, dispensing advice, accessible format</w:t>
            </w:r>
          </w:p>
        </w:tc>
        <w:tc>
          <w:tcPr>
            <w:tcW w:type="dxa" w:w="2736"/>
            <w:tcMar>
              <w:top w:w="80" w:type="dxa"/>
              <w:start w:w="90" w:type="dxa"/>
              <w:bottom w:w="80" w:type="dxa"/>
              <w:end w:w="90" w:type="dxa"/>
            </w:tcMar>
            <w:vAlign w:val="top"/>
          </w:tcPr>
          <w:p>
            <w:r>
              <w:rPr>
                <w:sz w:val="16"/>
              </w:rPr>
              <w:t>Clinical negligence, professional discipline, CQC or MHRA enforcement</w:t>
            </w:r>
          </w:p>
        </w:tc>
      </w:tr>
      <w:tr>
        <w:trPr>
          <w:cantSplit/>
        </w:trPr>
        <w:tc>
          <w:tcPr>
            <w:tcW w:type="dxa" w:w="2880"/>
            <w:tcMar>
              <w:top w:w="80" w:type="dxa"/>
              <w:start w:w="90" w:type="dxa"/>
              <w:bottom w:w="80" w:type="dxa"/>
              <w:end w:w="90" w:type="dxa"/>
            </w:tcMar>
            <w:vAlign w:val="top"/>
            <w:shd w:fill="EEF3F8"/>
          </w:tcPr>
          <w:p>
            <w:r>
              <w:rPr>
                <w:sz w:val="16"/>
              </w:rPr>
              <w:t>Failure to monitor adverse events</w:t>
            </w:r>
          </w:p>
        </w:tc>
        <w:tc>
          <w:tcPr>
            <w:tcW w:type="dxa" w:w="3960"/>
            <w:tcMar>
              <w:top w:w="80" w:type="dxa"/>
              <w:start w:w="90" w:type="dxa"/>
              <w:bottom w:w="80" w:type="dxa"/>
              <w:end w:w="90" w:type="dxa"/>
            </w:tcMar>
            <w:vAlign w:val="top"/>
            <w:shd w:fill="EEF3F8"/>
          </w:tcPr>
          <w:p>
            <w:r>
              <w:rPr>
                <w:sz w:val="16"/>
              </w:rPr>
              <w:t>Yellow Cards, complaints, safety signals, trend analysis, board escalation</w:t>
            </w:r>
          </w:p>
        </w:tc>
        <w:tc>
          <w:tcPr>
            <w:tcW w:type="dxa" w:w="2736"/>
            <w:tcMar>
              <w:top w:w="80" w:type="dxa"/>
              <w:start w:w="90" w:type="dxa"/>
              <w:bottom w:w="80" w:type="dxa"/>
              <w:end w:w="90" w:type="dxa"/>
            </w:tcMar>
            <w:vAlign w:val="top"/>
            <w:shd w:fill="EEF3F8"/>
          </w:tcPr>
          <w:p>
            <w:r>
              <w:rPr>
                <w:sz w:val="16"/>
              </w:rPr>
              <w:t>Pharmacovigilance and regulatory enforcement</w:t>
            </w:r>
          </w:p>
        </w:tc>
      </w:tr>
      <w:tr>
        <w:trPr>
          <w:cantSplit/>
        </w:trPr>
        <w:tc>
          <w:tcPr>
            <w:tcW w:type="dxa" w:w="2880"/>
            <w:tcMar>
              <w:top w:w="80" w:type="dxa"/>
              <w:start w:w="90" w:type="dxa"/>
              <w:bottom w:w="80" w:type="dxa"/>
              <w:end w:w="90" w:type="dxa"/>
            </w:tcMar>
            <w:vAlign w:val="top"/>
          </w:tcPr>
          <w:p>
            <w:r>
              <w:rPr>
                <w:sz w:val="16"/>
              </w:rPr>
              <w:t>Diversion or disposal failure</w:t>
            </w:r>
          </w:p>
        </w:tc>
        <w:tc>
          <w:tcPr>
            <w:tcW w:type="dxa" w:w="3960"/>
            <w:tcMar>
              <w:top w:w="80" w:type="dxa"/>
              <w:start w:w="90" w:type="dxa"/>
              <w:bottom w:w="80" w:type="dxa"/>
              <w:end w:w="90" w:type="dxa"/>
            </w:tcMar>
            <w:vAlign w:val="top"/>
          </w:tcPr>
          <w:p>
            <w:r>
              <w:rPr>
                <w:sz w:val="16"/>
              </w:rPr>
              <w:t>Inventory, controlled drug registers, destruction certificates, security access and reconciliation</w:t>
            </w:r>
          </w:p>
        </w:tc>
        <w:tc>
          <w:tcPr>
            <w:tcW w:type="dxa" w:w="2736"/>
            <w:tcMar>
              <w:top w:w="80" w:type="dxa"/>
              <w:start w:w="90" w:type="dxa"/>
              <w:bottom w:w="80" w:type="dxa"/>
              <w:end w:w="90" w:type="dxa"/>
            </w:tcMar>
            <w:vAlign w:val="top"/>
          </w:tcPr>
          <w:p>
            <w:r>
              <w:rPr>
                <w:sz w:val="16"/>
              </w:rPr>
              <w:t>Misuse of Drugs legislation, theft, supply and regulatory offences</w:t>
            </w:r>
          </w:p>
        </w:tc>
      </w:tr>
    </w:tbl>
    <w:p>
      <w:pPr>
        <w:spacing w:after="0"/>
      </w:pPr>
    </w:p>
    <w:tbl>
      <w:tblPr>
        <w:tblW w:type="auto" w:w="0"/>
        <w:jc w:val="center"/>
        <w:tblLook w:firstColumn="1" w:firstRow="1" w:lastColumn="0" w:lastRow="0" w:noHBand="0" w:noVBand="1" w:val="04A0"/>
      </w:tblPr>
      <w:tblGrid>
        <w:gridCol w:w="9663"/>
      </w:tblGrid>
      <w:tr>
        <w:tc>
          <w:tcPr>
            <w:tcW w:type="dxa" w:w="9663"/>
            <w:shd w:fill="D9EAF7"/>
            <w:tcMar>
              <w:top w:w="130" w:type="dxa"/>
              <w:start w:w="160" w:type="dxa"/>
              <w:bottom w:w="130" w:type="dxa"/>
              <w:end w:w="160" w:type="dxa"/>
            </w:tcMar>
          </w:tcPr>
          <w:p>
            <w:pPr>
              <w:spacing w:after="80"/>
            </w:pPr>
            <w:r>
              <w:rPr>
                <w:b/>
                <w:color w:val="17365D"/>
              </w:rPr>
              <w:t>Fentanyl and diversion</w:t>
            </w:r>
          </w:p>
          <w:p>
            <w:pPr>
              <w:spacing w:after="0"/>
            </w:pPr>
            <w:r>
              <w:t>If a UK manufacturer or healthcare organisation failed to control, account for or lawfully destroy fentanyl and that failure enabled diversion followed by a death, corporate manslaughter is legally conceivable. It would still require proof of the organisation's duty to the deceased, a gross management breach with senior management involvement, and a causal chain surviving the deliberate conduct of intermediaries. Drug supply, controlled drug and individual homicide offences may be more direct.</w:t>
            </w:r>
          </w:p>
        </w:tc>
        <w:trPr>
          <w:tblHeader/>
        </w:trPr>
      </w:tr>
    </w:tbl>
    <w:p>
      <w:pPr>
        <w:pStyle w:val="Heading1"/>
        <w:pBdr>
          <w:bottom w:val="single" w:sz="8" w:space="4" w:color="2F5597"/>
        </w:pBdr>
      </w:pPr>
      <w:r>
        <w:t>Ten year sector baseline</w:t>
      </w:r>
    </w:p>
    <w:p>
      <w:r>
        <w:t>The following table uses Great Britain RIDDOR fatal injury data for workers. It is a baseline, not a corporate manslaughter count. It excludes Northern Ireland, excludes many deaths from occupational disease, and does not count most patient and service user deaths in CQC registered healthcare. The 2025 to 2026 figures are provisional and 2024 to 2025 figures are revised.</w:t>
      </w:r>
      <w:r>
        <w:rPr>
          <w:color w:val="2F5597"/>
          <w:vertAlign w:val="superscript"/>
        </w:rPr>
        <w:t>[5]</w:t>
      </w:r>
    </w:p>
    <w:tbl>
      <w:tblPr>
        <w:tblStyle w:val="TableGrid"/>
        <w:tblW w:type="auto" w:w="0"/>
        <w:jc w:val="center"/>
        <w:tblLayout w:type="fixed"/>
        <w:tblLook w:firstColumn="1" w:firstRow="1" w:lastColumn="0" w:lastRow="0" w:noHBand="0" w:noVBand="1" w:val="04A0"/>
      </w:tblPr>
      <w:tblGrid>
        <w:gridCol w:w="2416"/>
        <w:gridCol w:w="2416"/>
        <w:gridCol w:w="2416"/>
        <w:gridCol w:w="2416"/>
      </w:tblGrid>
      <w:tr>
        <w:trPr>
          <w:tblHeader w:val="true"/>
        </w:trPr>
        <w:tc>
          <w:tcPr>
            <w:tcW w:type="dxa" w:w="3384"/>
            <w:shd w:fill="17365D"/>
            <w:tcMar>
              <w:top w:w="80" w:type="dxa"/>
              <w:start w:w="90" w:type="dxa"/>
              <w:bottom w:w="80" w:type="dxa"/>
              <w:end w:w="90" w:type="dxa"/>
            </w:tcMar>
            <w:vAlign w:val="center"/>
          </w:tcPr>
          <w:p>
            <w:pPr>
              <w:jc w:val="left"/>
            </w:pPr>
            <w:r>
              <w:rPr>
                <w:b/>
                <w:color w:val="FFFFFF"/>
                <w:sz w:val="17"/>
              </w:rPr>
              <w:t>Reporting year</w:t>
            </w:r>
          </w:p>
        </w:tc>
        <w:tc>
          <w:tcPr>
            <w:tcW w:type="dxa" w:w="2088"/>
            <w:shd w:fill="17365D"/>
            <w:tcMar>
              <w:top w:w="80" w:type="dxa"/>
              <w:start w:w="90" w:type="dxa"/>
              <w:bottom w:w="80" w:type="dxa"/>
              <w:end w:w="90" w:type="dxa"/>
            </w:tcMar>
            <w:vAlign w:val="center"/>
          </w:tcPr>
          <w:p>
            <w:pPr>
              <w:jc w:val="left"/>
            </w:pPr>
            <w:r>
              <w:rPr>
                <w:b/>
                <w:color w:val="FFFFFF"/>
                <w:sz w:val="17"/>
              </w:rPr>
              <w:t>Construction deaths</w:t>
            </w:r>
          </w:p>
        </w:tc>
        <w:tc>
          <w:tcPr>
            <w:tcW w:type="dxa" w:w="2232"/>
            <w:shd w:fill="17365D"/>
            <w:tcMar>
              <w:top w:w="80" w:type="dxa"/>
              <w:start w:w="90" w:type="dxa"/>
              <w:bottom w:w="80" w:type="dxa"/>
              <w:end w:w="90" w:type="dxa"/>
            </w:tcMar>
            <w:vAlign w:val="center"/>
          </w:tcPr>
          <w:p>
            <w:pPr>
              <w:jc w:val="left"/>
            </w:pPr>
            <w:r>
              <w:rPr>
                <w:b/>
                <w:color w:val="FFFFFF"/>
                <w:sz w:val="17"/>
              </w:rPr>
              <w:t>Manufacturing deaths</w:t>
            </w:r>
          </w:p>
        </w:tc>
        <w:tc>
          <w:tcPr>
            <w:tcW w:type="dxa" w:w="1728"/>
            <w:shd w:fill="17365D"/>
            <w:tcMar>
              <w:top w:w="80" w:type="dxa"/>
              <w:start w:w="90" w:type="dxa"/>
              <w:bottom w:w="80" w:type="dxa"/>
              <w:end w:w="90" w:type="dxa"/>
            </w:tcMar>
            <w:vAlign w:val="center"/>
          </w:tcPr>
          <w:p>
            <w:pPr>
              <w:jc w:val="left"/>
            </w:pPr>
            <w:r>
              <w:rPr>
                <w:b/>
                <w:color w:val="FFFFFF"/>
                <w:sz w:val="17"/>
              </w:rPr>
              <w:t>Combined</w:t>
            </w:r>
          </w:p>
        </w:tc>
      </w:tr>
      <w:tr>
        <w:trPr>
          <w:cantSplit/>
        </w:trPr>
        <w:tc>
          <w:tcPr>
            <w:tcW w:type="dxa" w:w="3384"/>
            <w:tcMar>
              <w:top w:w="80" w:type="dxa"/>
              <w:start w:w="90" w:type="dxa"/>
              <w:bottom w:w="80" w:type="dxa"/>
              <w:end w:w="90" w:type="dxa"/>
            </w:tcMar>
            <w:vAlign w:val="top"/>
          </w:tcPr>
          <w:p>
            <w:r>
              <w:rPr>
                <w:sz w:val="17"/>
              </w:rPr>
              <w:t>2016 to 2017</w:t>
            </w:r>
          </w:p>
        </w:tc>
        <w:tc>
          <w:tcPr>
            <w:tcW w:type="dxa" w:w="2088"/>
            <w:tcMar>
              <w:top w:w="80" w:type="dxa"/>
              <w:start w:w="90" w:type="dxa"/>
              <w:bottom w:w="80" w:type="dxa"/>
              <w:end w:w="90" w:type="dxa"/>
            </w:tcMar>
            <w:vAlign w:val="top"/>
          </w:tcPr>
          <w:p>
            <w:r>
              <w:rPr>
                <w:sz w:val="17"/>
              </w:rPr>
              <w:t>31</w:t>
            </w:r>
          </w:p>
        </w:tc>
        <w:tc>
          <w:tcPr>
            <w:tcW w:type="dxa" w:w="2232"/>
            <w:tcMar>
              <w:top w:w="80" w:type="dxa"/>
              <w:start w:w="90" w:type="dxa"/>
              <w:bottom w:w="80" w:type="dxa"/>
              <w:end w:w="90" w:type="dxa"/>
            </w:tcMar>
            <w:vAlign w:val="top"/>
          </w:tcPr>
          <w:p>
            <w:r>
              <w:rPr>
                <w:sz w:val="17"/>
              </w:rPr>
              <w:t>18</w:t>
            </w:r>
          </w:p>
        </w:tc>
        <w:tc>
          <w:tcPr>
            <w:tcW w:type="dxa" w:w="1728"/>
            <w:tcMar>
              <w:top w:w="80" w:type="dxa"/>
              <w:start w:w="90" w:type="dxa"/>
              <w:bottom w:w="80" w:type="dxa"/>
              <w:end w:w="90" w:type="dxa"/>
            </w:tcMar>
            <w:vAlign w:val="top"/>
          </w:tcPr>
          <w:p>
            <w:r>
              <w:rPr>
                <w:sz w:val="17"/>
              </w:rPr>
              <w:t>49</w:t>
            </w:r>
          </w:p>
        </w:tc>
      </w:tr>
      <w:tr>
        <w:trPr>
          <w:cantSplit/>
        </w:trPr>
        <w:tc>
          <w:tcPr>
            <w:tcW w:type="dxa" w:w="3384"/>
            <w:tcMar>
              <w:top w:w="80" w:type="dxa"/>
              <w:start w:w="90" w:type="dxa"/>
              <w:bottom w:w="80" w:type="dxa"/>
              <w:end w:w="90" w:type="dxa"/>
            </w:tcMar>
            <w:vAlign w:val="top"/>
            <w:shd w:fill="EEF3F8"/>
          </w:tcPr>
          <w:p>
            <w:r>
              <w:rPr>
                <w:sz w:val="17"/>
              </w:rPr>
              <w:t>2017 to 2018</w:t>
            </w:r>
          </w:p>
        </w:tc>
        <w:tc>
          <w:tcPr>
            <w:tcW w:type="dxa" w:w="2088"/>
            <w:tcMar>
              <w:top w:w="80" w:type="dxa"/>
              <w:start w:w="90" w:type="dxa"/>
              <w:bottom w:w="80" w:type="dxa"/>
              <w:end w:w="90" w:type="dxa"/>
            </w:tcMar>
            <w:vAlign w:val="top"/>
            <w:shd w:fill="EEF3F8"/>
          </w:tcPr>
          <w:p>
            <w:r>
              <w:rPr>
                <w:sz w:val="17"/>
              </w:rPr>
              <w:t>37</w:t>
            </w:r>
          </w:p>
        </w:tc>
        <w:tc>
          <w:tcPr>
            <w:tcW w:type="dxa" w:w="2232"/>
            <w:tcMar>
              <w:top w:w="80" w:type="dxa"/>
              <w:start w:w="90" w:type="dxa"/>
              <w:bottom w:w="80" w:type="dxa"/>
              <w:end w:w="90" w:type="dxa"/>
            </w:tcMar>
            <w:vAlign w:val="top"/>
            <w:shd w:fill="EEF3F8"/>
          </w:tcPr>
          <w:p>
            <w:r>
              <w:rPr>
                <w:sz w:val="17"/>
              </w:rPr>
              <w:t>15</w:t>
            </w:r>
          </w:p>
        </w:tc>
        <w:tc>
          <w:tcPr>
            <w:tcW w:type="dxa" w:w="1728"/>
            <w:tcMar>
              <w:top w:w="80" w:type="dxa"/>
              <w:start w:w="90" w:type="dxa"/>
              <w:bottom w:w="80" w:type="dxa"/>
              <w:end w:w="90" w:type="dxa"/>
            </w:tcMar>
            <w:vAlign w:val="top"/>
            <w:shd w:fill="EEF3F8"/>
          </w:tcPr>
          <w:p>
            <w:r>
              <w:rPr>
                <w:sz w:val="17"/>
              </w:rPr>
              <w:t>52</w:t>
            </w:r>
          </w:p>
        </w:tc>
      </w:tr>
      <w:tr>
        <w:trPr>
          <w:cantSplit/>
        </w:trPr>
        <w:tc>
          <w:tcPr>
            <w:tcW w:type="dxa" w:w="3384"/>
            <w:tcMar>
              <w:top w:w="80" w:type="dxa"/>
              <w:start w:w="90" w:type="dxa"/>
              <w:bottom w:w="80" w:type="dxa"/>
              <w:end w:w="90" w:type="dxa"/>
            </w:tcMar>
            <w:vAlign w:val="top"/>
          </w:tcPr>
          <w:p>
            <w:r>
              <w:rPr>
                <w:sz w:val="17"/>
              </w:rPr>
              <w:t>2018 to 2019</w:t>
            </w:r>
          </w:p>
        </w:tc>
        <w:tc>
          <w:tcPr>
            <w:tcW w:type="dxa" w:w="2088"/>
            <w:tcMar>
              <w:top w:w="80" w:type="dxa"/>
              <w:start w:w="90" w:type="dxa"/>
              <w:bottom w:w="80" w:type="dxa"/>
              <w:end w:w="90" w:type="dxa"/>
            </w:tcMar>
            <w:vAlign w:val="top"/>
          </w:tcPr>
          <w:p>
            <w:r>
              <w:rPr>
                <w:sz w:val="17"/>
              </w:rPr>
              <w:t>31</w:t>
            </w:r>
          </w:p>
        </w:tc>
        <w:tc>
          <w:tcPr>
            <w:tcW w:type="dxa" w:w="2232"/>
            <w:tcMar>
              <w:top w:w="80" w:type="dxa"/>
              <w:start w:w="90" w:type="dxa"/>
              <w:bottom w:w="80" w:type="dxa"/>
              <w:end w:w="90" w:type="dxa"/>
            </w:tcMar>
            <w:vAlign w:val="top"/>
          </w:tcPr>
          <w:p>
            <w:r>
              <w:rPr>
                <w:sz w:val="17"/>
              </w:rPr>
              <w:t>26</w:t>
            </w:r>
          </w:p>
        </w:tc>
        <w:tc>
          <w:tcPr>
            <w:tcW w:type="dxa" w:w="1728"/>
            <w:tcMar>
              <w:top w:w="80" w:type="dxa"/>
              <w:start w:w="90" w:type="dxa"/>
              <w:bottom w:w="80" w:type="dxa"/>
              <w:end w:w="90" w:type="dxa"/>
            </w:tcMar>
            <w:vAlign w:val="top"/>
          </w:tcPr>
          <w:p>
            <w:r>
              <w:rPr>
                <w:sz w:val="17"/>
              </w:rPr>
              <w:t>57</w:t>
            </w:r>
          </w:p>
        </w:tc>
      </w:tr>
      <w:tr>
        <w:trPr>
          <w:cantSplit/>
        </w:trPr>
        <w:tc>
          <w:tcPr>
            <w:tcW w:type="dxa" w:w="3384"/>
            <w:tcMar>
              <w:top w:w="80" w:type="dxa"/>
              <w:start w:w="90" w:type="dxa"/>
              <w:bottom w:w="80" w:type="dxa"/>
              <w:end w:w="90" w:type="dxa"/>
            </w:tcMar>
            <w:vAlign w:val="top"/>
            <w:shd w:fill="EEF3F8"/>
          </w:tcPr>
          <w:p>
            <w:r>
              <w:rPr>
                <w:sz w:val="17"/>
              </w:rPr>
              <w:t>2019 to 2020</w:t>
            </w:r>
          </w:p>
        </w:tc>
        <w:tc>
          <w:tcPr>
            <w:tcW w:type="dxa" w:w="2088"/>
            <w:tcMar>
              <w:top w:w="80" w:type="dxa"/>
              <w:start w:w="90" w:type="dxa"/>
              <w:bottom w:w="80" w:type="dxa"/>
              <w:end w:w="90" w:type="dxa"/>
            </w:tcMar>
            <w:vAlign w:val="top"/>
            <w:shd w:fill="EEF3F8"/>
          </w:tcPr>
          <w:p>
            <w:r>
              <w:rPr>
                <w:sz w:val="17"/>
              </w:rPr>
              <w:t>40</w:t>
            </w:r>
          </w:p>
        </w:tc>
        <w:tc>
          <w:tcPr>
            <w:tcW w:type="dxa" w:w="2232"/>
            <w:tcMar>
              <w:top w:w="80" w:type="dxa"/>
              <w:start w:w="90" w:type="dxa"/>
              <w:bottom w:w="80" w:type="dxa"/>
              <w:end w:w="90" w:type="dxa"/>
            </w:tcMar>
            <w:vAlign w:val="top"/>
            <w:shd w:fill="EEF3F8"/>
          </w:tcPr>
          <w:p>
            <w:r>
              <w:rPr>
                <w:sz w:val="17"/>
              </w:rPr>
              <w:t>15</w:t>
            </w:r>
          </w:p>
        </w:tc>
        <w:tc>
          <w:tcPr>
            <w:tcW w:type="dxa" w:w="1728"/>
            <w:tcMar>
              <w:top w:w="80" w:type="dxa"/>
              <w:start w:w="90" w:type="dxa"/>
              <w:bottom w:w="80" w:type="dxa"/>
              <w:end w:w="90" w:type="dxa"/>
            </w:tcMar>
            <w:vAlign w:val="top"/>
            <w:shd w:fill="EEF3F8"/>
          </w:tcPr>
          <w:p>
            <w:r>
              <w:rPr>
                <w:sz w:val="17"/>
              </w:rPr>
              <w:t>55</w:t>
            </w:r>
          </w:p>
        </w:tc>
      </w:tr>
      <w:tr>
        <w:trPr>
          <w:cantSplit/>
        </w:trPr>
        <w:tc>
          <w:tcPr>
            <w:tcW w:type="dxa" w:w="3384"/>
            <w:tcMar>
              <w:top w:w="80" w:type="dxa"/>
              <w:start w:w="90" w:type="dxa"/>
              <w:bottom w:w="80" w:type="dxa"/>
              <w:end w:w="90" w:type="dxa"/>
            </w:tcMar>
            <w:vAlign w:val="top"/>
          </w:tcPr>
          <w:p>
            <w:r>
              <w:rPr>
                <w:sz w:val="17"/>
              </w:rPr>
              <w:t>2020 to 2021</w:t>
            </w:r>
          </w:p>
        </w:tc>
        <w:tc>
          <w:tcPr>
            <w:tcW w:type="dxa" w:w="2088"/>
            <w:tcMar>
              <w:top w:w="80" w:type="dxa"/>
              <w:start w:w="90" w:type="dxa"/>
              <w:bottom w:w="80" w:type="dxa"/>
              <w:end w:w="90" w:type="dxa"/>
            </w:tcMar>
            <w:vAlign w:val="top"/>
          </w:tcPr>
          <w:p>
            <w:r>
              <w:rPr>
                <w:sz w:val="17"/>
              </w:rPr>
              <w:t>39</w:t>
            </w:r>
          </w:p>
        </w:tc>
        <w:tc>
          <w:tcPr>
            <w:tcW w:type="dxa" w:w="2232"/>
            <w:tcMar>
              <w:top w:w="80" w:type="dxa"/>
              <w:start w:w="90" w:type="dxa"/>
              <w:bottom w:w="80" w:type="dxa"/>
              <w:end w:w="90" w:type="dxa"/>
            </w:tcMar>
            <w:vAlign w:val="top"/>
          </w:tcPr>
          <w:p>
            <w:r>
              <w:rPr>
                <w:sz w:val="17"/>
              </w:rPr>
              <w:t>20</w:t>
            </w:r>
          </w:p>
        </w:tc>
        <w:tc>
          <w:tcPr>
            <w:tcW w:type="dxa" w:w="1728"/>
            <w:tcMar>
              <w:top w:w="80" w:type="dxa"/>
              <w:start w:w="90" w:type="dxa"/>
              <w:bottom w:w="80" w:type="dxa"/>
              <w:end w:w="90" w:type="dxa"/>
            </w:tcMar>
            <w:vAlign w:val="top"/>
          </w:tcPr>
          <w:p>
            <w:r>
              <w:rPr>
                <w:sz w:val="17"/>
              </w:rPr>
              <w:t>59</w:t>
            </w:r>
          </w:p>
        </w:tc>
      </w:tr>
      <w:tr>
        <w:trPr>
          <w:cantSplit/>
        </w:trPr>
        <w:tc>
          <w:tcPr>
            <w:tcW w:type="dxa" w:w="3384"/>
            <w:tcMar>
              <w:top w:w="80" w:type="dxa"/>
              <w:start w:w="90" w:type="dxa"/>
              <w:bottom w:w="80" w:type="dxa"/>
              <w:end w:w="90" w:type="dxa"/>
            </w:tcMar>
            <w:vAlign w:val="top"/>
            <w:shd w:fill="EEF3F8"/>
          </w:tcPr>
          <w:p>
            <w:r>
              <w:rPr>
                <w:sz w:val="17"/>
              </w:rPr>
              <w:t>2021 to 2022</w:t>
            </w:r>
          </w:p>
        </w:tc>
        <w:tc>
          <w:tcPr>
            <w:tcW w:type="dxa" w:w="2088"/>
            <w:tcMar>
              <w:top w:w="80" w:type="dxa"/>
              <w:start w:w="90" w:type="dxa"/>
              <w:bottom w:w="80" w:type="dxa"/>
              <w:end w:w="90" w:type="dxa"/>
            </w:tcMar>
            <w:vAlign w:val="top"/>
            <w:shd w:fill="EEF3F8"/>
          </w:tcPr>
          <w:p>
            <w:r>
              <w:rPr>
                <w:sz w:val="17"/>
              </w:rPr>
              <w:t>29</w:t>
            </w:r>
          </w:p>
        </w:tc>
        <w:tc>
          <w:tcPr>
            <w:tcW w:type="dxa" w:w="2232"/>
            <w:tcMar>
              <w:top w:w="80" w:type="dxa"/>
              <w:start w:w="90" w:type="dxa"/>
              <w:bottom w:w="80" w:type="dxa"/>
              <w:end w:w="90" w:type="dxa"/>
            </w:tcMar>
            <w:vAlign w:val="top"/>
            <w:shd w:fill="EEF3F8"/>
          </w:tcPr>
          <w:p>
            <w:r>
              <w:rPr>
                <w:sz w:val="17"/>
              </w:rPr>
              <w:t>22</w:t>
            </w:r>
          </w:p>
        </w:tc>
        <w:tc>
          <w:tcPr>
            <w:tcW w:type="dxa" w:w="1728"/>
            <w:tcMar>
              <w:top w:w="80" w:type="dxa"/>
              <w:start w:w="90" w:type="dxa"/>
              <w:bottom w:w="80" w:type="dxa"/>
              <w:end w:w="90" w:type="dxa"/>
            </w:tcMar>
            <w:vAlign w:val="top"/>
            <w:shd w:fill="EEF3F8"/>
          </w:tcPr>
          <w:p>
            <w:r>
              <w:rPr>
                <w:sz w:val="17"/>
              </w:rPr>
              <w:t>51</w:t>
            </w:r>
          </w:p>
        </w:tc>
      </w:tr>
      <w:tr>
        <w:trPr>
          <w:cantSplit/>
        </w:trPr>
        <w:tc>
          <w:tcPr>
            <w:tcW w:type="dxa" w:w="3384"/>
            <w:tcMar>
              <w:top w:w="80" w:type="dxa"/>
              <w:start w:w="90" w:type="dxa"/>
              <w:bottom w:w="80" w:type="dxa"/>
              <w:end w:w="90" w:type="dxa"/>
            </w:tcMar>
            <w:vAlign w:val="top"/>
          </w:tcPr>
          <w:p>
            <w:r>
              <w:rPr>
                <w:sz w:val="17"/>
              </w:rPr>
              <w:t>2022 to 2023</w:t>
            </w:r>
          </w:p>
        </w:tc>
        <w:tc>
          <w:tcPr>
            <w:tcW w:type="dxa" w:w="2088"/>
            <w:tcMar>
              <w:top w:w="80" w:type="dxa"/>
              <w:start w:w="90" w:type="dxa"/>
              <w:bottom w:w="80" w:type="dxa"/>
              <w:end w:w="90" w:type="dxa"/>
            </w:tcMar>
            <w:vAlign w:val="top"/>
          </w:tcPr>
          <w:p>
            <w:r>
              <w:rPr>
                <w:sz w:val="17"/>
              </w:rPr>
              <w:t>47</w:t>
            </w:r>
          </w:p>
        </w:tc>
        <w:tc>
          <w:tcPr>
            <w:tcW w:type="dxa" w:w="2232"/>
            <w:tcMar>
              <w:top w:w="80" w:type="dxa"/>
              <w:start w:w="90" w:type="dxa"/>
              <w:bottom w:w="80" w:type="dxa"/>
              <w:end w:w="90" w:type="dxa"/>
            </w:tcMar>
            <w:vAlign w:val="top"/>
          </w:tcPr>
          <w:p>
            <w:r>
              <w:rPr>
                <w:sz w:val="17"/>
              </w:rPr>
              <w:t>15</w:t>
            </w:r>
          </w:p>
        </w:tc>
        <w:tc>
          <w:tcPr>
            <w:tcW w:type="dxa" w:w="1728"/>
            <w:tcMar>
              <w:top w:w="80" w:type="dxa"/>
              <w:start w:w="90" w:type="dxa"/>
              <w:bottom w:w="80" w:type="dxa"/>
              <w:end w:w="90" w:type="dxa"/>
            </w:tcMar>
            <w:vAlign w:val="top"/>
          </w:tcPr>
          <w:p>
            <w:r>
              <w:rPr>
                <w:sz w:val="17"/>
              </w:rPr>
              <w:t>62</w:t>
            </w:r>
          </w:p>
        </w:tc>
      </w:tr>
      <w:tr>
        <w:trPr>
          <w:cantSplit/>
        </w:trPr>
        <w:tc>
          <w:tcPr>
            <w:tcW w:type="dxa" w:w="3384"/>
            <w:tcMar>
              <w:top w:w="80" w:type="dxa"/>
              <w:start w:w="90" w:type="dxa"/>
              <w:bottom w:w="80" w:type="dxa"/>
              <w:end w:w="90" w:type="dxa"/>
            </w:tcMar>
            <w:vAlign w:val="top"/>
            <w:shd w:fill="EEF3F8"/>
          </w:tcPr>
          <w:p>
            <w:r>
              <w:rPr>
                <w:sz w:val="17"/>
              </w:rPr>
              <w:t>2023 to 2024</w:t>
            </w:r>
          </w:p>
        </w:tc>
        <w:tc>
          <w:tcPr>
            <w:tcW w:type="dxa" w:w="2088"/>
            <w:tcMar>
              <w:top w:w="80" w:type="dxa"/>
              <w:start w:w="90" w:type="dxa"/>
              <w:bottom w:w="80" w:type="dxa"/>
              <w:end w:w="90" w:type="dxa"/>
            </w:tcMar>
            <w:vAlign w:val="top"/>
            <w:shd w:fill="EEF3F8"/>
          </w:tcPr>
          <w:p>
            <w:r>
              <w:rPr>
                <w:sz w:val="17"/>
              </w:rPr>
              <w:t>50</w:t>
            </w:r>
          </w:p>
        </w:tc>
        <w:tc>
          <w:tcPr>
            <w:tcW w:type="dxa" w:w="2232"/>
            <w:tcMar>
              <w:top w:w="80" w:type="dxa"/>
              <w:start w:w="90" w:type="dxa"/>
              <w:bottom w:w="80" w:type="dxa"/>
              <w:end w:w="90" w:type="dxa"/>
            </w:tcMar>
            <w:vAlign w:val="top"/>
            <w:shd w:fill="EEF3F8"/>
          </w:tcPr>
          <w:p>
            <w:r>
              <w:rPr>
                <w:sz w:val="17"/>
              </w:rPr>
              <w:t>16</w:t>
            </w:r>
          </w:p>
        </w:tc>
        <w:tc>
          <w:tcPr>
            <w:tcW w:type="dxa" w:w="1728"/>
            <w:tcMar>
              <w:top w:w="80" w:type="dxa"/>
              <w:start w:w="90" w:type="dxa"/>
              <w:bottom w:w="80" w:type="dxa"/>
              <w:end w:w="90" w:type="dxa"/>
            </w:tcMar>
            <w:vAlign w:val="top"/>
            <w:shd w:fill="EEF3F8"/>
          </w:tcPr>
          <w:p>
            <w:r>
              <w:rPr>
                <w:sz w:val="17"/>
              </w:rPr>
              <w:t>66</w:t>
            </w:r>
          </w:p>
        </w:tc>
      </w:tr>
      <w:tr>
        <w:trPr>
          <w:cantSplit/>
        </w:trPr>
        <w:tc>
          <w:tcPr>
            <w:tcW w:type="dxa" w:w="3384"/>
            <w:tcMar>
              <w:top w:w="80" w:type="dxa"/>
              <w:start w:w="90" w:type="dxa"/>
              <w:bottom w:w="80" w:type="dxa"/>
              <w:end w:w="90" w:type="dxa"/>
            </w:tcMar>
            <w:vAlign w:val="top"/>
          </w:tcPr>
          <w:p>
            <w:r>
              <w:rPr>
                <w:sz w:val="17"/>
              </w:rPr>
              <w:t>2024 to 2025 revised</w:t>
            </w:r>
          </w:p>
        </w:tc>
        <w:tc>
          <w:tcPr>
            <w:tcW w:type="dxa" w:w="2088"/>
            <w:tcMar>
              <w:top w:w="80" w:type="dxa"/>
              <w:start w:w="90" w:type="dxa"/>
              <w:bottom w:w="80" w:type="dxa"/>
              <w:end w:w="90" w:type="dxa"/>
            </w:tcMar>
            <w:vAlign w:val="top"/>
          </w:tcPr>
          <w:p>
            <w:r>
              <w:rPr>
                <w:sz w:val="17"/>
              </w:rPr>
              <w:t>35</w:t>
            </w:r>
          </w:p>
        </w:tc>
        <w:tc>
          <w:tcPr>
            <w:tcW w:type="dxa" w:w="2232"/>
            <w:tcMar>
              <w:top w:w="80" w:type="dxa"/>
              <w:start w:w="90" w:type="dxa"/>
              <w:bottom w:w="80" w:type="dxa"/>
              <w:end w:w="90" w:type="dxa"/>
            </w:tcMar>
            <w:vAlign w:val="top"/>
          </w:tcPr>
          <w:p>
            <w:r>
              <w:rPr>
                <w:sz w:val="17"/>
              </w:rPr>
              <w:t>11</w:t>
            </w:r>
          </w:p>
        </w:tc>
        <w:tc>
          <w:tcPr>
            <w:tcW w:type="dxa" w:w="1728"/>
            <w:tcMar>
              <w:top w:w="80" w:type="dxa"/>
              <w:start w:w="90" w:type="dxa"/>
              <w:bottom w:w="80" w:type="dxa"/>
              <w:end w:w="90" w:type="dxa"/>
            </w:tcMar>
            <w:vAlign w:val="top"/>
          </w:tcPr>
          <w:p>
            <w:r>
              <w:rPr>
                <w:sz w:val="17"/>
              </w:rPr>
              <w:t>46</w:t>
            </w:r>
          </w:p>
        </w:tc>
      </w:tr>
      <w:tr>
        <w:trPr>
          <w:cantSplit/>
        </w:trPr>
        <w:tc>
          <w:tcPr>
            <w:tcW w:type="dxa" w:w="3384"/>
            <w:tcMar>
              <w:top w:w="80" w:type="dxa"/>
              <w:start w:w="90" w:type="dxa"/>
              <w:bottom w:w="80" w:type="dxa"/>
              <w:end w:w="90" w:type="dxa"/>
            </w:tcMar>
            <w:vAlign w:val="top"/>
            <w:shd w:fill="EEF3F8"/>
          </w:tcPr>
          <w:p>
            <w:r>
              <w:rPr>
                <w:sz w:val="17"/>
              </w:rPr>
              <w:t>2025 to 2026 provisional</w:t>
            </w:r>
          </w:p>
        </w:tc>
        <w:tc>
          <w:tcPr>
            <w:tcW w:type="dxa" w:w="2088"/>
            <w:tcMar>
              <w:top w:w="80" w:type="dxa"/>
              <w:start w:w="90" w:type="dxa"/>
              <w:bottom w:w="80" w:type="dxa"/>
              <w:end w:w="90" w:type="dxa"/>
            </w:tcMar>
            <w:vAlign w:val="top"/>
            <w:shd w:fill="EEF3F8"/>
          </w:tcPr>
          <w:p>
            <w:r>
              <w:rPr>
                <w:sz w:val="17"/>
              </w:rPr>
              <w:t>25</w:t>
            </w:r>
          </w:p>
        </w:tc>
        <w:tc>
          <w:tcPr>
            <w:tcW w:type="dxa" w:w="2232"/>
            <w:tcMar>
              <w:top w:w="80" w:type="dxa"/>
              <w:start w:w="90" w:type="dxa"/>
              <w:bottom w:w="80" w:type="dxa"/>
              <w:end w:w="90" w:type="dxa"/>
            </w:tcMar>
            <w:vAlign w:val="top"/>
            <w:shd w:fill="EEF3F8"/>
          </w:tcPr>
          <w:p>
            <w:r>
              <w:rPr>
                <w:sz w:val="17"/>
              </w:rPr>
              <w:t>18</w:t>
            </w:r>
          </w:p>
        </w:tc>
        <w:tc>
          <w:tcPr>
            <w:tcW w:type="dxa" w:w="1728"/>
            <w:tcMar>
              <w:top w:w="80" w:type="dxa"/>
              <w:start w:w="90" w:type="dxa"/>
              <w:bottom w:w="80" w:type="dxa"/>
              <w:end w:w="90" w:type="dxa"/>
            </w:tcMar>
            <w:vAlign w:val="top"/>
            <w:shd w:fill="EEF3F8"/>
          </w:tcPr>
          <w:p>
            <w:r>
              <w:rPr>
                <w:sz w:val="17"/>
              </w:rPr>
              <w:t>43</w:t>
            </w:r>
          </w:p>
        </w:tc>
      </w:tr>
      <w:tr>
        <w:trPr>
          <w:cantSplit/>
        </w:trPr>
        <w:tc>
          <w:tcPr>
            <w:tcW w:type="dxa" w:w="3384"/>
            <w:tcMar>
              <w:top w:w="80" w:type="dxa"/>
              <w:start w:w="90" w:type="dxa"/>
              <w:bottom w:w="80" w:type="dxa"/>
              <w:end w:w="90" w:type="dxa"/>
            </w:tcMar>
            <w:vAlign w:val="top"/>
          </w:tcPr>
          <w:p>
            <w:r>
              <w:rPr>
                <w:sz w:val="17"/>
              </w:rPr>
              <w:t>Ten year total</w:t>
            </w:r>
          </w:p>
        </w:tc>
        <w:tc>
          <w:tcPr>
            <w:tcW w:type="dxa" w:w="2088"/>
            <w:tcMar>
              <w:top w:w="80" w:type="dxa"/>
              <w:start w:w="90" w:type="dxa"/>
              <w:bottom w:w="80" w:type="dxa"/>
              <w:end w:w="90" w:type="dxa"/>
            </w:tcMar>
            <w:vAlign w:val="top"/>
          </w:tcPr>
          <w:p>
            <w:r>
              <w:rPr>
                <w:sz w:val="17"/>
              </w:rPr>
              <w:t>364</w:t>
            </w:r>
          </w:p>
        </w:tc>
        <w:tc>
          <w:tcPr>
            <w:tcW w:type="dxa" w:w="2232"/>
            <w:tcMar>
              <w:top w:w="80" w:type="dxa"/>
              <w:start w:w="90" w:type="dxa"/>
              <w:bottom w:w="80" w:type="dxa"/>
              <w:end w:w="90" w:type="dxa"/>
            </w:tcMar>
            <w:vAlign w:val="top"/>
          </w:tcPr>
          <w:p>
            <w:r>
              <w:rPr>
                <w:sz w:val="17"/>
              </w:rPr>
              <w:t>176</w:t>
            </w:r>
          </w:p>
        </w:tc>
        <w:tc>
          <w:tcPr>
            <w:tcW w:type="dxa" w:w="1728"/>
            <w:tcMar>
              <w:top w:w="80" w:type="dxa"/>
              <w:start w:w="90" w:type="dxa"/>
              <w:bottom w:w="80" w:type="dxa"/>
              <w:end w:w="90" w:type="dxa"/>
            </w:tcMar>
            <w:vAlign w:val="top"/>
          </w:tcPr>
          <w:p>
            <w:r>
              <w:rPr>
                <w:sz w:val="17"/>
              </w:rPr>
              <w:t>540</w:t>
            </w:r>
          </w:p>
        </w:tc>
      </w:tr>
    </w:tbl>
    <w:p>
      <w:pPr>
        <w:spacing w:after="0"/>
      </w:pPr>
    </w:p>
    <w:p>
      <w:r>
        <w:t>The 540 direct worker deaths are known recorded fatalities in only two sectors. They are not 540 suspected corporate manslaughters. They are, however, a defensible starting population for screening patterns such as repeat hazards, earlier warnings, management decisions and delayed enforcement. Raw counts must also be considered alongside workforce size and hours worked.</w:t>
      </w:r>
    </w:p>
    <w:p>
      <w:pPr>
        <w:pStyle w:val="Heading1"/>
        <w:pBdr>
          <w:bottom w:val="single" w:sz="8" w:space="4" w:color="2F5597"/>
        </w:pBdr>
      </w:pPr>
      <w:r>
        <w:t>Slow deaths and cumulative exposure</w:t>
      </w:r>
    </w:p>
    <w:p>
      <w:r>
        <w:t>A death need not be immediate. A person may die months or decades after asbestos, silica, toxic dust, chemicals, radiation, contaminated food or cumulative medication exposure. The Act can in principle apply if the qualifying duty, gross management breach, senior management element, territorial rule and criminal causation are proved. Latency does not create an exemption, but it makes proof harder.</w:t>
      </w:r>
    </w:p>
    <w:p>
      <w:r>
        <w:t>HSE estimates about 11,000 annual lung disease deaths linked to past workplace exposures and recorded 2,146 mesothelioma deaths in 2024. These disease estimates should not be added to the direct fatal accident total as if they were the same measure, and none should be labelled a crime without individual evidence. They demonstrate why a fatal accident register alone will materially understate the burden of work related death.</w:t>
      </w:r>
      <w:r>
        <w:rPr>
          <w:color w:val="2F5597"/>
          <w:vertAlign w:val="superscript"/>
        </w:rPr>
        <w:t>[6]</w:t>
      </w:r>
      <w:r>
        <w:rPr>
          <w:color w:val="2F5597"/>
          <w:vertAlign w:val="superscript"/>
        </w:rPr>
        <w:t>[7]</w:t>
      </w:r>
    </w:p>
    <w:tbl>
      <w:tblPr>
        <w:tblStyle w:val="TableGrid"/>
        <w:tblW w:type="auto" w:w="0"/>
        <w:jc w:val="center"/>
        <w:tblLayout w:type="fixed"/>
        <w:tblLook w:firstColumn="1" w:firstRow="1" w:lastColumn="0" w:lastRow="0" w:noHBand="0" w:noVBand="1" w:val="04A0"/>
      </w:tblPr>
      <w:tblGrid>
        <w:gridCol w:w="4831"/>
        <w:gridCol w:w="4831"/>
      </w:tblGrid>
      <w:tr>
        <w:trPr>
          <w:tblHeader w:val="true"/>
        </w:trPr>
        <w:tc>
          <w:tcPr>
            <w:tcW w:type="dxa" w:w="3240"/>
            <w:shd w:fill="17365D"/>
            <w:tcMar>
              <w:top w:w="80" w:type="dxa"/>
              <w:start w:w="90" w:type="dxa"/>
              <w:bottom w:w="80" w:type="dxa"/>
              <w:end w:w="90" w:type="dxa"/>
            </w:tcMar>
            <w:vAlign w:val="center"/>
          </w:tcPr>
          <w:p>
            <w:pPr>
              <w:jc w:val="left"/>
            </w:pPr>
            <w:r>
              <w:rPr>
                <w:b/>
                <w:color w:val="FFFFFF"/>
                <w:sz w:val="17"/>
              </w:rPr>
              <w:t>Slow death problem</w:t>
            </w:r>
          </w:p>
        </w:tc>
        <w:tc>
          <w:tcPr>
            <w:tcW w:type="dxa" w:w="6120"/>
            <w:shd w:fill="17365D"/>
            <w:tcMar>
              <w:top w:w="80" w:type="dxa"/>
              <w:start w:w="90" w:type="dxa"/>
              <w:bottom w:w="80" w:type="dxa"/>
              <w:end w:w="90" w:type="dxa"/>
            </w:tcMar>
            <w:vAlign w:val="center"/>
          </w:tcPr>
          <w:p>
            <w:pPr>
              <w:jc w:val="left"/>
            </w:pPr>
            <w:r>
              <w:rPr>
                <w:b/>
                <w:color w:val="FFFFFF"/>
                <w:sz w:val="17"/>
              </w:rPr>
              <w:t>Investigation response</w:t>
            </w:r>
          </w:p>
        </w:tc>
      </w:tr>
      <w:tr>
        <w:trPr>
          <w:cantSplit/>
        </w:trPr>
        <w:tc>
          <w:tcPr>
            <w:tcW w:type="dxa" w:w="3240"/>
            <w:tcMar>
              <w:top w:w="80" w:type="dxa"/>
              <w:start w:w="90" w:type="dxa"/>
              <w:bottom w:w="80" w:type="dxa"/>
              <w:end w:w="90" w:type="dxa"/>
            </w:tcMar>
            <w:vAlign w:val="top"/>
          </w:tcPr>
          <w:p>
            <w:r>
              <w:rPr>
                <w:sz w:val="17"/>
              </w:rPr>
              <w:t>Long interval between exposure and death</w:t>
            </w:r>
          </w:p>
        </w:tc>
        <w:tc>
          <w:tcPr>
            <w:tcW w:type="dxa" w:w="6120"/>
            <w:tcMar>
              <w:top w:w="80" w:type="dxa"/>
              <w:start w:w="90" w:type="dxa"/>
              <w:bottom w:w="80" w:type="dxa"/>
              <w:end w:w="90" w:type="dxa"/>
            </w:tcMar>
            <w:vAlign w:val="top"/>
          </w:tcPr>
          <w:p>
            <w:r>
              <w:rPr>
                <w:sz w:val="17"/>
              </w:rPr>
              <w:t>Reconstruct employment, premises, process and product history; preserve historic records and witness accounts</w:t>
            </w:r>
          </w:p>
        </w:tc>
      </w:tr>
      <w:tr>
        <w:trPr>
          <w:cantSplit/>
        </w:trPr>
        <w:tc>
          <w:tcPr>
            <w:tcW w:type="dxa" w:w="3240"/>
            <w:tcMar>
              <w:top w:w="80" w:type="dxa"/>
              <w:start w:w="90" w:type="dxa"/>
              <w:bottom w:w="80" w:type="dxa"/>
              <w:end w:w="90" w:type="dxa"/>
            </w:tcMar>
            <w:vAlign w:val="top"/>
            <w:shd w:fill="EEF3F8"/>
          </w:tcPr>
          <w:p>
            <w:r>
              <w:rPr>
                <w:sz w:val="17"/>
              </w:rPr>
              <w:t>Multiple employers or exposures</w:t>
            </w:r>
          </w:p>
        </w:tc>
        <w:tc>
          <w:tcPr>
            <w:tcW w:type="dxa" w:w="6120"/>
            <w:tcMar>
              <w:top w:w="80" w:type="dxa"/>
              <w:start w:w="90" w:type="dxa"/>
              <w:bottom w:w="80" w:type="dxa"/>
              <w:end w:w="90" w:type="dxa"/>
            </w:tcMar>
            <w:vAlign w:val="top"/>
            <w:shd w:fill="EEF3F8"/>
          </w:tcPr>
          <w:p>
            <w:r>
              <w:rPr>
                <w:sz w:val="17"/>
              </w:rPr>
              <w:t>Separate each organisation's duty and contribution; criminal disease causation cannot simply use special civil apportionment rules</w:t>
            </w:r>
          </w:p>
        </w:tc>
      </w:tr>
      <w:tr>
        <w:trPr>
          <w:cantSplit/>
        </w:trPr>
        <w:tc>
          <w:tcPr>
            <w:tcW w:type="dxa" w:w="3240"/>
            <w:tcMar>
              <w:top w:w="80" w:type="dxa"/>
              <w:start w:w="90" w:type="dxa"/>
              <w:bottom w:w="80" w:type="dxa"/>
              <w:end w:w="90" w:type="dxa"/>
            </w:tcMar>
            <w:vAlign w:val="top"/>
          </w:tcPr>
          <w:p>
            <w:r>
              <w:rPr>
                <w:sz w:val="17"/>
              </w:rPr>
              <w:t>Scientific uncertainty</w:t>
            </w:r>
          </w:p>
        </w:tc>
        <w:tc>
          <w:tcPr>
            <w:tcW w:type="dxa" w:w="6120"/>
            <w:tcMar>
              <w:top w:w="80" w:type="dxa"/>
              <w:start w:w="90" w:type="dxa"/>
              <w:bottom w:w="80" w:type="dxa"/>
              <w:end w:w="90" w:type="dxa"/>
            </w:tcMar>
            <w:vAlign w:val="top"/>
          </w:tcPr>
          <w:p>
            <w:r>
              <w:rPr>
                <w:sz w:val="17"/>
              </w:rPr>
              <w:t>Use appropriately qualified epidemiology, toxicology, pathology and industrial hygiene experts; state confidence and alternatives</w:t>
            </w:r>
          </w:p>
        </w:tc>
      </w:tr>
      <w:tr>
        <w:trPr>
          <w:cantSplit/>
        </w:trPr>
        <w:tc>
          <w:tcPr>
            <w:tcW w:type="dxa" w:w="3240"/>
            <w:tcMar>
              <w:top w:w="80" w:type="dxa"/>
              <w:start w:w="90" w:type="dxa"/>
              <w:bottom w:w="80" w:type="dxa"/>
              <w:end w:w="90" w:type="dxa"/>
            </w:tcMar>
            <w:vAlign w:val="top"/>
            <w:shd w:fill="EEF3F8"/>
          </w:tcPr>
          <w:p>
            <w:r>
              <w:rPr>
                <w:sz w:val="17"/>
              </w:rPr>
              <w:t>Changed or dissolved companies</w:t>
            </w:r>
          </w:p>
        </w:tc>
        <w:tc>
          <w:tcPr>
            <w:tcW w:type="dxa" w:w="6120"/>
            <w:tcMar>
              <w:top w:w="80" w:type="dxa"/>
              <w:start w:w="90" w:type="dxa"/>
              <w:bottom w:w="80" w:type="dxa"/>
              <w:end w:w="90" w:type="dxa"/>
            </w:tcMar>
            <w:vAlign w:val="top"/>
            <w:shd w:fill="EEF3F8"/>
          </w:tcPr>
          <w:p>
            <w:r>
              <w:rPr>
                <w:sz w:val="17"/>
              </w:rPr>
              <w:t>Trace corporate identity, transfers, insurance, parent control and successor records; do not assume liability transfers</w:t>
            </w:r>
          </w:p>
        </w:tc>
      </w:tr>
      <w:tr>
        <w:trPr>
          <w:cantSplit/>
        </w:trPr>
        <w:tc>
          <w:tcPr>
            <w:tcW w:type="dxa" w:w="3240"/>
            <w:tcMar>
              <w:top w:w="80" w:type="dxa"/>
              <w:start w:w="90" w:type="dxa"/>
              <w:bottom w:w="80" w:type="dxa"/>
              <w:end w:w="90" w:type="dxa"/>
            </w:tcMar>
            <w:vAlign w:val="top"/>
          </w:tcPr>
          <w:p>
            <w:r>
              <w:rPr>
                <w:sz w:val="17"/>
              </w:rPr>
              <w:t>Symptoms recorded under another cause</w:t>
            </w:r>
          </w:p>
        </w:tc>
        <w:tc>
          <w:tcPr>
            <w:tcW w:type="dxa" w:w="6120"/>
            <w:tcMar>
              <w:top w:w="80" w:type="dxa"/>
              <w:start w:w="90" w:type="dxa"/>
              <w:bottom w:w="80" w:type="dxa"/>
              <w:end w:w="90" w:type="dxa"/>
            </w:tcMar>
            <w:vAlign w:val="top"/>
          </w:tcPr>
          <w:p>
            <w:r>
              <w:rPr>
                <w:sz w:val="17"/>
              </w:rPr>
              <w:t>Obtain death certificate, post mortem, treating records and occupational history; seek lawful expert review</w:t>
            </w:r>
          </w:p>
        </w:tc>
      </w:tr>
    </w:tbl>
    <w:p>
      <w:pPr>
        <w:spacing w:after="0"/>
      </w:pPr>
    </w:p>
    <w:p>
      <w:r>
        <w:t>For omission cases, the prosecution may need to prove that but for the gross breach the person would have survived, or would not have died at that time or in those circumstances. The Court of Appeal decision in the Bosley Mill proceedings demonstrates how failure to prove the prosecution causal mechanism can end even a grave case before the jury decides guilt.</w:t>
      </w:r>
      <w:r>
        <w:rPr>
          <w:color w:val="2F5597"/>
          <w:vertAlign w:val="superscript"/>
        </w:rPr>
        <w:t>[3]</w:t>
      </w:r>
      <w:r>
        <w:rPr>
          <w:color w:val="2F5597"/>
          <w:vertAlign w:val="superscript"/>
        </w:rPr>
        <w:t>[21]</w:t>
      </w:r>
    </w:p>
    <w:p>
      <w:pPr>
        <w:pStyle w:val="Heading1"/>
        <w:pBdr>
          <w:bottom w:val="single" w:sz="8" w:space="4" w:color="2F5597"/>
        </w:pBdr>
      </w:pPr>
      <w:r>
        <w:t>Ten illustrative convictions</w:t>
      </w:r>
    </w:p>
    <w:p>
      <w:r>
        <w:t>These are examples of successful corporate manslaughter prosecutions, not a complete national list. Outcome summaries are concise and should be checked against the indictment and sentencing remarks before formal publication. The reason column identifies the feature that appears to have made the statutory route workable; it is not a substitute for the court's full reasoning.</w:t>
      </w:r>
      <w:r>
        <w:rPr>
          <w:color w:val="2F5597"/>
          <w:vertAlign w:val="superscript"/>
        </w:rPr>
        <w:t>[13]</w:t>
      </w:r>
      <w:r>
        <w:rPr>
          <w:color w:val="2F5597"/>
          <w:vertAlign w:val="superscript"/>
        </w:rPr>
        <w:t>[14]</w:t>
      </w:r>
      <w:r>
        <w:rPr>
          <w:color w:val="2F5597"/>
          <w:vertAlign w:val="superscript"/>
        </w:rPr>
        <w:t>[15]</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2232"/>
            <w:shd w:fill="17365D"/>
            <w:tcMar>
              <w:top w:w="80" w:type="dxa"/>
              <w:start w:w="90" w:type="dxa"/>
              <w:bottom w:w="80" w:type="dxa"/>
              <w:end w:w="90" w:type="dxa"/>
            </w:tcMar>
            <w:vAlign w:val="center"/>
          </w:tcPr>
          <w:p>
            <w:pPr>
              <w:jc w:val="left"/>
            </w:pPr>
            <w:r>
              <w:rPr>
                <w:b/>
                <w:color w:val="FFFFFF"/>
                <w:sz w:val="15"/>
              </w:rPr>
              <w:t>Organisation and outcome year</w:t>
            </w:r>
          </w:p>
        </w:tc>
        <w:tc>
          <w:tcPr>
            <w:tcW w:type="dxa" w:w="4392"/>
            <w:shd w:fill="17365D"/>
            <w:tcMar>
              <w:top w:w="80" w:type="dxa"/>
              <w:start w:w="90" w:type="dxa"/>
              <w:bottom w:w="80" w:type="dxa"/>
              <w:end w:w="90" w:type="dxa"/>
            </w:tcMar>
            <w:vAlign w:val="center"/>
          </w:tcPr>
          <w:p>
            <w:pPr>
              <w:jc w:val="left"/>
            </w:pPr>
            <w:r>
              <w:rPr>
                <w:b/>
                <w:color w:val="FFFFFF"/>
                <w:sz w:val="15"/>
              </w:rPr>
              <w:t>Death and result</w:t>
            </w:r>
          </w:p>
        </w:tc>
        <w:tc>
          <w:tcPr>
            <w:tcW w:type="dxa" w:w="3168"/>
            <w:shd w:fill="17365D"/>
            <w:tcMar>
              <w:top w:w="80" w:type="dxa"/>
              <w:start w:w="90" w:type="dxa"/>
              <w:bottom w:w="80" w:type="dxa"/>
              <w:end w:w="90" w:type="dxa"/>
            </w:tcMar>
            <w:vAlign w:val="center"/>
          </w:tcPr>
          <w:p>
            <w:pPr>
              <w:jc w:val="left"/>
            </w:pPr>
            <w:r>
              <w:rPr>
                <w:b/>
                <w:color w:val="FFFFFF"/>
                <w:sz w:val="15"/>
              </w:rPr>
              <w:t>Why the case could succeed</w:t>
            </w:r>
          </w:p>
        </w:tc>
      </w:tr>
      <w:tr>
        <w:trPr>
          <w:cantSplit/>
        </w:trPr>
        <w:tc>
          <w:tcPr>
            <w:tcW w:type="dxa" w:w="2232"/>
            <w:tcMar>
              <w:top w:w="80" w:type="dxa"/>
              <w:start w:w="90" w:type="dxa"/>
              <w:bottom w:w="80" w:type="dxa"/>
              <w:end w:w="90" w:type="dxa"/>
            </w:tcMar>
            <w:vAlign w:val="top"/>
          </w:tcPr>
          <w:p>
            <w:r>
              <w:rPr>
                <w:sz w:val="15"/>
              </w:rPr>
              <w:t>Monavon Construction Ltd</w:t>
              <w:br/>
              <w:t>2016</w:t>
            </w:r>
          </w:p>
        </w:tc>
        <w:tc>
          <w:tcPr>
            <w:tcW w:type="dxa" w:w="4392"/>
            <w:tcMar>
              <w:top w:w="80" w:type="dxa"/>
              <w:start w:w="90" w:type="dxa"/>
              <w:bottom w:w="80" w:type="dxa"/>
              <w:end w:w="90" w:type="dxa"/>
            </w:tcMar>
            <w:vAlign w:val="top"/>
          </w:tcPr>
          <w:p>
            <w:r>
              <w:rPr>
                <w:sz w:val="15"/>
              </w:rPr>
              <w:t>Two men died after roadside hoarding gave way and they fell into a light well. Guilty pleas to two corporate manslaughter counts. Corporate manslaughter fines totalled £500,000, with a further health and safety fine.</w:t>
            </w:r>
          </w:p>
        </w:tc>
        <w:tc>
          <w:tcPr>
            <w:tcW w:type="dxa" w:w="3168"/>
            <w:tcMar>
              <w:top w:w="80" w:type="dxa"/>
              <w:start w:w="90" w:type="dxa"/>
              <w:bottom w:w="80" w:type="dxa"/>
              <w:end w:w="90" w:type="dxa"/>
            </w:tcMar>
            <w:vAlign w:val="top"/>
          </w:tcPr>
          <w:p>
            <w:r>
              <w:rPr>
                <w:sz w:val="15"/>
              </w:rPr>
              <w:t>Direct premises and construction duty; visibly inadequate edge protection; management of one site; guilty pleas.</w:t>
            </w:r>
          </w:p>
        </w:tc>
      </w:tr>
      <w:tr>
        <w:trPr>
          <w:cantSplit/>
        </w:trPr>
        <w:tc>
          <w:tcPr>
            <w:tcW w:type="dxa" w:w="2232"/>
            <w:tcMar>
              <w:top w:w="80" w:type="dxa"/>
              <w:start w:w="90" w:type="dxa"/>
              <w:bottom w:w="80" w:type="dxa"/>
              <w:end w:w="90" w:type="dxa"/>
            </w:tcMar>
            <w:vAlign w:val="top"/>
            <w:shd w:fill="EEF3F8"/>
          </w:tcPr>
          <w:p>
            <w:r>
              <w:rPr>
                <w:sz w:val="15"/>
              </w:rPr>
              <w:t>Bilston Skips Ltd</w:t>
              <w:br/>
              <w:t>2016</w:t>
            </w:r>
          </w:p>
        </w:tc>
        <w:tc>
          <w:tcPr>
            <w:tcW w:type="dxa" w:w="4392"/>
            <w:tcMar>
              <w:top w:w="80" w:type="dxa"/>
              <w:start w:w="90" w:type="dxa"/>
              <w:bottom w:w="80" w:type="dxa"/>
              <w:end w:w="90" w:type="dxa"/>
            </w:tcMar>
            <w:vAlign w:val="top"/>
            <w:shd w:fill="EEF3F8"/>
          </w:tcPr>
          <w:p>
            <w:r>
              <w:rPr>
                <w:sz w:val="15"/>
              </w:rPr>
              <w:t>Jagpal Singh died after falling into a skip. Convicted and fined £600,000; the company was in liquidation.</w:t>
            </w:r>
          </w:p>
        </w:tc>
        <w:tc>
          <w:tcPr>
            <w:tcW w:type="dxa" w:w="3168"/>
            <w:tcMar>
              <w:top w:w="80" w:type="dxa"/>
              <w:start w:w="90" w:type="dxa"/>
              <w:bottom w:w="80" w:type="dxa"/>
              <w:end w:w="90" w:type="dxa"/>
            </w:tcMar>
            <w:vAlign w:val="top"/>
            <w:shd w:fill="EEF3F8"/>
          </w:tcPr>
          <w:p>
            <w:r>
              <w:rPr>
                <w:sz w:val="15"/>
              </w:rPr>
              <w:t>Unsafe work system around skips and mobile plant; small management structure; direct workplace mechanism.</w:t>
            </w:r>
          </w:p>
        </w:tc>
      </w:tr>
      <w:tr>
        <w:trPr>
          <w:cantSplit/>
        </w:trPr>
        <w:tc>
          <w:tcPr>
            <w:tcW w:type="dxa" w:w="2232"/>
            <w:tcMar>
              <w:top w:w="80" w:type="dxa"/>
              <w:start w:w="90" w:type="dxa"/>
              <w:bottom w:w="80" w:type="dxa"/>
              <w:end w:w="90" w:type="dxa"/>
            </w:tcMar>
            <w:vAlign w:val="top"/>
          </w:tcPr>
          <w:p>
            <w:r>
              <w:rPr>
                <w:sz w:val="15"/>
              </w:rPr>
              <w:t>SR and JR Brown Ltd</w:t>
              <w:br/>
              <w:t>2017</w:t>
            </w:r>
          </w:p>
        </w:tc>
        <w:tc>
          <w:tcPr>
            <w:tcW w:type="dxa" w:w="4392"/>
            <w:tcMar>
              <w:top w:w="80" w:type="dxa"/>
              <w:start w:w="90" w:type="dxa"/>
              <w:bottom w:w="80" w:type="dxa"/>
              <w:end w:w="90" w:type="dxa"/>
            </w:tcMar>
            <w:vAlign w:val="top"/>
          </w:tcPr>
          <w:p>
            <w:r>
              <w:rPr>
                <w:sz w:val="15"/>
              </w:rPr>
              <w:t>Benjamin Edge died after falling from a roof during dismantling work. Convicted and fined £300,000 plus costs.</w:t>
            </w:r>
          </w:p>
        </w:tc>
        <w:tc>
          <w:tcPr>
            <w:tcW w:type="dxa" w:w="3168"/>
            <w:tcMar>
              <w:top w:w="80" w:type="dxa"/>
              <w:start w:w="90" w:type="dxa"/>
              <w:bottom w:w="80" w:type="dxa"/>
              <w:end w:w="90" w:type="dxa"/>
            </w:tcMar>
            <w:vAlign w:val="top"/>
          </w:tcPr>
          <w:p>
            <w:r>
              <w:rPr>
                <w:sz w:val="15"/>
              </w:rPr>
              <w:t>Work at height risk, inadequate planning and a close link between management arrangements and death.</w:t>
            </w:r>
          </w:p>
        </w:tc>
      </w:tr>
      <w:tr>
        <w:trPr>
          <w:cantSplit/>
        </w:trPr>
        <w:tc>
          <w:tcPr>
            <w:tcW w:type="dxa" w:w="2232"/>
            <w:tcMar>
              <w:top w:w="80" w:type="dxa"/>
              <w:start w:w="90" w:type="dxa"/>
              <w:bottom w:w="80" w:type="dxa"/>
              <w:end w:w="90" w:type="dxa"/>
            </w:tcMar>
            <w:vAlign w:val="top"/>
            <w:shd w:fill="EEF3F8"/>
          </w:tcPr>
          <w:p>
            <w:r>
              <w:rPr>
                <w:sz w:val="15"/>
              </w:rPr>
              <w:t>Martinisation London Ltd</w:t>
              <w:br/>
              <w:t>2017</w:t>
            </w:r>
          </w:p>
        </w:tc>
        <w:tc>
          <w:tcPr>
            <w:tcW w:type="dxa" w:w="4392"/>
            <w:tcMar>
              <w:top w:w="80" w:type="dxa"/>
              <w:start w:w="90" w:type="dxa"/>
              <w:bottom w:w="80" w:type="dxa"/>
              <w:end w:w="90" w:type="dxa"/>
            </w:tcMar>
            <w:vAlign w:val="top"/>
            <w:shd w:fill="EEF3F8"/>
          </w:tcPr>
          <w:p>
            <w:r>
              <w:rPr>
                <w:sz w:val="15"/>
              </w:rPr>
              <w:t>Tomasz Procko and Kyrol Szymanski died when a balcony railing failed during a sofa lift. Convicted and fined £1.2 million plus costs.</w:t>
            </w:r>
          </w:p>
        </w:tc>
        <w:tc>
          <w:tcPr>
            <w:tcW w:type="dxa" w:w="3168"/>
            <w:tcMar>
              <w:top w:w="80" w:type="dxa"/>
              <w:start w:w="90" w:type="dxa"/>
              <w:bottom w:w="80" w:type="dxa"/>
              <w:end w:w="90" w:type="dxa"/>
            </w:tcMar>
            <w:vAlign w:val="top"/>
            <w:shd w:fill="EEF3F8"/>
          </w:tcPr>
          <w:p>
            <w:r>
              <w:rPr>
                <w:sz w:val="15"/>
              </w:rPr>
              <w:t>Untrained work, unsafe lifting method and a direct two death causal mechanism.</w:t>
            </w:r>
          </w:p>
        </w:tc>
      </w:tr>
      <w:tr>
        <w:trPr>
          <w:cantSplit/>
        </w:trPr>
        <w:tc>
          <w:tcPr>
            <w:tcW w:type="dxa" w:w="2232"/>
            <w:tcMar>
              <w:top w:w="80" w:type="dxa"/>
              <w:start w:w="90" w:type="dxa"/>
              <w:bottom w:w="80" w:type="dxa"/>
              <w:end w:w="90" w:type="dxa"/>
            </w:tcMar>
            <w:vAlign w:val="top"/>
          </w:tcPr>
          <w:p>
            <w:r>
              <w:rPr>
                <w:sz w:val="15"/>
              </w:rPr>
              <w:t>Aster Healthcare Ltd</w:t>
              <w:br/>
              <w:t>2021</w:t>
            </w:r>
          </w:p>
        </w:tc>
        <w:tc>
          <w:tcPr>
            <w:tcW w:type="dxa" w:w="4392"/>
            <w:tcMar>
              <w:top w:w="80" w:type="dxa"/>
              <w:start w:w="90" w:type="dxa"/>
              <w:bottom w:w="80" w:type="dxa"/>
              <w:end w:w="90" w:type="dxa"/>
            </w:tcMar>
            <w:vAlign w:val="top"/>
          </w:tcPr>
          <w:p>
            <w:r>
              <w:rPr>
                <w:sz w:val="15"/>
              </w:rPr>
              <w:t>A care home resident died from burns after being placed in a dangerously hot bath. Guilty plea and fine of about £1.04 million.</w:t>
            </w:r>
          </w:p>
        </w:tc>
        <w:tc>
          <w:tcPr>
            <w:tcW w:type="dxa" w:w="3168"/>
            <w:tcMar>
              <w:top w:w="80" w:type="dxa"/>
              <w:start w:w="90" w:type="dxa"/>
              <w:bottom w:w="80" w:type="dxa"/>
              <w:end w:w="90" w:type="dxa"/>
            </w:tcMar>
            <w:vAlign w:val="top"/>
          </w:tcPr>
          <w:p>
            <w:r>
              <w:rPr>
                <w:sz w:val="15"/>
              </w:rPr>
              <w:t>Direct service and care duty to a vulnerable resident; temperature control and management safeguards.</w:t>
            </w:r>
          </w:p>
        </w:tc>
      </w:tr>
      <w:tr>
        <w:trPr>
          <w:cantSplit/>
        </w:trPr>
        <w:tc>
          <w:tcPr>
            <w:tcW w:type="dxa" w:w="2232"/>
            <w:tcMar>
              <w:top w:w="80" w:type="dxa"/>
              <w:start w:w="90" w:type="dxa"/>
              <w:bottom w:w="80" w:type="dxa"/>
              <w:end w:w="90" w:type="dxa"/>
            </w:tcMar>
            <w:vAlign w:val="top"/>
            <w:shd w:fill="EEF3F8"/>
          </w:tcPr>
          <w:p>
            <w:r>
              <w:rPr>
                <w:sz w:val="15"/>
              </w:rPr>
              <w:t>Greenfeeds Ltd</w:t>
              <w:br/>
              <w:t>2022</w:t>
            </w:r>
          </w:p>
        </w:tc>
        <w:tc>
          <w:tcPr>
            <w:tcW w:type="dxa" w:w="4392"/>
            <w:tcMar>
              <w:top w:w="80" w:type="dxa"/>
              <w:start w:w="90" w:type="dxa"/>
              <w:bottom w:w="80" w:type="dxa"/>
              <w:end w:w="90" w:type="dxa"/>
            </w:tcMar>
            <w:vAlign w:val="top"/>
            <w:shd w:fill="EEF3F8"/>
          </w:tcPr>
          <w:p>
            <w:r>
              <w:rPr>
                <w:sz w:val="15"/>
              </w:rPr>
              <w:t>Nathan Walker and Gavin Rawson drowned in a tanker containing semi liquid pig feed. Convicted on two counts and fined £2 million; senior individuals received separate sentences.</w:t>
            </w:r>
          </w:p>
        </w:tc>
        <w:tc>
          <w:tcPr>
            <w:tcW w:type="dxa" w:w="3168"/>
            <w:tcMar>
              <w:top w:w="80" w:type="dxa"/>
              <w:start w:w="90" w:type="dxa"/>
              <w:bottom w:w="80" w:type="dxa"/>
              <w:end w:w="90" w:type="dxa"/>
            </w:tcMar>
            <w:vAlign w:val="top"/>
            <w:shd w:fill="EEF3F8"/>
          </w:tcPr>
          <w:p>
            <w:r>
              <w:rPr>
                <w:sz w:val="15"/>
              </w:rPr>
              <w:t>Confined space hazard, absence of safe rescue arrangements and evidence of gross senior management failure.</w:t>
            </w:r>
          </w:p>
        </w:tc>
      </w:tr>
      <w:tr>
        <w:trPr>
          <w:cantSplit/>
        </w:trPr>
        <w:tc>
          <w:tcPr>
            <w:tcW w:type="dxa" w:w="2232"/>
            <w:tcMar>
              <w:top w:w="80" w:type="dxa"/>
              <w:start w:w="90" w:type="dxa"/>
              <w:bottom w:w="80" w:type="dxa"/>
              <w:end w:w="90" w:type="dxa"/>
            </w:tcMar>
            <w:vAlign w:val="top"/>
          </w:tcPr>
          <w:p>
            <w:r>
              <w:rPr>
                <w:sz w:val="15"/>
              </w:rPr>
              <w:t>Deco Pak Ltd</w:t>
              <w:br/>
              <w:t>2023</w:t>
            </w:r>
          </w:p>
        </w:tc>
        <w:tc>
          <w:tcPr>
            <w:tcW w:type="dxa" w:w="4392"/>
            <w:tcMar>
              <w:top w:w="80" w:type="dxa"/>
              <w:start w:w="90" w:type="dxa"/>
              <w:bottom w:w="80" w:type="dxa"/>
              <w:end w:w="90" w:type="dxa"/>
            </w:tcMar>
            <w:vAlign w:val="top"/>
          </w:tcPr>
          <w:p>
            <w:r>
              <w:rPr>
                <w:sz w:val="15"/>
              </w:rPr>
              <w:t>Andrew Tibbott was fatally injured by a robotic packing arm. Convicted and fined £700,000 plus costs.</w:t>
            </w:r>
          </w:p>
        </w:tc>
        <w:tc>
          <w:tcPr>
            <w:tcW w:type="dxa" w:w="3168"/>
            <w:tcMar>
              <w:top w:w="80" w:type="dxa"/>
              <w:start w:w="90" w:type="dxa"/>
              <w:bottom w:w="80" w:type="dxa"/>
              <w:end w:w="90" w:type="dxa"/>
            </w:tcMar>
            <w:vAlign w:val="top"/>
          </w:tcPr>
          <w:p>
            <w:r>
              <w:rPr>
                <w:sz w:val="15"/>
              </w:rPr>
              <w:t>Machinery isolation and guarding evidence connected an operational system failure to a specific death.</w:t>
            </w:r>
          </w:p>
        </w:tc>
      </w:tr>
      <w:tr>
        <w:trPr>
          <w:cantSplit/>
        </w:trPr>
        <w:tc>
          <w:tcPr>
            <w:tcW w:type="dxa" w:w="2232"/>
            <w:tcMar>
              <w:top w:w="80" w:type="dxa"/>
              <w:start w:w="90" w:type="dxa"/>
              <w:bottom w:w="80" w:type="dxa"/>
              <w:end w:w="90" w:type="dxa"/>
            </w:tcMar>
            <w:vAlign w:val="top"/>
            <w:shd w:fill="EEF3F8"/>
          </w:tcPr>
          <w:p>
            <w:r>
              <w:rPr>
                <w:sz w:val="15"/>
              </w:rPr>
              <w:t>DH Willis and Sons Ltd</w:t>
              <w:br/>
              <w:t>2023</w:t>
            </w:r>
          </w:p>
        </w:tc>
        <w:tc>
          <w:tcPr>
            <w:tcW w:type="dxa" w:w="4392"/>
            <w:tcMar>
              <w:top w:w="80" w:type="dxa"/>
              <w:start w:w="90" w:type="dxa"/>
              <w:bottom w:w="80" w:type="dxa"/>
              <w:end w:w="90" w:type="dxa"/>
            </w:tcMar>
            <w:vAlign w:val="top"/>
            <w:shd w:fill="EEF3F8"/>
          </w:tcPr>
          <w:p>
            <w:r>
              <w:rPr>
                <w:sz w:val="15"/>
              </w:rPr>
              <w:t>A worker died after a fall from a mobile elevating work platform during roof work. Convicted and fined £335,000 plus costs.</w:t>
            </w:r>
          </w:p>
        </w:tc>
        <w:tc>
          <w:tcPr>
            <w:tcW w:type="dxa" w:w="3168"/>
            <w:tcMar>
              <w:top w:w="80" w:type="dxa"/>
              <w:start w:w="90" w:type="dxa"/>
              <w:bottom w:w="80" w:type="dxa"/>
              <w:end w:w="90" w:type="dxa"/>
            </w:tcMar>
            <w:vAlign w:val="top"/>
            <w:shd w:fill="EEF3F8"/>
          </w:tcPr>
          <w:p>
            <w:r>
              <w:rPr>
                <w:sz w:val="15"/>
              </w:rPr>
              <w:t>Work at height and evidence of prior HSE warnings supported knowledge and organisational seriousness.</w:t>
            </w:r>
          </w:p>
        </w:tc>
      </w:tr>
      <w:tr>
        <w:trPr>
          <w:cantSplit/>
        </w:trPr>
        <w:tc>
          <w:tcPr>
            <w:tcW w:type="dxa" w:w="2232"/>
            <w:tcMar>
              <w:top w:w="80" w:type="dxa"/>
              <w:start w:w="90" w:type="dxa"/>
              <w:bottom w:w="80" w:type="dxa"/>
              <w:end w:w="90" w:type="dxa"/>
            </w:tcMar>
            <w:vAlign w:val="top"/>
          </w:tcPr>
          <w:p>
            <w:r>
              <w:rPr>
                <w:sz w:val="15"/>
              </w:rPr>
              <w:t>Ward Recycling Ltd</w:t>
              <w:br/>
              <w:t>2024</w:t>
            </w:r>
          </w:p>
        </w:tc>
        <w:tc>
          <w:tcPr>
            <w:tcW w:type="dxa" w:w="4392"/>
            <w:tcMar>
              <w:top w:w="80" w:type="dxa"/>
              <w:start w:w="90" w:type="dxa"/>
              <w:bottom w:w="80" w:type="dxa"/>
              <w:end w:w="90" w:type="dxa"/>
            </w:tcMar>
            <w:vAlign w:val="top"/>
          </w:tcPr>
          <w:p>
            <w:r>
              <w:rPr>
                <w:sz w:val="15"/>
              </w:rPr>
              <w:t>Dean Atkinson was run over by an 18 tonne loading shovel at a recycling site. Convicted and fined £1.75 million for corporate manslaughter plus £400,000 for health and safety offences.</w:t>
            </w:r>
          </w:p>
        </w:tc>
        <w:tc>
          <w:tcPr>
            <w:tcW w:type="dxa" w:w="3168"/>
            <w:tcMar>
              <w:top w:w="80" w:type="dxa"/>
              <w:start w:w="90" w:type="dxa"/>
              <w:bottom w:w="80" w:type="dxa"/>
              <w:end w:w="90" w:type="dxa"/>
            </w:tcMar>
            <w:vAlign w:val="top"/>
          </w:tcPr>
          <w:p>
            <w:r>
              <w:rPr>
                <w:sz w:val="15"/>
              </w:rPr>
              <w:t>No suitable separation of pedestrians and mobile plant; direct site design and traffic management failure.</w:t>
            </w:r>
          </w:p>
        </w:tc>
      </w:tr>
      <w:tr>
        <w:trPr>
          <w:cantSplit/>
        </w:trPr>
        <w:tc>
          <w:tcPr>
            <w:tcW w:type="dxa" w:w="2232"/>
            <w:tcMar>
              <w:top w:w="80" w:type="dxa"/>
              <w:start w:w="90" w:type="dxa"/>
              <w:bottom w:w="80" w:type="dxa"/>
              <w:end w:w="90" w:type="dxa"/>
            </w:tcMar>
            <w:vAlign w:val="top"/>
            <w:shd w:fill="EEF3F8"/>
          </w:tcPr>
          <w:p>
            <w:r>
              <w:rPr>
                <w:sz w:val="15"/>
              </w:rPr>
              <w:t>UK Athletics Ltd</w:t>
              <w:br/>
              <w:t>2026</w:t>
            </w:r>
          </w:p>
        </w:tc>
        <w:tc>
          <w:tcPr>
            <w:tcW w:type="dxa" w:w="4392"/>
            <w:tcMar>
              <w:top w:w="80" w:type="dxa"/>
              <w:start w:w="90" w:type="dxa"/>
              <w:bottom w:w="80" w:type="dxa"/>
              <w:end w:w="90" w:type="dxa"/>
            </w:tcMar>
            <w:vAlign w:val="top"/>
            <w:shd w:fill="EEF3F8"/>
          </w:tcPr>
          <w:p>
            <w:r>
              <w:rPr>
                <w:sz w:val="15"/>
              </w:rPr>
              <w:t>Paralympian Abdullah Hayayei died when a throwing cage collapsed. Guilty plea; fine £350,000 plus costs. A manager received a separate health and safety sentence.</w:t>
            </w:r>
          </w:p>
        </w:tc>
        <w:tc>
          <w:tcPr>
            <w:tcW w:type="dxa" w:w="3168"/>
            <w:tcMar>
              <w:top w:w="80" w:type="dxa"/>
              <w:start w:w="90" w:type="dxa"/>
              <w:bottom w:w="80" w:type="dxa"/>
              <w:end w:w="90" w:type="dxa"/>
            </w:tcMar>
            <w:vAlign w:val="top"/>
            <w:shd w:fill="EEF3F8"/>
          </w:tcPr>
          <w:p>
            <w:r>
              <w:rPr>
                <w:sz w:val="15"/>
              </w:rPr>
              <w:t>Known equipment instability, earlier similar collapse and prolonged missing stabilising components connected governance to death.</w:t>
            </w:r>
          </w:p>
        </w:tc>
      </w:tr>
    </w:tbl>
    <w:p>
      <w:pPr>
        <w:spacing w:after="0"/>
      </w:pPr>
    </w:p>
    <w:p>
      <w:r>
        <w:t>A 2026 academic review reported 36 convictions by mid 2025 and 13 acquittal or unsuccessful outcomes; the later UK Athletics conviction was reported as the next conviction. The review also found convictions heavily concentrated among micro and small organisations. This is an important enforcement pattern, not proof that larger organisations are safer or immune.</w:t>
      </w:r>
      <w:r>
        <w:rPr>
          <w:color w:val="2F5597"/>
          <w:vertAlign w:val="superscript"/>
        </w:rPr>
        <w:t>[13]</w:t>
      </w:r>
      <w:r>
        <w:rPr>
          <w:color w:val="2F5597"/>
          <w:vertAlign w:val="superscript"/>
        </w:rPr>
        <w:t>[18]</w:t>
      </w:r>
    </w:p>
    <w:p>
      <w:pPr>
        <w:pStyle w:val="Heading1"/>
        <w:pBdr>
          <w:bottom w:val="single" w:sz="8" w:space="4" w:color="2F5597"/>
        </w:pBdr>
      </w:pPr>
      <w:r>
        <w:t>Ten unsuccessful and alternative outcomes</w:t>
      </w:r>
    </w:p>
    <w:p>
      <w:r>
        <w:t>Failed does not mean that nothing went wrong. In this table it means that the organisation was acquitted of corporate manslaughter, the charge was stopped or not pursued, or prosecutors selected another offence. Some organisations were convicted of health and safety offences. The reasons illustrate the high threshold and the importance of causation and senior management proof.</w:t>
      </w:r>
      <w:r>
        <w:rPr>
          <w:color w:val="2F5597"/>
          <w:vertAlign w:val="superscript"/>
        </w:rPr>
        <w:t>[13]</w:t>
      </w:r>
      <w:r>
        <w:rPr>
          <w:color w:val="2F5597"/>
          <w:vertAlign w:val="superscript"/>
        </w:rPr>
        <w:t>[14]</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2232"/>
            <w:shd w:fill="17365D"/>
            <w:tcMar>
              <w:top w:w="80" w:type="dxa"/>
              <w:start w:w="90" w:type="dxa"/>
              <w:bottom w:w="80" w:type="dxa"/>
              <w:end w:w="90" w:type="dxa"/>
            </w:tcMar>
            <w:vAlign w:val="center"/>
          </w:tcPr>
          <w:p>
            <w:pPr>
              <w:jc w:val="left"/>
            </w:pPr>
            <w:r>
              <w:rPr>
                <w:b/>
                <w:color w:val="FFFFFF"/>
                <w:sz w:val="15"/>
              </w:rPr>
              <w:t>Organisation and outcome year</w:t>
            </w:r>
          </w:p>
        </w:tc>
        <w:tc>
          <w:tcPr>
            <w:tcW w:type="dxa" w:w="4464"/>
            <w:shd w:fill="17365D"/>
            <w:tcMar>
              <w:top w:w="80" w:type="dxa"/>
              <w:start w:w="90" w:type="dxa"/>
              <w:bottom w:w="80" w:type="dxa"/>
              <w:end w:w="90" w:type="dxa"/>
            </w:tcMar>
            <w:vAlign w:val="center"/>
          </w:tcPr>
          <w:p>
            <w:pPr>
              <w:jc w:val="left"/>
            </w:pPr>
            <w:r>
              <w:rPr>
                <w:b/>
                <w:color w:val="FFFFFF"/>
                <w:sz w:val="15"/>
              </w:rPr>
              <w:t>Outcome</w:t>
            </w:r>
          </w:p>
        </w:tc>
        <w:tc>
          <w:tcPr>
            <w:tcW w:type="dxa" w:w="3096"/>
            <w:shd w:fill="17365D"/>
            <w:tcMar>
              <w:top w:w="80" w:type="dxa"/>
              <w:start w:w="90" w:type="dxa"/>
              <w:bottom w:w="80" w:type="dxa"/>
              <w:end w:w="90" w:type="dxa"/>
            </w:tcMar>
            <w:vAlign w:val="center"/>
          </w:tcPr>
          <w:p>
            <w:pPr>
              <w:jc w:val="left"/>
            </w:pPr>
            <w:r>
              <w:rPr>
                <w:b/>
                <w:color w:val="FFFFFF"/>
                <w:sz w:val="15"/>
              </w:rPr>
              <w:t>Why corporate manslaughter did not produce a conviction</w:t>
            </w:r>
          </w:p>
        </w:tc>
      </w:tr>
      <w:tr>
        <w:trPr>
          <w:cantSplit/>
        </w:trPr>
        <w:tc>
          <w:tcPr>
            <w:tcW w:type="dxa" w:w="2232"/>
            <w:tcMar>
              <w:top w:w="80" w:type="dxa"/>
              <w:start w:w="90" w:type="dxa"/>
              <w:bottom w:w="80" w:type="dxa"/>
              <w:end w:w="90" w:type="dxa"/>
            </w:tcMar>
            <w:vAlign w:val="top"/>
          </w:tcPr>
          <w:p>
            <w:r>
              <w:rPr>
                <w:sz w:val="15"/>
              </w:rPr>
              <w:t>PS and JE Ward Ltd</w:t>
              <w:br/>
              <w:t>2014</w:t>
            </w:r>
          </w:p>
        </w:tc>
        <w:tc>
          <w:tcPr>
            <w:tcW w:type="dxa" w:w="4464"/>
            <w:tcMar>
              <w:top w:w="80" w:type="dxa"/>
              <w:start w:w="90" w:type="dxa"/>
              <w:bottom w:w="80" w:type="dxa"/>
              <w:end w:w="90" w:type="dxa"/>
            </w:tcMar>
            <w:vAlign w:val="top"/>
          </w:tcPr>
          <w:p>
            <w:r>
              <w:rPr>
                <w:sz w:val="15"/>
              </w:rPr>
              <w:t>Acquitted of corporate manslaughter after an employee was electrocuted by an overhead power line; convicted under health and safety law.</w:t>
            </w:r>
          </w:p>
        </w:tc>
        <w:tc>
          <w:tcPr>
            <w:tcW w:type="dxa" w:w="3096"/>
            <w:tcMar>
              <w:top w:w="80" w:type="dxa"/>
              <w:start w:w="90" w:type="dxa"/>
              <w:bottom w:w="80" w:type="dxa"/>
              <w:end w:w="90" w:type="dxa"/>
            </w:tcMar>
            <w:vAlign w:val="top"/>
          </w:tcPr>
          <w:p>
            <w:r>
              <w:rPr>
                <w:sz w:val="15"/>
              </w:rPr>
              <w:t>Jury did not find the full corporate offence proved; the regulatory duty remained enforceable.</w:t>
            </w:r>
          </w:p>
        </w:tc>
      </w:tr>
      <w:tr>
        <w:trPr>
          <w:cantSplit/>
        </w:trPr>
        <w:tc>
          <w:tcPr>
            <w:tcW w:type="dxa" w:w="2232"/>
            <w:tcMar>
              <w:top w:w="80" w:type="dxa"/>
              <w:start w:w="90" w:type="dxa"/>
              <w:bottom w:w="80" w:type="dxa"/>
              <w:end w:w="90" w:type="dxa"/>
            </w:tcMar>
            <w:vAlign w:val="top"/>
            <w:shd w:fill="EEF3F8"/>
          </w:tcPr>
          <w:p>
            <w:r>
              <w:rPr>
                <w:sz w:val="15"/>
              </w:rPr>
              <w:t>MNS Mining Ltd</w:t>
              <w:br/>
              <w:t>2014</w:t>
            </w:r>
          </w:p>
        </w:tc>
        <w:tc>
          <w:tcPr>
            <w:tcW w:type="dxa" w:w="4464"/>
            <w:tcMar>
              <w:top w:w="80" w:type="dxa"/>
              <w:start w:w="90" w:type="dxa"/>
              <w:bottom w:w="80" w:type="dxa"/>
              <w:end w:w="90" w:type="dxa"/>
            </w:tcMar>
            <w:vAlign w:val="top"/>
            <w:shd w:fill="EEF3F8"/>
          </w:tcPr>
          <w:p>
            <w:r>
              <w:rPr>
                <w:sz w:val="15"/>
              </w:rPr>
              <w:t>Acquitted of four corporate manslaughter counts after the Gleision colliery flood killed four miners.</w:t>
            </w:r>
          </w:p>
        </w:tc>
        <w:tc>
          <w:tcPr>
            <w:tcW w:type="dxa" w:w="3096"/>
            <w:tcMar>
              <w:top w:w="80" w:type="dxa"/>
              <w:start w:w="90" w:type="dxa"/>
              <w:bottom w:w="80" w:type="dxa"/>
              <w:end w:w="90" w:type="dxa"/>
            </w:tcMar>
            <w:vAlign w:val="top"/>
            <w:shd w:fill="EEF3F8"/>
          </w:tcPr>
          <w:p>
            <w:r>
              <w:rPr>
                <w:sz w:val="15"/>
              </w:rPr>
              <w:t>The jury was not satisfied beyond reasonable doubt on the corporate case, despite the deaths and alleged safety failings.</w:t>
            </w:r>
          </w:p>
        </w:tc>
      </w:tr>
      <w:tr>
        <w:trPr>
          <w:cantSplit/>
        </w:trPr>
        <w:tc>
          <w:tcPr>
            <w:tcW w:type="dxa" w:w="2232"/>
            <w:tcMar>
              <w:top w:w="80" w:type="dxa"/>
              <w:start w:w="90" w:type="dxa"/>
              <w:bottom w:w="80" w:type="dxa"/>
              <w:end w:w="90" w:type="dxa"/>
            </w:tcMar>
            <w:vAlign w:val="top"/>
          </w:tcPr>
          <w:p>
            <w:r>
              <w:rPr>
                <w:sz w:val="15"/>
              </w:rPr>
              <w:t>Maidstone and Tunbridge Wells NHS Trust</w:t>
              <w:br/>
              <w:t>2016</w:t>
            </w:r>
          </w:p>
        </w:tc>
        <w:tc>
          <w:tcPr>
            <w:tcW w:type="dxa" w:w="4464"/>
            <w:tcMar>
              <w:top w:w="80" w:type="dxa"/>
              <w:start w:w="90" w:type="dxa"/>
              <w:bottom w:w="80" w:type="dxa"/>
              <w:end w:w="90" w:type="dxa"/>
            </w:tcMar>
            <w:vAlign w:val="top"/>
          </w:tcPr>
          <w:p>
            <w:r>
              <w:rPr>
                <w:sz w:val="15"/>
              </w:rPr>
              <w:t>Judge ruled no case to answer in the prosecution concerning Frances Cappuccinis death following childbirth.</w:t>
            </w:r>
          </w:p>
        </w:tc>
        <w:tc>
          <w:tcPr>
            <w:tcW w:type="dxa" w:w="3096"/>
            <w:tcMar>
              <w:top w:w="80" w:type="dxa"/>
              <w:start w:w="90" w:type="dxa"/>
              <w:bottom w:w="80" w:type="dxa"/>
              <w:end w:w="90" w:type="dxa"/>
            </w:tcMar>
            <w:vAlign w:val="top"/>
          </w:tcPr>
          <w:p>
            <w:r>
              <w:rPr>
                <w:sz w:val="15"/>
              </w:rPr>
              <w:t>Evidence did not establish that senior management failings were a substantial element and causation was clinically complex.</w:t>
            </w:r>
          </w:p>
        </w:tc>
      </w:tr>
      <w:tr>
        <w:trPr>
          <w:cantSplit/>
        </w:trPr>
        <w:tc>
          <w:tcPr>
            <w:tcW w:type="dxa" w:w="2232"/>
            <w:tcMar>
              <w:top w:w="80" w:type="dxa"/>
              <w:start w:w="90" w:type="dxa"/>
              <w:bottom w:w="80" w:type="dxa"/>
              <w:end w:w="90" w:type="dxa"/>
            </w:tcMar>
            <w:vAlign w:val="top"/>
            <w:shd w:fill="EEF3F8"/>
          </w:tcPr>
          <w:p>
            <w:r>
              <w:rPr>
                <w:sz w:val="15"/>
              </w:rPr>
              <w:t>JTF Wholesale Ltd</w:t>
              <w:br/>
              <w:t>2017</w:t>
            </w:r>
          </w:p>
        </w:tc>
        <w:tc>
          <w:tcPr>
            <w:tcW w:type="dxa" w:w="4464"/>
            <w:tcMar>
              <w:top w:w="80" w:type="dxa"/>
              <w:start w:w="90" w:type="dxa"/>
              <w:bottom w:w="80" w:type="dxa"/>
              <w:end w:w="90" w:type="dxa"/>
            </w:tcMar>
            <w:vAlign w:val="top"/>
            <w:shd w:fill="EEF3F8"/>
          </w:tcPr>
          <w:p>
            <w:r>
              <w:rPr>
                <w:sz w:val="15"/>
              </w:rPr>
              <w:t>Corporate manslaughter charges were authorised after a Legionnaires disease outbreak; a guilty plea to health and safety offences was accepted and a £1 million fine imposed.</w:t>
            </w:r>
          </w:p>
        </w:tc>
        <w:tc>
          <w:tcPr>
            <w:tcW w:type="dxa" w:w="3096"/>
            <w:tcMar>
              <w:top w:w="80" w:type="dxa"/>
              <w:start w:w="90" w:type="dxa"/>
              <w:bottom w:w="80" w:type="dxa"/>
              <w:end w:w="90" w:type="dxa"/>
            </w:tcMar>
            <w:vAlign w:val="top"/>
            <w:shd w:fill="EEF3F8"/>
          </w:tcPr>
          <w:p>
            <w:r>
              <w:rPr>
                <w:sz w:val="15"/>
              </w:rPr>
              <w:t>Prosecution proceeded through a significant regulatory offence rather than requiring proof of every homicide element.</w:t>
            </w:r>
          </w:p>
        </w:tc>
      </w:tr>
      <w:tr>
        <w:trPr>
          <w:cantSplit/>
        </w:trPr>
        <w:tc>
          <w:tcPr>
            <w:tcW w:type="dxa" w:w="2232"/>
            <w:tcMar>
              <w:top w:w="80" w:type="dxa"/>
              <w:start w:w="90" w:type="dxa"/>
              <w:bottom w:w="80" w:type="dxa"/>
              <w:end w:w="90" w:type="dxa"/>
            </w:tcMar>
            <w:vAlign w:val="top"/>
          </w:tcPr>
          <w:p>
            <w:r>
              <w:rPr>
                <w:sz w:val="15"/>
              </w:rPr>
              <w:t>Terex GB Ltd</w:t>
              <w:br/>
              <w:t>2019</w:t>
            </w:r>
          </w:p>
        </w:tc>
        <w:tc>
          <w:tcPr>
            <w:tcW w:type="dxa" w:w="4464"/>
            <w:tcMar>
              <w:top w:w="80" w:type="dxa"/>
              <w:start w:w="90" w:type="dxa"/>
              <w:bottom w:w="80" w:type="dxa"/>
              <w:end w:w="90" w:type="dxa"/>
            </w:tcMar>
            <w:vAlign w:val="top"/>
          </w:tcPr>
          <w:p>
            <w:r>
              <w:rPr>
                <w:sz w:val="15"/>
              </w:rPr>
              <w:t>After Steven McTeagues workplace death, the company pleaded guilty to health and safety offences and the corporate manslaughter count was left on the books.</w:t>
            </w:r>
          </w:p>
        </w:tc>
        <w:tc>
          <w:tcPr>
            <w:tcW w:type="dxa" w:w="3096"/>
            <w:tcMar>
              <w:top w:w="80" w:type="dxa"/>
              <w:start w:w="90" w:type="dxa"/>
              <w:bottom w:w="80" w:type="dxa"/>
              <w:end w:w="90" w:type="dxa"/>
            </w:tcMar>
            <w:vAlign w:val="top"/>
          </w:tcPr>
          <w:p>
            <w:r>
              <w:rPr>
                <w:sz w:val="15"/>
              </w:rPr>
              <w:t>The alternative guilty pleas secured corporate accountability without a corporate manslaughter verdict.</w:t>
            </w:r>
          </w:p>
        </w:tc>
      </w:tr>
      <w:tr>
        <w:trPr>
          <w:cantSplit/>
        </w:trPr>
        <w:tc>
          <w:tcPr>
            <w:tcW w:type="dxa" w:w="2232"/>
            <w:tcMar>
              <w:top w:w="80" w:type="dxa"/>
              <w:start w:w="90" w:type="dxa"/>
              <w:bottom w:w="80" w:type="dxa"/>
              <w:end w:w="90" w:type="dxa"/>
            </w:tcMar>
            <w:vAlign w:val="top"/>
            <w:shd w:fill="EEF3F8"/>
          </w:tcPr>
          <w:p>
            <w:r>
              <w:rPr>
                <w:sz w:val="15"/>
              </w:rPr>
              <w:t>Roofing Consultants Ltd</w:t>
              <w:br/>
              <w:t>2020</w:t>
            </w:r>
          </w:p>
        </w:tc>
        <w:tc>
          <w:tcPr>
            <w:tcW w:type="dxa" w:w="4464"/>
            <w:tcMar>
              <w:top w:w="80" w:type="dxa"/>
              <w:start w:w="90" w:type="dxa"/>
              <w:bottom w:w="80" w:type="dxa"/>
              <w:end w:w="90" w:type="dxa"/>
            </w:tcMar>
            <w:vAlign w:val="top"/>
            <w:shd w:fill="EEF3F8"/>
          </w:tcPr>
          <w:p>
            <w:r>
              <w:rPr>
                <w:sz w:val="15"/>
              </w:rPr>
              <w:t>Corporate manslaughter charge concerning a fatal fall appears to have been withdrawn; a health and safety guilty plea led to a fine.</w:t>
            </w:r>
          </w:p>
        </w:tc>
        <w:tc>
          <w:tcPr>
            <w:tcW w:type="dxa" w:w="3096"/>
            <w:tcMar>
              <w:top w:w="80" w:type="dxa"/>
              <w:start w:w="90" w:type="dxa"/>
              <w:bottom w:w="80" w:type="dxa"/>
              <w:end w:w="90" w:type="dxa"/>
            </w:tcMar>
            <w:vAlign w:val="top"/>
            <w:shd w:fill="EEF3F8"/>
          </w:tcPr>
          <w:p>
            <w:r>
              <w:rPr>
                <w:sz w:val="15"/>
              </w:rPr>
              <w:t>Public material does not establish the precise decision reason; it should be verified from the court record.</w:t>
            </w:r>
          </w:p>
        </w:tc>
      </w:tr>
      <w:tr>
        <w:trPr>
          <w:cantSplit/>
        </w:trPr>
        <w:tc>
          <w:tcPr>
            <w:tcW w:type="dxa" w:w="2232"/>
            <w:tcMar>
              <w:top w:w="80" w:type="dxa"/>
              <w:start w:w="90" w:type="dxa"/>
              <w:bottom w:w="80" w:type="dxa"/>
              <w:end w:w="90" w:type="dxa"/>
            </w:tcMar>
            <w:vAlign w:val="top"/>
          </w:tcPr>
          <w:p>
            <w:r>
              <w:rPr>
                <w:sz w:val="15"/>
              </w:rPr>
              <w:t>Ace Waste Haulage Ltd</w:t>
              <w:br/>
              <w:t>2020</w:t>
            </w:r>
          </w:p>
        </w:tc>
        <w:tc>
          <w:tcPr>
            <w:tcW w:type="dxa" w:w="4464"/>
            <w:tcMar>
              <w:top w:w="80" w:type="dxa"/>
              <w:start w:w="90" w:type="dxa"/>
              <w:bottom w:w="80" w:type="dxa"/>
              <w:end w:w="90" w:type="dxa"/>
            </w:tcMar>
            <w:vAlign w:val="top"/>
          </w:tcPr>
          <w:p>
            <w:r>
              <w:rPr>
                <w:sz w:val="15"/>
              </w:rPr>
              <w:t>Acquitted of corporate manslaughter after a worker was crushed by a shovel vehicle; convicted of health and safety offences and fined.</w:t>
            </w:r>
          </w:p>
        </w:tc>
        <w:tc>
          <w:tcPr>
            <w:tcW w:type="dxa" w:w="3096"/>
            <w:tcMar>
              <w:top w:w="80" w:type="dxa"/>
              <w:start w:w="90" w:type="dxa"/>
              <w:bottom w:w="80" w:type="dxa"/>
              <w:end w:w="90" w:type="dxa"/>
            </w:tcMar>
            <w:vAlign w:val="top"/>
          </w:tcPr>
          <w:p>
            <w:r>
              <w:rPr>
                <w:sz w:val="15"/>
              </w:rPr>
              <w:t>The jury distinguished serious regulatory failure from proof of the narrower homicide offence.</w:t>
            </w:r>
          </w:p>
        </w:tc>
      </w:tr>
      <w:tr>
        <w:trPr>
          <w:cantSplit/>
        </w:trPr>
        <w:tc>
          <w:tcPr>
            <w:tcW w:type="dxa" w:w="2232"/>
            <w:tcMar>
              <w:top w:w="80" w:type="dxa"/>
              <w:start w:w="90" w:type="dxa"/>
              <w:bottom w:w="80" w:type="dxa"/>
              <w:end w:w="90" w:type="dxa"/>
            </w:tcMar>
            <w:vAlign w:val="top"/>
            <w:shd w:fill="EEF3F8"/>
          </w:tcPr>
          <w:p>
            <w:r>
              <w:rPr>
                <w:sz w:val="15"/>
              </w:rPr>
              <w:t>Wood Treatment Ltd</w:t>
              <w:br/>
              <w:t>2021</w:t>
            </w:r>
          </w:p>
        </w:tc>
        <w:tc>
          <w:tcPr>
            <w:tcW w:type="dxa" w:w="4464"/>
            <w:tcMar>
              <w:top w:w="80" w:type="dxa"/>
              <w:start w:w="90" w:type="dxa"/>
              <w:bottom w:w="80" w:type="dxa"/>
              <w:end w:w="90" w:type="dxa"/>
            </w:tcMar>
            <w:vAlign w:val="top"/>
            <w:shd w:fill="EEF3F8"/>
          </w:tcPr>
          <w:p>
            <w:r>
              <w:rPr>
                <w:sz w:val="15"/>
              </w:rPr>
              <w:t>No case to answer on four corporate manslaughter counts after the Bosley Mill explosion; Court of Appeal upheld the ruling. A health and safety conviction remained.</w:t>
            </w:r>
          </w:p>
        </w:tc>
        <w:tc>
          <w:tcPr>
            <w:tcW w:type="dxa" w:w="3096"/>
            <w:tcMar>
              <w:top w:w="80" w:type="dxa"/>
              <w:start w:w="90" w:type="dxa"/>
              <w:bottom w:w="80" w:type="dxa"/>
              <w:end w:w="90" w:type="dxa"/>
            </w:tcMar>
            <w:vAlign w:val="top"/>
            <w:shd w:fill="EEF3F8"/>
          </w:tcPr>
          <w:p>
            <w:r>
              <w:rPr>
                <w:sz w:val="15"/>
              </w:rPr>
              <w:t>The prosecution could not prove its alleged dust explosion causal mechanism to the required standard.</w:t>
            </w:r>
          </w:p>
        </w:tc>
      </w:tr>
      <w:tr>
        <w:trPr>
          <w:cantSplit/>
        </w:trPr>
        <w:tc>
          <w:tcPr>
            <w:tcW w:type="dxa" w:w="2232"/>
            <w:tcMar>
              <w:top w:w="80" w:type="dxa"/>
              <w:start w:w="90" w:type="dxa"/>
              <w:bottom w:w="80" w:type="dxa"/>
              <w:end w:w="90" w:type="dxa"/>
            </w:tcMar>
            <w:vAlign w:val="top"/>
          </w:tcPr>
          <w:p>
            <w:r>
              <w:rPr>
                <w:sz w:val="15"/>
              </w:rPr>
              <w:t>North East London NHS Foundation Trust</w:t>
              <w:br/>
              <w:t>2025</w:t>
            </w:r>
          </w:p>
        </w:tc>
        <w:tc>
          <w:tcPr>
            <w:tcW w:type="dxa" w:w="4464"/>
            <w:tcMar>
              <w:top w:w="80" w:type="dxa"/>
              <w:start w:w="90" w:type="dxa"/>
              <w:bottom w:w="80" w:type="dxa"/>
              <w:end w:w="90" w:type="dxa"/>
            </w:tcMar>
            <w:vAlign w:val="top"/>
          </w:tcPr>
          <w:p>
            <w:r>
              <w:rPr>
                <w:sz w:val="15"/>
              </w:rPr>
              <w:t>Unanimously acquitted of corporate manslaughter after a seven month trial concerning a detained patient's death; convicted of a health and safety offence.</w:t>
            </w:r>
          </w:p>
        </w:tc>
        <w:tc>
          <w:tcPr>
            <w:tcW w:type="dxa" w:w="3096"/>
            <w:tcMar>
              <w:top w:w="80" w:type="dxa"/>
              <w:start w:w="90" w:type="dxa"/>
              <w:bottom w:w="80" w:type="dxa"/>
              <w:end w:w="90" w:type="dxa"/>
            </w:tcMar>
            <w:vAlign w:val="top"/>
          </w:tcPr>
          <w:p>
            <w:r>
              <w:rPr>
                <w:sz w:val="15"/>
              </w:rPr>
              <w:t>Eight experts and disputed management, senior management and causation issues; the jury separated regulatory guilt from homicide.</w:t>
            </w:r>
          </w:p>
        </w:tc>
      </w:tr>
      <w:tr>
        <w:trPr>
          <w:cantSplit/>
        </w:trPr>
        <w:tc>
          <w:tcPr>
            <w:tcW w:type="dxa" w:w="2232"/>
            <w:tcMar>
              <w:top w:w="80" w:type="dxa"/>
              <w:start w:w="90" w:type="dxa"/>
              <w:bottom w:w="80" w:type="dxa"/>
              <w:end w:w="90" w:type="dxa"/>
            </w:tcMar>
            <w:vAlign w:val="top"/>
            <w:shd w:fill="EEF3F8"/>
          </w:tcPr>
          <w:p>
            <w:r>
              <w:rPr>
                <w:sz w:val="15"/>
              </w:rPr>
              <w:t>G4S Care and Justice Services</w:t>
              <w:br/>
              <w:t>2014 decision</w:t>
            </w:r>
          </w:p>
        </w:tc>
        <w:tc>
          <w:tcPr>
            <w:tcW w:type="dxa" w:w="4464"/>
            <w:tcMar>
              <w:top w:w="80" w:type="dxa"/>
              <w:start w:w="90" w:type="dxa"/>
              <w:bottom w:w="80" w:type="dxa"/>
              <w:end w:w="90" w:type="dxa"/>
            </w:tcMar>
            <w:vAlign w:val="top"/>
            <w:shd w:fill="EEF3F8"/>
          </w:tcPr>
          <w:p>
            <w:r>
              <w:rPr>
                <w:sz w:val="15"/>
              </w:rPr>
              <w:t>CPS decided there was insufficient evidence to prosecute the company for corporate manslaughter over Jimmy Mubenga's death. Three guards were prosecuted individually and acquitted.</w:t>
            </w:r>
          </w:p>
        </w:tc>
        <w:tc>
          <w:tcPr>
            <w:tcW w:type="dxa" w:w="3096"/>
            <w:tcMar>
              <w:top w:w="80" w:type="dxa"/>
              <w:start w:w="90" w:type="dxa"/>
              <w:bottom w:w="80" w:type="dxa"/>
              <w:end w:w="90" w:type="dxa"/>
            </w:tcMar>
            <w:vAlign w:val="top"/>
            <w:shd w:fill="EEF3F8"/>
          </w:tcPr>
          <w:p>
            <w:r>
              <w:rPr>
                <w:sz w:val="15"/>
              </w:rPr>
              <w:t>Illustrates a pre charge evidential failure rather than an organisational acquittal. It is included transparently as a non prosecution outcome.</w:t>
            </w:r>
          </w:p>
        </w:tc>
      </w:tr>
    </w:tbl>
    <w:p>
      <w:pPr>
        <w:spacing w:after="0"/>
      </w:pPr>
    </w:p>
    <w:p>
      <w:pPr>
        <w:pStyle w:val="Heading1"/>
        <w:pBdr>
          <w:bottom w:val="single" w:sz="8" w:space="4" w:color="2F5597"/>
        </w:pBdr>
      </w:pPr>
      <w:r>
        <w:t>Sector surface scan</w:t>
      </w:r>
    </w:p>
    <w:p>
      <w:r>
        <w:t>The present screening register contains 30 named matters in three evidence groups: ten illustrative convictions, ten unsuccessful or alternative corporate manslaughter outcomes, and ten live or recent investigations, proceedings or inquiries listed below. This is a matter count, not a death count and not a claim that all 30 fit the offence. The construction and manufacturing fatal baseline separately records 540 worker deaths over ten reporting years.</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1656"/>
            <w:shd w:fill="17365D"/>
            <w:tcMar>
              <w:top w:w="80" w:type="dxa"/>
              <w:start w:w="90" w:type="dxa"/>
              <w:bottom w:w="80" w:type="dxa"/>
              <w:end w:w="90" w:type="dxa"/>
            </w:tcMar>
            <w:vAlign w:val="center"/>
          </w:tcPr>
          <w:p>
            <w:pPr>
              <w:jc w:val="left"/>
            </w:pPr>
            <w:r>
              <w:rPr>
                <w:b/>
                <w:color w:val="FFFFFF"/>
                <w:sz w:val="16"/>
              </w:rPr>
              <w:t>Sector</w:t>
            </w:r>
          </w:p>
        </w:tc>
        <w:tc>
          <w:tcPr>
            <w:tcW w:type="dxa" w:w="5184"/>
            <w:shd w:fill="17365D"/>
            <w:tcMar>
              <w:top w:w="80" w:type="dxa"/>
              <w:start w:w="90" w:type="dxa"/>
              <w:bottom w:w="80" w:type="dxa"/>
              <w:end w:w="90" w:type="dxa"/>
            </w:tcMar>
            <w:vAlign w:val="center"/>
          </w:tcPr>
          <w:p>
            <w:pPr>
              <w:jc w:val="left"/>
            </w:pPr>
            <w:r>
              <w:rPr>
                <w:b/>
                <w:color w:val="FFFFFF"/>
                <w:sz w:val="16"/>
              </w:rPr>
              <w:t>Recurring signals worth screening</w:t>
            </w:r>
          </w:p>
        </w:tc>
        <w:tc>
          <w:tcPr>
            <w:tcW w:type="dxa" w:w="2952"/>
            <w:shd w:fill="17365D"/>
            <w:tcMar>
              <w:top w:w="80" w:type="dxa"/>
              <w:start w:w="90" w:type="dxa"/>
              <w:bottom w:w="80" w:type="dxa"/>
              <w:end w:w="90" w:type="dxa"/>
            </w:tcMar>
            <w:vAlign w:val="center"/>
          </w:tcPr>
          <w:p>
            <w:pPr>
              <w:jc w:val="left"/>
            </w:pPr>
            <w:r>
              <w:rPr>
                <w:b/>
                <w:color w:val="FFFFFF"/>
                <w:sz w:val="16"/>
              </w:rPr>
              <w:t>Evidence sources</w:t>
            </w:r>
          </w:p>
        </w:tc>
      </w:tr>
      <w:tr>
        <w:trPr>
          <w:cantSplit/>
        </w:trPr>
        <w:tc>
          <w:tcPr>
            <w:tcW w:type="dxa" w:w="1656"/>
            <w:tcMar>
              <w:top w:w="80" w:type="dxa"/>
              <w:start w:w="90" w:type="dxa"/>
              <w:bottom w:w="80" w:type="dxa"/>
              <w:end w:w="90" w:type="dxa"/>
            </w:tcMar>
            <w:vAlign w:val="top"/>
          </w:tcPr>
          <w:p>
            <w:r>
              <w:rPr>
                <w:sz w:val="16"/>
              </w:rPr>
              <w:t>Construction</w:t>
            </w:r>
          </w:p>
        </w:tc>
        <w:tc>
          <w:tcPr>
            <w:tcW w:type="dxa" w:w="5184"/>
            <w:tcMar>
              <w:top w:w="80" w:type="dxa"/>
              <w:start w:w="90" w:type="dxa"/>
              <w:bottom w:w="80" w:type="dxa"/>
              <w:end w:w="90" w:type="dxa"/>
            </w:tcMar>
            <w:vAlign w:val="top"/>
          </w:tcPr>
          <w:p>
            <w:r>
              <w:rPr>
                <w:sz w:val="16"/>
              </w:rPr>
              <w:t>Falls from height, unsupported excavations, temporary works, plant movement, demolition planning, competence gaps, fragmented contracting and repeated notices</w:t>
            </w:r>
          </w:p>
        </w:tc>
        <w:tc>
          <w:tcPr>
            <w:tcW w:type="dxa" w:w="2952"/>
            <w:tcMar>
              <w:top w:w="80" w:type="dxa"/>
              <w:start w:w="90" w:type="dxa"/>
              <w:bottom w:w="80" w:type="dxa"/>
              <w:end w:w="90" w:type="dxa"/>
            </w:tcMar>
            <w:vAlign w:val="top"/>
          </w:tcPr>
          <w:p>
            <w:r>
              <w:rPr>
                <w:sz w:val="16"/>
              </w:rPr>
              <w:t>HSE notices and prosecutions, CDM records, RAMS, design changes, permits, inductions, site photographs and procurement</w:t>
            </w:r>
          </w:p>
        </w:tc>
      </w:tr>
      <w:tr>
        <w:trPr>
          <w:cantSplit/>
        </w:trPr>
        <w:tc>
          <w:tcPr>
            <w:tcW w:type="dxa" w:w="1656"/>
            <w:tcMar>
              <w:top w:w="80" w:type="dxa"/>
              <w:start w:w="90" w:type="dxa"/>
              <w:bottom w:w="80" w:type="dxa"/>
              <w:end w:w="90" w:type="dxa"/>
            </w:tcMar>
            <w:vAlign w:val="top"/>
            <w:shd w:fill="EEF3F8"/>
          </w:tcPr>
          <w:p>
            <w:r>
              <w:rPr>
                <w:sz w:val="16"/>
              </w:rPr>
              <w:t>Manufacturing</w:t>
            </w:r>
          </w:p>
        </w:tc>
        <w:tc>
          <w:tcPr>
            <w:tcW w:type="dxa" w:w="5184"/>
            <w:tcMar>
              <w:top w:w="80" w:type="dxa"/>
              <w:start w:w="90" w:type="dxa"/>
              <w:bottom w:w="80" w:type="dxa"/>
              <w:end w:w="90" w:type="dxa"/>
            </w:tcMar>
            <w:vAlign w:val="top"/>
            <w:shd w:fill="EEF3F8"/>
          </w:tcPr>
          <w:p>
            <w:r>
              <w:rPr>
                <w:sz w:val="16"/>
              </w:rPr>
              <w:t>Guarding, isolation, maintenance backlog, confined spaces, dust and explosion control, incompatible chemicals, bypassed interlocks and production pressure</w:t>
            </w:r>
          </w:p>
        </w:tc>
        <w:tc>
          <w:tcPr>
            <w:tcW w:type="dxa" w:w="2952"/>
            <w:tcMar>
              <w:top w:w="80" w:type="dxa"/>
              <w:start w:w="90" w:type="dxa"/>
              <w:bottom w:w="80" w:type="dxa"/>
              <w:end w:w="90" w:type="dxa"/>
            </w:tcMar>
            <w:vAlign w:val="top"/>
            <w:shd w:fill="EEF3F8"/>
          </w:tcPr>
          <w:p>
            <w:r>
              <w:rPr>
                <w:sz w:val="16"/>
              </w:rPr>
              <w:t>Maintenance systems, lockout records, engineering changes, alarms, downtime data, near misses and shift communications</w:t>
            </w:r>
          </w:p>
        </w:tc>
      </w:tr>
      <w:tr>
        <w:trPr>
          <w:cantSplit/>
        </w:trPr>
        <w:tc>
          <w:tcPr>
            <w:tcW w:type="dxa" w:w="1656"/>
            <w:tcMar>
              <w:top w:w="80" w:type="dxa"/>
              <w:start w:w="90" w:type="dxa"/>
              <w:bottom w:w="80" w:type="dxa"/>
              <w:end w:w="90" w:type="dxa"/>
            </w:tcMar>
            <w:vAlign w:val="top"/>
          </w:tcPr>
          <w:p>
            <w:r>
              <w:rPr>
                <w:sz w:val="16"/>
              </w:rPr>
              <w:t>Medical and care</w:t>
            </w:r>
          </w:p>
        </w:tc>
        <w:tc>
          <w:tcPr>
            <w:tcW w:type="dxa" w:w="5184"/>
            <w:tcMar>
              <w:top w:w="80" w:type="dxa"/>
              <w:start w:w="90" w:type="dxa"/>
              <w:bottom w:w="80" w:type="dxa"/>
              <w:end w:w="90" w:type="dxa"/>
            </w:tcMar>
            <w:vAlign w:val="top"/>
          </w:tcPr>
          <w:p>
            <w:r>
              <w:rPr>
                <w:sz w:val="16"/>
              </w:rPr>
              <w:t>Staffing, clinical governance, observation, escalation, prescribing, medicines reconciliation, discharge, ligature or environmental risk, candour and learning after deaths</w:t>
            </w:r>
          </w:p>
        </w:tc>
        <w:tc>
          <w:tcPr>
            <w:tcW w:type="dxa" w:w="2952"/>
            <w:tcMar>
              <w:top w:w="80" w:type="dxa"/>
              <w:start w:w="90" w:type="dxa"/>
              <w:bottom w:w="80" w:type="dxa"/>
              <w:end w:w="90" w:type="dxa"/>
            </w:tcMar>
            <w:vAlign w:val="top"/>
          </w:tcPr>
          <w:p>
            <w:r>
              <w:rPr>
                <w:sz w:val="16"/>
              </w:rPr>
              <w:t>Clinical record, rota, audit, serious incident review, coroners prevention reports, CQC enforcement, complaints and board escalation</w:t>
            </w:r>
          </w:p>
        </w:tc>
      </w:tr>
    </w:tbl>
    <w:p>
      <w:pPr>
        <w:spacing w:after="0"/>
      </w:pPr>
    </w:p>
    <w:p>
      <w:r>
        <w:t>Recent HSE and CQC enforcement material provides examples for screening but should not be retrospectively converted into corporate manslaughter allegations. Construction examples include fatal falls, trench collapse and unsafe temporary works. Manufacturing examples include machinery, mobile plant, loading and structural component failures. Medical enforcement examples include maternity, mental health and care provider deaths prosecuted under the Health and Social Care Act or health and safety law. These materials can reveal repeated organisational features and evidence types even when the 2007 Act was not charged.</w:t>
      </w:r>
      <w:r>
        <w:rPr>
          <w:color w:val="2F5597"/>
          <w:vertAlign w:val="superscript"/>
        </w:rPr>
        <w:t>[36]</w:t>
      </w:r>
      <w:r>
        <w:rPr>
          <w:color w:val="2F5597"/>
          <w:vertAlign w:val="superscript"/>
        </w:rPr>
        <w:t>[37]</w:t>
      </w:r>
      <w:r>
        <w:rPr>
          <w:color w:val="2F5597"/>
          <w:vertAlign w:val="superscript"/>
        </w:rPr>
        <w:t>[38]</w:t>
      </w:r>
    </w:p>
    <w:p>
      <w:pPr>
        <w:pStyle w:val="Heading1"/>
        <w:pBdr>
          <w:bottom w:val="single" w:sz="8" w:space="4" w:color="2F5597"/>
        </w:pBdr>
      </w:pPr>
      <w:r>
        <w:t>Current matters awaiting outcome</w:t>
      </w:r>
    </w:p>
    <w:p>
      <w:r>
        <w:t>Status date 12 September 2026. These matters are included because public sources describe a live corporate manslaughter line of inquiry, a charged case, or a closely related fatal safety investigation or statutory inquiry. A charge is not a conviction. An investigation is not a charge. An inquiry does not determine criminal guilt. Details can change and must be rechecked before circulation.</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2520"/>
            <w:shd w:fill="17365D"/>
            <w:tcMar>
              <w:top w:w="80" w:type="dxa"/>
              <w:start w:w="90" w:type="dxa"/>
              <w:bottom w:w="80" w:type="dxa"/>
              <w:end w:w="90" w:type="dxa"/>
            </w:tcMar>
            <w:vAlign w:val="center"/>
          </w:tcPr>
          <w:p>
            <w:pPr>
              <w:jc w:val="left"/>
            </w:pPr>
            <w:r>
              <w:rPr>
                <w:b/>
                <w:color w:val="FFFFFF"/>
                <w:sz w:val="15"/>
              </w:rPr>
              <w:t>Matter</w:t>
            </w:r>
          </w:p>
        </w:tc>
        <w:tc>
          <w:tcPr>
            <w:tcW w:type="dxa" w:w="2376"/>
            <w:shd w:fill="17365D"/>
            <w:tcMar>
              <w:top w:w="80" w:type="dxa"/>
              <w:start w:w="90" w:type="dxa"/>
              <w:bottom w:w="80" w:type="dxa"/>
              <w:end w:w="90" w:type="dxa"/>
            </w:tcMar>
            <w:vAlign w:val="center"/>
          </w:tcPr>
          <w:p>
            <w:pPr>
              <w:jc w:val="left"/>
            </w:pPr>
            <w:r>
              <w:rPr>
                <w:b/>
                <w:color w:val="FFFFFF"/>
                <w:sz w:val="15"/>
              </w:rPr>
              <w:t>Current status</w:t>
            </w:r>
          </w:p>
        </w:tc>
        <w:tc>
          <w:tcPr>
            <w:tcW w:type="dxa" w:w="4896"/>
            <w:shd w:fill="17365D"/>
            <w:tcMar>
              <w:top w:w="80" w:type="dxa"/>
              <w:start w:w="90" w:type="dxa"/>
              <w:bottom w:w="80" w:type="dxa"/>
              <w:end w:w="90" w:type="dxa"/>
            </w:tcMar>
            <w:vAlign w:val="center"/>
          </w:tcPr>
          <w:p>
            <w:pPr>
              <w:jc w:val="left"/>
            </w:pPr>
            <w:r>
              <w:rPr>
                <w:b/>
                <w:color w:val="FFFFFF"/>
                <w:sz w:val="15"/>
              </w:rPr>
              <w:t>Cautious interpretation</w:t>
            </w:r>
          </w:p>
        </w:tc>
      </w:tr>
      <w:tr>
        <w:trPr>
          <w:cantSplit/>
        </w:trPr>
        <w:tc>
          <w:tcPr>
            <w:tcW w:type="dxa" w:w="2520"/>
            <w:tcMar>
              <w:top w:w="80" w:type="dxa"/>
              <w:start w:w="90" w:type="dxa"/>
              <w:bottom w:w="80" w:type="dxa"/>
              <w:end w:w="90" w:type="dxa"/>
            </w:tcMar>
            <w:vAlign w:val="top"/>
          </w:tcPr>
          <w:p>
            <w:r>
              <w:rPr>
                <w:sz w:val="15"/>
              </w:rPr>
              <w:t>Grenfell Tower fire</w:t>
              <w:br/>
              <w:t>72 deaths</w:t>
            </w:r>
          </w:p>
        </w:tc>
        <w:tc>
          <w:tcPr>
            <w:tcW w:type="dxa" w:w="2376"/>
            <w:tcMar>
              <w:top w:w="80" w:type="dxa"/>
              <w:start w:w="90" w:type="dxa"/>
              <w:bottom w:w="80" w:type="dxa"/>
              <w:end w:w="90" w:type="dxa"/>
            </w:tcMar>
            <w:vAlign w:val="top"/>
          </w:tcPr>
          <w:p>
            <w:r>
              <w:rPr>
                <w:sz w:val="15"/>
              </w:rPr>
              <w:t>Police file and CPS review</w:t>
            </w:r>
          </w:p>
        </w:tc>
        <w:tc>
          <w:tcPr>
            <w:tcW w:type="dxa" w:w="4896"/>
            <w:tcMar>
              <w:top w:w="80" w:type="dxa"/>
              <w:start w:w="90" w:type="dxa"/>
              <w:bottom w:w="80" w:type="dxa"/>
              <w:end w:w="90" w:type="dxa"/>
            </w:tcMar>
            <w:vAlign w:val="top"/>
          </w:tcPr>
          <w:p>
            <w:r>
              <w:rPr>
                <w:sz w:val="15"/>
              </w:rPr>
              <w:t>Met says 57 people and 20 organisations are suspects across offences including corporate manslaughter. Fifteen of 20 files had reached CPS by May 2026; all were due by end September. No charging decision recorded in the cited update.</w:t>
            </w:r>
          </w:p>
        </w:tc>
      </w:tr>
      <w:tr>
        <w:trPr>
          <w:cantSplit/>
        </w:trPr>
        <w:tc>
          <w:tcPr>
            <w:tcW w:type="dxa" w:w="2520"/>
            <w:tcMar>
              <w:top w:w="80" w:type="dxa"/>
              <w:start w:w="90" w:type="dxa"/>
              <w:bottom w:w="80" w:type="dxa"/>
              <w:end w:w="90" w:type="dxa"/>
            </w:tcMar>
            <w:vAlign w:val="top"/>
            <w:shd w:fill="EEF3F8"/>
          </w:tcPr>
          <w:p>
            <w:r>
              <w:rPr>
                <w:sz w:val="15"/>
              </w:rPr>
              <w:t>Didcot A power station collapse</w:t>
              <w:br/>
              <w:t>4 deaths</w:t>
            </w:r>
          </w:p>
        </w:tc>
        <w:tc>
          <w:tcPr>
            <w:tcW w:type="dxa" w:w="2376"/>
            <w:tcMar>
              <w:top w:w="80" w:type="dxa"/>
              <w:start w:w="90" w:type="dxa"/>
              <w:bottom w:w="80" w:type="dxa"/>
              <w:end w:w="90" w:type="dxa"/>
            </w:tcMar>
            <w:vAlign w:val="top"/>
            <w:shd w:fill="EEF3F8"/>
          </w:tcPr>
          <w:p>
            <w:r>
              <w:rPr>
                <w:sz w:val="15"/>
              </w:rPr>
              <w:t>Joint police and HSE investigation</w:t>
            </w:r>
          </w:p>
        </w:tc>
        <w:tc>
          <w:tcPr>
            <w:tcW w:type="dxa" w:w="4896"/>
            <w:tcMar>
              <w:top w:w="80" w:type="dxa"/>
              <w:start w:w="90" w:type="dxa"/>
              <w:bottom w:w="80" w:type="dxa"/>
              <w:end w:w="90" w:type="dxa"/>
            </w:tcMar>
            <w:vAlign w:val="top"/>
            <w:shd w:fill="EEF3F8"/>
          </w:tcPr>
          <w:p>
            <w:r>
              <w:rPr>
                <w:sz w:val="15"/>
              </w:rPr>
              <w:t>Ten year investigation expected to conclude during 2026. Public material confirms continuing work; it does not establish charges or guilt.</w:t>
            </w:r>
          </w:p>
        </w:tc>
      </w:tr>
      <w:tr>
        <w:trPr>
          <w:cantSplit/>
        </w:trPr>
        <w:tc>
          <w:tcPr>
            <w:tcW w:type="dxa" w:w="2520"/>
            <w:tcMar>
              <w:top w:w="80" w:type="dxa"/>
              <w:start w:w="90" w:type="dxa"/>
              <w:bottom w:w="80" w:type="dxa"/>
              <w:end w:w="90" w:type="dxa"/>
            </w:tcMar>
            <w:vAlign w:val="top"/>
          </w:tcPr>
          <w:p>
            <w:r>
              <w:rPr>
                <w:sz w:val="15"/>
              </w:rPr>
              <w:t>Britannia Jinky Jersey Ltd and Pontins</w:t>
              <w:br/>
              <w:t>1 later death</w:t>
            </w:r>
          </w:p>
        </w:tc>
        <w:tc>
          <w:tcPr>
            <w:tcW w:type="dxa" w:w="2376"/>
            <w:tcMar>
              <w:top w:w="80" w:type="dxa"/>
              <w:start w:w="90" w:type="dxa"/>
              <w:bottom w:w="80" w:type="dxa"/>
              <w:end w:w="90" w:type="dxa"/>
            </w:tcMar>
            <w:vAlign w:val="top"/>
          </w:tcPr>
          <w:p>
            <w:r>
              <w:rPr>
                <w:sz w:val="15"/>
              </w:rPr>
              <w:t>Corporate manslaughter charge</w:t>
            </w:r>
          </w:p>
        </w:tc>
        <w:tc>
          <w:tcPr>
            <w:tcW w:type="dxa" w:w="4896"/>
            <w:tcMar>
              <w:top w:w="80" w:type="dxa"/>
              <w:start w:w="90" w:type="dxa"/>
              <w:bottom w:w="80" w:type="dxa"/>
              <w:end w:w="90" w:type="dxa"/>
            </w:tcMar>
            <w:vAlign w:val="top"/>
          </w:tcPr>
          <w:p>
            <w:r>
              <w:rPr>
                <w:sz w:val="15"/>
              </w:rPr>
              <w:t>Company pleaded not guilty concerning Wendy Jones, who died six months after the 2019 ceiling collapse. Trial publicly listed for October 2026. Live proceedings must not be prejudiced.</w:t>
            </w:r>
          </w:p>
        </w:tc>
      </w:tr>
      <w:tr>
        <w:trPr>
          <w:cantSplit/>
        </w:trPr>
        <w:tc>
          <w:tcPr>
            <w:tcW w:type="dxa" w:w="2520"/>
            <w:tcMar>
              <w:top w:w="80" w:type="dxa"/>
              <w:start w:w="90" w:type="dxa"/>
              <w:bottom w:w="80" w:type="dxa"/>
              <w:end w:w="90" w:type="dxa"/>
            </w:tcMar>
            <w:vAlign w:val="top"/>
            <w:shd w:fill="EEF3F8"/>
          </w:tcPr>
          <w:p>
            <w:r>
              <w:rPr>
                <w:sz w:val="15"/>
              </w:rPr>
              <w:t>Nottingham maternity services</w:t>
              <w:br/>
              <w:t>multiple deaths and serious harm alleged</w:t>
            </w:r>
          </w:p>
        </w:tc>
        <w:tc>
          <w:tcPr>
            <w:tcW w:type="dxa" w:w="2376"/>
            <w:tcMar>
              <w:top w:w="80" w:type="dxa"/>
              <w:start w:w="90" w:type="dxa"/>
              <w:bottom w:w="80" w:type="dxa"/>
              <w:end w:w="90" w:type="dxa"/>
            </w:tcMar>
            <w:vAlign w:val="top"/>
            <w:shd w:fill="EEF3F8"/>
          </w:tcPr>
          <w:p>
            <w:r>
              <w:rPr>
                <w:sz w:val="15"/>
              </w:rPr>
              <w:t>Operation Perth corporate manslaughter investigation</w:t>
            </w:r>
          </w:p>
        </w:tc>
        <w:tc>
          <w:tcPr>
            <w:tcW w:type="dxa" w:w="4896"/>
            <w:tcMar>
              <w:top w:w="80" w:type="dxa"/>
              <w:start w:w="90" w:type="dxa"/>
              <w:bottom w:w="80" w:type="dxa"/>
              <w:end w:w="90" w:type="dxa"/>
            </w:tcMar>
            <w:vAlign w:val="top"/>
            <w:shd w:fill="EEF3F8"/>
          </w:tcPr>
          <w:p>
            <w:r>
              <w:rPr>
                <w:sz w:val="15"/>
              </w:rPr>
              <w:t>Police reported receipt of 393 family folders by March 2026. The number is cases or folders, not confirmed offences or deaths.</w:t>
            </w:r>
          </w:p>
        </w:tc>
      </w:tr>
      <w:tr>
        <w:trPr>
          <w:cantSplit/>
        </w:trPr>
        <w:tc>
          <w:tcPr>
            <w:tcW w:type="dxa" w:w="2520"/>
            <w:tcMar>
              <w:top w:w="80" w:type="dxa"/>
              <w:start w:w="90" w:type="dxa"/>
              <w:bottom w:w="80" w:type="dxa"/>
              <w:end w:w="90" w:type="dxa"/>
            </w:tcMar>
            <w:vAlign w:val="top"/>
          </w:tcPr>
          <w:p>
            <w:r>
              <w:rPr>
                <w:sz w:val="15"/>
              </w:rPr>
              <w:t>University Hospitals Sussex</w:t>
              <w:br/>
              <w:t>40 deaths initially reported and wider case review</w:t>
            </w:r>
          </w:p>
        </w:tc>
        <w:tc>
          <w:tcPr>
            <w:tcW w:type="dxa" w:w="2376"/>
            <w:tcMar>
              <w:top w:w="80" w:type="dxa"/>
              <w:start w:w="90" w:type="dxa"/>
              <w:bottom w:w="80" w:type="dxa"/>
              <w:end w:w="90" w:type="dxa"/>
            </w:tcMar>
            <w:vAlign w:val="top"/>
          </w:tcPr>
          <w:p>
            <w:r>
              <w:rPr>
                <w:sz w:val="15"/>
              </w:rPr>
              <w:t>Operation Bramber</w:t>
            </w:r>
          </w:p>
        </w:tc>
        <w:tc>
          <w:tcPr>
            <w:tcW w:type="dxa" w:w="4896"/>
            <w:tcMar>
              <w:top w:w="80" w:type="dxa"/>
              <w:start w:w="90" w:type="dxa"/>
              <w:bottom w:w="80" w:type="dxa"/>
              <w:end w:w="90" w:type="dxa"/>
            </w:tcMar>
            <w:vAlign w:val="top"/>
          </w:tcPr>
          <w:p>
            <w:r>
              <w:rPr>
                <w:sz w:val="15"/>
              </w:rPr>
              <w:t>Police are considering corporate and gross negligence manslaughter in a large clinical negligence investigation. No corporate charge recorded in the cited sources.</w:t>
            </w:r>
          </w:p>
        </w:tc>
      </w:tr>
      <w:tr>
        <w:trPr>
          <w:cantSplit/>
        </w:trPr>
        <w:tc>
          <w:tcPr>
            <w:tcW w:type="dxa" w:w="2520"/>
            <w:tcMar>
              <w:top w:w="80" w:type="dxa"/>
              <w:start w:w="90" w:type="dxa"/>
              <w:bottom w:w="80" w:type="dxa"/>
              <w:end w:w="90" w:type="dxa"/>
            </w:tcMar>
            <w:vAlign w:val="top"/>
            <w:shd w:fill="EEF3F8"/>
          </w:tcPr>
          <w:p>
            <w:r>
              <w:rPr>
                <w:sz w:val="15"/>
              </w:rPr>
              <w:t>Countess of Chester Hospital</w:t>
            </w:r>
          </w:p>
        </w:tc>
        <w:tc>
          <w:tcPr>
            <w:tcW w:type="dxa" w:w="2376"/>
            <w:tcMar>
              <w:top w:w="80" w:type="dxa"/>
              <w:start w:w="90" w:type="dxa"/>
              <w:bottom w:w="80" w:type="dxa"/>
              <w:end w:w="90" w:type="dxa"/>
            </w:tcMar>
            <w:vAlign w:val="top"/>
            <w:shd w:fill="EEF3F8"/>
          </w:tcPr>
          <w:p>
            <w:r>
              <w:rPr>
                <w:sz w:val="15"/>
              </w:rPr>
              <w:t>Operation Duet</w:t>
            </w:r>
          </w:p>
        </w:tc>
        <w:tc>
          <w:tcPr>
            <w:tcW w:type="dxa" w:w="4896"/>
            <w:tcMar>
              <w:top w:w="80" w:type="dxa"/>
              <w:start w:w="90" w:type="dxa"/>
              <w:bottom w:w="80" w:type="dxa"/>
              <w:end w:w="90" w:type="dxa"/>
            </w:tcMar>
            <w:vAlign w:val="top"/>
            <w:shd w:fill="EEF3F8"/>
          </w:tcPr>
          <w:p>
            <w:r>
              <w:rPr>
                <w:sz w:val="15"/>
              </w:rPr>
              <w:t>Police describe an ongoing corporate and gross negligence manslaughter investigation into hospital management. This is distinct from the completed prosecution of Lucy Letby and carries no presumption about any suspect.</w:t>
            </w:r>
          </w:p>
        </w:tc>
      </w:tr>
      <w:tr>
        <w:trPr>
          <w:cantSplit/>
        </w:trPr>
        <w:tc>
          <w:tcPr>
            <w:tcW w:type="dxa" w:w="2520"/>
            <w:tcMar>
              <w:top w:w="80" w:type="dxa"/>
              <w:start w:w="90" w:type="dxa"/>
              <w:bottom w:w="80" w:type="dxa"/>
              <w:end w:w="90" w:type="dxa"/>
            </w:tcMar>
            <w:vAlign w:val="top"/>
          </w:tcPr>
          <w:p>
            <w:r>
              <w:rPr>
                <w:sz w:val="15"/>
              </w:rPr>
              <w:t>Nottinghamshire Healthcare NHS Foundation Trust</w:t>
              <w:br/>
              <w:t>3 third party attack deaths</w:t>
            </w:r>
          </w:p>
        </w:tc>
        <w:tc>
          <w:tcPr>
            <w:tcW w:type="dxa" w:w="2376"/>
            <w:tcMar>
              <w:top w:w="80" w:type="dxa"/>
              <w:start w:w="90" w:type="dxa"/>
              <w:bottom w:w="80" w:type="dxa"/>
              <w:end w:w="90" w:type="dxa"/>
            </w:tcMar>
            <w:vAlign w:val="top"/>
          </w:tcPr>
          <w:p>
            <w:r>
              <w:rPr>
                <w:sz w:val="15"/>
              </w:rPr>
              <w:t>Corporate manslaughter investigation reported July 2026</w:t>
            </w:r>
          </w:p>
        </w:tc>
        <w:tc>
          <w:tcPr>
            <w:tcW w:type="dxa" w:w="4896"/>
            <w:tcMar>
              <w:top w:w="80" w:type="dxa"/>
              <w:start w:w="90" w:type="dxa"/>
              <w:bottom w:w="80" w:type="dxa"/>
              <w:end w:w="90" w:type="dxa"/>
            </w:tcMar>
            <w:vAlign w:val="top"/>
          </w:tcPr>
          <w:p>
            <w:r>
              <w:rPr>
                <w:sz w:val="15"/>
              </w:rPr>
              <w:t>Northumbria Police is investigating matters relating to Valdo Calocane's care before the attacks. Duty and causal intervention by a third party will require especially careful legal analysis.</w:t>
            </w:r>
          </w:p>
        </w:tc>
      </w:tr>
      <w:tr>
        <w:trPr>
          <w:cantSplit/>
        </w:trPr>
        <w:tc>
          <w:tcPr>
            <w:tcW w:type="dxa" w:w="2520"/>
            <w:tcMar>
              <w:top w:w="80" w:type="dxa"/>
              <w:start w:w="90" w:type="dxa"/>
              <w:bottom w:w="80" w:type="dxa"/>
              <w:end w:w="90" w:type="dxa"/>
            </w:tcMar>
            <w:vAlign w:val="top"/>
            <w:shd w:fill="EEF3F8"/>
          </w:tcPr>
          <w:p>
            <w:r>
              <w:rPr>
                <w:sz w:val="15"/>
              </w:rPr>
              <w:t>Avonmouth wastewater explosion</w:t>
              <w:br/>
              <w:t>4 deaths</w:t>
            </w:r>
          </w:p>
        </w:tc>
        <w:tc>
          <w:tcPr>
            <w:tcW w:type="dxa" w:w="2376"/>
            <w:tcMar>
              <w:top w:w="80" w:type="dxa"/>
              <w:start w:w="90" w:type="dxa"/>
              <w:bottom w:w="80" w:type="dxa"/>
              <w:end w:w="90" w:type="dxa"/>
            </w:tcMar>
            <w:vAlign w:val="top"/>
            <w:shd w:fill="EEF3F8"/>
          </w:tcPr>
          <w:p>
            <w:r>
              <w:rPr>
                <w:sz w:val="15"/>
              </w:rPr>
              <w:t>Health and safety prosecution</w:t>
            </w:r>
          </w:p>
        </w:tc>
        <w:tc>
          <w:tcPr>
            <w:tcW w:type="dxa" w:w="4896"/>
            <w:tcMar>
              <w:top w:w="80" w:type="dxa"/>
              <w:start w:w="90" w:type="dxa"/>
              <w:bottom w:w="80" w:type="dxa"/>
              <w:end w:w="90" w:type="dxa"/>
            </w:tcMar>
            <w:vAlign w:val="top"/>
            <w:shd w:fill="EEF3F8"/>
          </w:tcPr>
          <w:p>
            <w:r>
              <w:rPr>
                <w:sz w:val="15"/>
              </w:rPr>
              <w:t>Police closed the manslaughter route in 2024 for insufficient evidence; HSE later authorised health and safety charges against Wessex Water. Included to show an alternative route, not a pending corporate manslaughter charge.</w:t>
            </w:r>
          </w:p>
        </w:tc>
      </w:tr>
      <w:tr>
        <w:trPr>
          <w:cantSplit/>
        </w:trPr>
        <w:tc>
          <w:tcPr>
            <w:tcW w:type="dxa" w:w="2520"/>
            <w:tcMar>
              <w:top w:w="80" w:type="dxa"/>
              <w:start w:w="90" w:type="dxa"/>
              <w:bottom w:w="80" w:type="dxa"/>
              <w:end w:w="90" w:type="dxa"/>
            </w:tcMar>
            <w:vAlign w:val="top"/>
          </w:tcPr>
          <w:p>
            <w:r>
              <w:rPr>
                <w:sz w:val="15"/>
              </w:rPr>
              <w:t>Castlemartin tank explosion</w:t>
              <w:br/>
              <w:t>2 deaths</w:t>
            </w:r>
          </w:p>
        </w:tc>
        <w:tc>
          <w:tcPr>
            <w:tcW w:type="dxa" w:w="2376"/>
            <w:tcMar>
              <w:top w:w="80" w:type="dxa"/>
              <w:start w:w="90" w:type="dxa"/>
              <w:bottom w:w="80" w:type="dxa"/>
              <w:end w:w="90" w:type="dxa"/>
            </w:tcMar>
            <w:vAlign w:val="top"/>
          </w:tcPr>
          <w:p>
            <w:r>
              <w:rPr>
                <w:sz w:val="15"/>
              </w:rPr>
              <w:t>Crown Censure and health and safety charge</w:t>
            </w:r>
          </w:p>
        </w:tc>
        <w:tc>
          <w:tcPr>
            <w:tcW w:type="dxa" w:w="4896"/>
            <w:tcMar>
              <w:top w:w="80" w:type="dxa"/>
              <w:start w:w="90" w:type="dxa"/>
              <w:bottom w:w="80" w:type="dxa"/>
              <w:end w:w="90" w:type="dxa"/>
            </w:tcMar>
            <w:vAlign w:val="top"/>
          </w:tcPr>
          <w:p>
            <w:r>
              <w:rPr>
                <w:sz w:val="15"/>
              </w:rPr>
              <w:t>HSE authorised a Crown Censure of the Ministry of Defence and a section 3 charge against Rheinmetall BAE Systems Land Ltd. HSE states this is not a finding of guilt.</w:t>
            </w:r>
          </w:p>
        </w:tc>
      </w:tr>
      <w:tr>
        <w:trPr>
          <w:cantSplit/>
        </w:trPr>
        <w:tc>
          <w:tcPr>
            <w:tcW w:type="dxa" w:w="2520"/>
            <w:tcMar>
              <w:top w:w="80" w:type="dxa"/>
              <w:start w:w="90" w:type="dxa"/>
              <w:bottom w:w="80" w:type="dxa"/>
              <w:end w:w="90" w:type="dxa"/>
            </w:tcMar>
            <w:vAlign w:val="top"/>
            <w:shd w:fill="EEF3F8"/>
          </w:tcPr>
          <w:p>
            <w:r>
              <w:rPr>
                <w:sz w:val="15"/>
              </w:rPr>
              <w:t>Lampard Inquiry and announced TEWV inquiry</w:t>
            </w:r>
          </w:p>
        </w:tc>
        <w:tc>
          <w:tcPr>
            <w:tcW w:type="dxa" w:w="2376"/>
            <w:tcMar>
              <w:top w:w="80" w:type="dxa"/>
              <w:start w:w="90" w:type="dxa"/>
              <w:bottom w:w="80" w:type="dxa"/>
              <w:end w:w="90" w:type="dxa"/>
            </w:tcMar>
            <w:vAlign w:val="top"/>
            <w:shd w:fill="EEF3F8"/>
          </w:tcPr>
          <w:p>
            <w:r>
              <w:rPr>
                <w:sz w:val="15"/>
              </w:rPr>
              <w:t>Statutory inquiries</w:t>
            </w:r>
          </w:p>
        </w:tc>
        <w:tc>
          <w:tcPr>
            <w:tcW w:type="dxa" w:w="4896"/>
            <w:tcMar>
              <w:top w:w="80" w:type="dxa"/>
              <w:start w:w="90" w:type="dxa"/>
              <w:bottom w:w="80" w:type="dxa"/>
              <w:end w:w="90" w:type="dxa"/>
            </w:tcMar>
            <w:vAlign w:val="top"/>
            <w:shd w:fill="EEF3F8"/>
          </w:tcPr>
          <w:p>
            <w:r>
              <w:rPr>
                <w:sz w:val="15"/>
              </w:rPr>
              <w:t>These examine mental health deaths and institutional learning. They are not criminal prosecutions. Findings may identify evidence for regulators, coroners or police, but that must be assessed independently.</w:t>
            </w:r>
          </w:p>
        </w:tc>
      </w:tr>
    </w:tbl>
    <w:p>
      <w:pPr>
        <w:spacing w:after="0"/>
      </w:pPr>
    </w:p>
    <w:p>
      <w:r>
        <w:t>The known total will change. Grenfell alone involved examination of 700 organisations and 15,000 individuals, while Operation Perth had received 393 family folders. Neither figure can be translated into suspected offences. They demonstrate the difference between an initial information population and the much smaller set capable of satisfying a criminal charge test.</w:t>
      </w:r>
      <w:r>
        <w:rPr>
          <w:color w:val="2F5597"/>
          <w:vertAlign w:val="superscript"/>
        </w:rPr>
        <w:t>[25]</w:t>
      </w:r>
      <w:r>
        <w:rPr>
          <w:color w:val="2F5597"/>
          <w:vertAlign w:val="superscript"/>
        </w:rPr>
        <w:t>[26]</w:t>
      </w:r>
    </w:p>
    <w:p>
      <w:pPr>
        <w:pStyle w:val="Heading1"/>
        <w:pBdr>
          <w:bottom w:val="single" w:sz="8" w:space="4" w:color="2F5597"/>
        </w:pBdr>
      </w:pPr>
      <w:r>
        <w:t>A disciplined investigation method</w:t>
      </w:r>
    </w:p>
    <w:p>
      <w:pPr>
        <w:pStyle w:val="Heading2"/>
      </w:pPr>
      <w:r>
        <w:t>Screening before allegation</w:t>
      </w:r>
    </w:p>
    <w:p>
      <w:pPr>
        <w:ind w:left="403" w:hanging="403"/>
      </w:pPr>
      <w:r>
        <w:t xml:space="preserve">1.  </w:t>
      </w:r>
      <w:r>
        <w:rPr>
          <w:b/>
        </w:rPr>
        <w:t xml:space="preserve">Record the death. </w:t>
      </w:r>
      <w:r>
        <w:t>Use a stable case identifier; record the deceased, date, location, organisation, source and current official status.</w:t>
      </w:r>
    </w:p>
    <w:p>
      <w:pPr>
        <w:ind w:left="403" w:hanging="403"/>
      </w:pPr>
      <w:r>
        <w:t xml:space="preserve">2.  </w:t>
      </w:r>
      <w:r>
        <w:rPr>
          <w:b/>
        </w:rPr>
        <w:t xml:space="preserve">Separate fact from claim. </w:t>
      </w:r>
      <w:r>
        <w:t>Label each statement observed fact, witness account, allegation, expert opinion, official finding or hypothesis.</w:t>
      </w:r>
    </w:p>
    <w:p>
      <w:pPr>
        <w:ind w:left="403" w:hanging="403"/>
      </w:pPr>
      <w:r>
        <w:t xml:space="preserve">3.  </w:t>
      </w:r>
      <w:r>
        <w:rPr>
          <w:b/>
        </w:rPr>
        <w:t xml:space="preserve">Identify the legal defendant. </w:t>
      </w:r>
      <w:r>
        <w:t>Map the corporate group, employer, provider, occupier, contractor and public authority. Do not assume the brand is the defendant.</w:t>
      </w:r>
    </w:p>
    <w:p>
      <w:pPr>
        <w:ind w:left="403" w:hanging="403"/>
      </w:pPr>
      <w:r>
        <w:t xml:space="preserve">4.  </w:t>
      </w:r>
      <w:r>
        <w:rPr>
          <w:b/>
        </w:rPr>
        <w:t xml:space="preserve">Identify the duty. </w:t>
      </w:r>
      <w:r>
        <w:t>State the negligence duty owed specifically to the deceased and the relationship that created it.</w:t>
      </w:r>
    </w:p>
    <w:p>
      <w:pPr>
        <w:ind w:left="403" w:hanging="403"/>
      </w:pPr>
      <w:r>
        <w:t xml:space="preserve">5.  </w:t>
      </w:r>
      <w:r>
        <w:rPr>
          <w:b/>
        </w:rPr>
        <w:t xml:space="preserve">Define the alleged management breach. </w:t>
      </w:r>
      <w:r>
        <w:t>Describe the activity and system failure, not merely the tragic result.</w:t>
      </w:r>
    </w:p>
    <w:p>
      <w:pPr>
        <w:ind w:left="403" w:hanging="403"/>
      </w:pPr>
      <w:r>
        <w:t xml:space="preserve">6.  </w:t>
      </w:r>
      <w:r>
        <w:rPr>
          <w:b/>
        </w:rPr>
        <w:t xml:space="preserve">Map senior management. </w:t>
      </w:r>
      <w:r>
        <w:t>Identify people with significant decision making or managing roles over the whole or a substantial part of the relevant activity.</w:t>
      </w:r>
    </w:p>
    <w:p>
      <w:pPr>
        <w:ind w:left="403" w:hanging="403"/>
      </w:pPr>
      <w:r>
        <w:t xml:space="preserve">7.  </w:t>
      </w:r>
      <w:r>
        <w:rPr>
          <w:b/>
        </w:rPr>
        <w:t xml:space="preserve">Build the causal timeline. </w:t>
      </w:r>
      <w:r>
        <w:t>Set out exposure, warnings, decisions, intervention opportunities, injury, treatment and death. Record competing causal explanations.</w:t>
      </w:r>
    </w:p>
    <w:p>
      <w:pPr>
        <w:ind w:left="403" w:hanging="403"/>
      </w:pPr>
      <w:r>
        <w:t xml:space="preserve">8.  </w:t>
      </w:r>
      <w:r>
        <w:rPr>
          <w:b/>
        </w:rPr>
        <w:t xml:space="preserve">Test grossness. </w:t>
      </w:r>
      <w:r>
        <w:t>Compare law, guidance, industry practice, risk of death, duration, earlier incidents, accepted practices and cost decisions.</w:t>
      </w:r>
    </w:p>
    <w:p>
      <w:pPr>
        <w:ind w:left="403" w:hanging="403"/>
      </w:pPr>
      <w:r>
        <w:t xml:space="preserve">9.  </w:t>
      </w:r>
      <w:r>
        <w:rPr>
          <w:b/>
        </w:rPr>
        <w:t xml:space="preserve">Check exemptions and jurisdiction. </w:t>
      </w:r>
      <w:r>
        <w:t>Apply public function, emergency and territorial restrictions before recommending referral.</w:t>
      </w:r>
    </w:p>
    <w:p>
      <w:pPr>
        <w:ind w:left="403" w:hanging="403"/>
      </w:pPr>
      <w:r>
        <w:t xml:space="preserve">10.  </w:t>
      </w:r>
      <w:r>
        <w:rPr>
          <w:b/>
        </w:rPr>
        <w:t xml:space="preserve">Seek independent review. </w:t>
      </w:r>
      <w:r>
        <w:t>Have legal and relevant technical experts test both incriminating and exculpatory evidence before publication or referral.</w:t>
      </w:r>
    </w:p>
    <w:p>
      <w:pPr>
        <w:pStyle w:val="Heading2"/>
      </w:pPr>
      <w:r>
        <w:t>Evidence preservation</w:t>
      </w:r>
    </w:p>
    <w:p>
      <w:pPr>
        <w:pStyle w:val="ListBullet"/>
      </w:pPr>
      <w:r>
        <w:t>Keep original files read only and work from verified copies. Record where each item came from, when it was obtained and any lawful access restriction.</w:t>
      </w:r>
    </w:p>
    <w:p>
      <w:pPr>
        <w:pStyle w:val="ListBullet"/>
      </w:pPr>
      <w:r>
        <w:t>Preserve full emails and attachments with metadata, not screenshots alone. Record deleted or superseded policies and version history.</w:t>
      </w:r>
    </w:p>
    <w:p>
      <w:pPr>
        <w:pStyle w:val="ListBullet"/>
      </w:pPr>
      <w:r>
        <w:t>Do not coach witnesses or merge accounts. Record the witnesses own words, date, uncertainty and whether the account is first hand.</w:t>
      </w:r>
    </w:p>
    <w:p>
      <w:pPr>
        <w:pStyle w:val="ListBullet"/>
      </w:pPr>
      <w:r>
        <w:t>Use qualified experts who disclose instructions, materials, method, uncertainty and alternative explanations. Avoid asking an expert to decide the ultimate question of grossness.</w:t>
      </w:r>
    </w:p>
    <w:p>
      <w:pPr>
        <w:pStyle w:val="ListBullet"/>
      </w:pPr>
      <w:r>
        <w:t>Protect medical, employment and personal data. Share only through lawful channels and redact public copies.</w:t>
      </w:r>
    </w:p>
    <w:tbl>
      <w:tblPr>
        <w:tblW w:type="auto" w:w="0"/>
        <w:jc w:val="center"/>
        <w:tblLook w:firstColumn="1" w:firstRow="1" w:lastColumn="0" w:lastRow="0" w:noHBand="0" w:noVBand="1" w:val="04A0"/>
      </w:tblPr>
      <w:tblGrid>
        <w:gridCol w:w="9663"/>
      </w:tblGrid>
      <w:tr>
        <w:tc>
          <w:tcPr>
            <w:tcW w:type="dxa" w:w="9663"/>
            <w:shd w:fill="D9EAF7"/>
            <w:tcMar>
              <w:top w:w="130" w:type="dxa"/>
              <w:start w:w="160" w:type="dxa"/>
              <w:bottom w:w="130" w:type="dxa"/>
              <w:end w:w="160" w:type="dxa"/>
            </w:tcMar>
          </w:tcPr>
          <w:p>
            <w:pPr>
              <w:spacing w:after="80"/>
            </w:pPr>
            <w:r>
              <w:rPr>
                <w:b/>
                <w:color w:val="17365D"/>
              </w:rPr>
              <w:t>Minimum referral package</w:t>
            </w:r>
          </w:p>
          <w:p>
            <w:pPr>
              <w:spacing w:after="0"/>
            </w:pPr>
            <w:r>
              <w:t>A concise chronology, organisation and duty map, senior management chart, death and causation material, key warnings and standards, source index, unresolved questions, and a statement of exculpatory evidence. Authorities need the strongest evidence and the weaknesses, not a conclusion written in advance.</w:t>
            </w:r>
          </w:p>
        </w:tc>
        <w:trPr>
          <w:tblHeader/>
        </w:trPr>
      </w:tr>
    </w:tbl>
    <w:p>
      <w:pPr>
        <w:pStyle w:val="Heading1"/>
        <w:pBdr>
          <w:bottom w:val="single" w:sz="8" w:space="4" w:color="2F5597"/>
        </w:pBdr>
      </w:pPr>
      <w:r>
        <w:t>Reporting and legal routes</w:t>
      </w:r>
    </w:p>
    <w:tbl>
      <w:tblPr>
        <w:tblStyle w:val="TableGrid"/>
        <w:tblW w:type="auto" w:w="0"/>
        <w:jc w:val="center"/>
        <w:tblLayout w:type="fixed"/>
        <w:tblLook w:firstColumn="1" w:firstRow="1" w:lastColumn="0" w:lastRow="0" w:noHBand="0" w:noVBand="1" w:val="04A0"/>
      </w:tblPr>
      <w:tblGrid>
        <w:gridCol w:w="3221"/>
        <w:gridCol w:w="3221"/>
        <w:gridCol w:w="3221"/>
      </w:tblGrid>
      <w:tr>
        <w:trPr>
          <w:tblHeader w:val="true"/>
        </w:trPr>
        <w:tc>
          <w:tcPr>
            <w:tcW w:type="dxa" w:w="2448"/>
            <w:shd w:fill="17365D"/>
            <w:tcMar>
              <w:top w:w="80" w:type="dxa"/>
              <w:start w:w="90" w:type="dxa"/>
              <w:bottom w:w="80" w:type="dxa"/>
              <w:end w:w="90" w:type="dxa"/>
            </w:tcMar>
            <w:vAlign w:val="center"/>
          </w:tcPr>
          <w:p>
            <w:pPr>
              <w:jc w:val="left"/>
            </w:pPr>
            <w:r>
              <w:rPr>
                <w:b/>
                <w:color w:val="FFFFFF"/>
                <w:sz w:val="16"/>
              </w:rPr>
              <w:t>Concern</w:t>
            </w:r>
          </w:p>
        </w:tc>
        <w:tc>
          <w:tcPr>
            <w:tcW w:type="dxa" w:w="3096"/>
            <w:shd w:fill="17365D"/>
            <w:tcMar>
              <w:top w:w="80" w:type="dxa"/>
              <w:start w:w="90" w:type="dxa"/>
              <w:bottom w:w="80" w:type="dxa"/>
              <w:end w:w="90" w:type="dxa"/>
            </w:tcMar>
            <w:vAlign w:val="center"/>
          </w:tcPr>
          <w:p>
            <w:pPr>
              <w:jc w:val="left"/>
            </w:pPr>
            <w:r>
              <w:rPr>
                <w:b/>
                <w:color w:val="FFFFFF"/>
                <w:sz w:val="16"/>
              </w:rPr>
              <w:t>Primary route</w:t>
            </w:r>
          </w:p>
        </w:tc>
        <w:tc>
          <w:tcPr>
            <w:tcW w:type="dxa" w:w="4248"/>
            <w:shd w:fill="17365D"/>
            <w:tcMar>
              <w:top w:w="80" w:type="dxa"/>
              <w:start w:w="90" w:type="dxa"/>
              <w:bottom w:w="80" w:type="dxa"/>
              <w:end w:w="90" w:type="dxa"/>
            </w:tcMar>
            <w:vAlign w:val="center"/>
          </w:tcPr>
          <w:p>
            <w:pPr>
              <w:jc w:val="left"/>
            </w:pPr>
            <w:r>
              <w:rPr>
                <w:b/>
                <w:color w:val="FFFFFF"/>
                <w:sz w:val="16"/>
              </w:rPr>
              <w:t>Notes</w:t>
            </w:r>
          </w:p>
        </w:tc>
      </w:tr>
      <w:tr>
        <w:trPr>
          <w:cantSplit/>
        </w:trPr>
        <w:tc>
          <w:tcPr>
            <w:tcW w:type="dxa" w:w="2448"/>
            <w:tcMar>
              <w:top w:w="80" w:type="dxa"/>
              <w:start w:w="90" w:type="dxa"/>
              <w:bottom w:w="80" w:type="dxa"/>
              <w:end w:w="90" w:type="dxa"/>
            </w:tcMar>
            <w:vAlign w:val="top"/>
          </w:tcPr>
          <w:p>
            <w:r>
              <w:rPr>
                <w:sz w:val="16"/>
              </w:rPr>
              <w:t>Immediate danger or suspected crime</w:t>
            </w:r>
          </w:p>
        </w:tc>
        <w:tc>
          <w:tcPr>
            <w:tcW w:type="dxa" w:w="3096"/>
            <w:tcMar>
              <w:top w:w="80" w:type="dxa"/>
              <w:start w:w="90" w:type="dxa"/>
              <w:bottom w:w="80" w:type="dxa"/>
              <w:end w:w="90" w:type="dxa"/>
            </w:tcMar>
            <w:vAlign w:val="top"/>
          </w:tcPr>
          <w:p>
            <w:r>
              <w:rPr>
                <w:sz w:val="16"/>
              </w:rPr>
              <w:t>Police using 999 for emergency or 101 otherwise</w:t>
            </w:r>
          </w:p>
        </w:tc>
        <w:tc>
          <w:tcPr>
            <w:tcW w:type="dxa" w:w="4248"/>
            <w:tcMar>
              <w:top w:w="80" w:type="dxa"/>
              <w:start w:w="90" w:type="dxa"/>
              <w:bottom w:w="80" w:type="dxa"/>
              <w:end w:w="90" w:type="dxa"/>
            </w:tcMar>
            <w:vAlign w:val="top"/>
          </w:tcPr>
          <w:p>
            <w:r>
              <w:rPr>
                <w:sz w:val="16"/>
              </w:rPr>
              <w:t>A work related death is normally investigated under the Work Related Deaths Protocol with relevant regulators</w:t>
            </w:r>
          </w:p>
        </w:tc>
      </w:tr>
      <w:tr>
        <w:trPr>
          <w:cantSplit/>
        </w:trPr>
        <w:tc>
          <w:tcPr>
            <w:tcW w:type="dxa" w:w="2448"/>
            <w:tcMar>
              <w:top w:w="80" w:type="dxa"/>
              <w:start w:w="90" w:type="dxa"/>
              <w:bottom w:w="80" w:type="dxa"/>
              <w:end w:w="90" w:type="dxa"/>
            </w:tcMar>
            <w:vAlign w:val="top"/>
            <w:shd w:fill="EEF3F8"/>
          </w:tcPr>
          <w:p>
            <w:r>
              <w:rPr>
                <w:sz w:val="16"/>
              </w:rPr>
              <w:t>Workplace construction or manufacturing risk</w:t>
            </w:r>
          </w:p>
        </w:tc>
        <w:tc>
          <w:tcPr>
            <w:tcW w:type="dxa" w:w="3096"/>
            <w:tcMar>
              <w:top w:w="80" w:type="dxa"/>
              <w:start w:w="90" w:type="dxa"/>
              <w:bottom w:w="80" w:type="dxa"/>
              <w:end w:w="90" w:type="dxa"/>
            </w:tcMar>
            <w:vAlign w:val="top"/>
            <w:shd w:fill="EEF3F8"/>
          </w:tcPr>
          <w:p>
            <w:r>
              <w:rPr>
                <w:sz w:val="16"/>
              </w:rPr>
              <w:t>HSE or relevant local authority</w:t>
            </w:r>
          </w:p>
        </w:tc>
        <w:tc>
          <w:tcPr>
            <w:tcW w:type="dxa" w:w="4248"/>
            <w:tcMar>
              <w:top w:w="80" w:type="dxa"/>
              <w:start w:w="90" w:type="dxa"/>
              <w:bottom w:w="80" w:type="dxa"/>
              <w:end w:w="90" w:type="dxa"/>
            </w:tcMar>
            <w:vAlign w:val="top"/>
            <w:shd w:fill="EEF3F8"/>
          </w:tcPr>
          <w:p>
            <w:r>
              <w:rPr>
                <w:sz w:val="16"/>
              </w:rPr>
              <w:t>HSE may investigate and prosecute health and safety offences; police lead homicide investigation</w:t>
            </w:r>
          </w:p>
        </w:tc>
      </w:tr>
      <w:tr>
        <w:trPr>
          <w:cantSplit/>
        </w:trPr>
        <w:tc>
          <w:tcPr>
            <w:tcW w:type="dxa" w:w="2448"/>
            <w:tcMar>
              <w:top w:w="80" w:type="dxa"/>
              <w:start w:w="90" w:type="dxa"/>
              <w:bottom w:w="80" w:type="dxa"/>
              <w:end w:w="90" w:type="dxa"/>
            </w:tcMar>
            <w:vAlign w:val="top"/>
          </w:tcPr>
          <w:p>
            <w:r>
              <w:rPr>
                <w:sz w:val="16"/>
              </w:rPr>
              <w:t>Health or social care provider</w:t>
            </w:r>
          </w:p>
        </w:tc>
        <w:tc>
          <w:tcPr>
            <w:tcW w:type="dxa" w:w="3096"/>
            <w:tcMar>
              <w:top w:w="80" w:type="dxa"/>
              <w:start w:w="90" w:type="dxa"/>
              <w:bottom w:w="80" w:type="dxa"/>
              <w:end w:w="90" w:type="dxa"/>
            </w:tcMar>
            <w:vAlign w:val="top"/>
          </w:tcPr>
          <w:p>
            <w:r>
              <w:rPr>
                <w:sz w:val="16"/>
              </w:rPr>
              <w:t>CQC in England plus police where crime suspected</w:t>
            </w:r>
          </w:p>
        </w:tc>
        <w:tc>
          <w:tcPr>
            <w:tcW w:type="dxa" w:w="4248"/>
            <w:tcMar>
              <w:top w:w="80" w:type="dxa"/>
              <w:start w:w="90" w:type="dxa"/>
              <w:bottom w:w="80" w:type="dxa"/>
              <w:end w:w="90" w:type="dxa"/>
            </w:tcMar>
            <w:vAlign w:val="top"/>
          </w:tcPr>
          <w:p>
            <w:r>
              <w:rPr>
                <w:sz w:val="16"/>
              </w:rPr>
              <w:t>CQC can prosecute specified fundamental standard offences; NHS bodies and private corporate providers may also fall within the 2007 Act</w:t>
            </w:r>
          </w:p>
        </w:tc>
      </w:tr>
      <w:tr>
        <w:trPr>
          <w:cantSplit/>
        </w:trPr>
        <w:tc>
          <w:tcPr>
            <w:tcW w:type="dxa" w:w="2448"/>
            <w:tcMar>
              <w:top w:w="80" w:type="dxa"/>
              <w:start w:w="90" w:type="dxa"/>
              <w:bottom w:w="80" w:type="dxa"/>
              <w:end w:w="90" w:type="dxa"/>
            </w:tcMar>
            <w:vAlign w:val="top"/>
            <w:shd w:fill="EEF3F8"/>
          </w:tcPr>
          <w:p>
            <w:r>
              <w:rPr>
                <w:sz w:val="16"/>
              </w:rPr>
              <w:t>Medicine or medical product</w:t>
            </w:r>
          </w:p>
        </w:tc>
        <w:tc>
          <w:tcPr>
            <w:tcW w:type="dxa" w:w="3096"/>
            <w:tcMar>
              <w:top w:w="80" w:type="dxa"/>
              <w:start w:w="90" w:type="dxa"/>
              <w:bottom w:w="80" w:type="dxa"/>
              <w:end w:w="90" w:type="dxa"/>
            </w:tcMar>
            <w:vAlign w:val="top"/>
            <w:shd w:fill="EEF3F8"/>
          </w:tcPr>
          <w:p>
            <w:r>
              <w:rPr>
                <w:sz w:val="16"/>
              </w:rPr>
              <w:t>MHRA Yellow Card and MHRA compliance channels</w:t>
            </w:r>
          </w:p>
        </w:tc>
        <w:tc>
          <w:tcPr>
            <w:tcW w:type="dxa" w:w="4248"/>
            <w:tcMar>
              <w:top w:w="80" w:type="dxa"/>
              <w:start w:w="90" w:type="dxa"/>
              <w:bottom w:w="80" w:type="dxa"/>
              <w:end w:w="90" w:type="dxa"/>
            </w:tcMar>
            <w:vAlign w:val="top"/>
            <w:shd w:fill="EEF3F8"/>
          </w:tcPr>
          <w:p>
            <w:r>
              <w:rPr>
                <w:sz w:val="16"/>
              </w:rPr>
              <w:t>Also raise urgent clinical risk with prescriber, pharmacist or NHS service; suspected diversion or crime to police</w:t>
            </w:r>
          </w:p>
        </w:tc>
      </w:tr>
      <w:tr>
        <w:trPr>
          <w:cantSplit/>
        </w:trPr>
        <w:tc>
          <w:tcPr>
            <w:tcW w:type="dxa" w:w="2448"/>
            <w:tcMar>
              <w:top w:w="80" w:type="dxa"/>
              <w:start w:w="90" w:type="dxa"/>
              <w:bottom w:w="80" w:type="dxa"/>
              <w:end w:w="90" w:type="dxa"/>
            </w:tcMar>
            <w:vAlign w:val="top"/>
          </w:tcPr>
          <w:p>
            <w:r>
              <w:rPr>
                <w:sz w:val="16"/>
              </w:rPr>
              <w:t>Professional conduct</w:t>
            </w:r>
          </w:p>
        </w:tc>
        <w:tc>
          <w:tcPr>
            <w:tcW w:type="dxa" w:w="3096"/>
            <w:tcMar>
              <w:top w:w="80" w:type="dxa"/>
              <w:start w:w="90" w:type="dxa"/>
              <w:bottom w:w="80" w:type="dxa"/>
              <w:end w:w="90" w:type="dxa"/>
            </w:tcMar>
            <w:vAlign w:val="top"/>
          </w:tcPr>
          <w:p>
            <w:r>
              <w:rPr>
                <w:sz w:val="16"/>
              </w:rPr>
              <w:t>GMC, NMC, GPhC or relevant regulator</w:t>
            </w:r>
          </w:p>
        </w:tc>
        <w:tc>
          <w:tcPr>
            <w:tcW w:type="dxa" w:w="4248"/>
            <w:tcMar>
              <w:top w:w="80" w:type="dxa"/>
              <w:start w:w="90" w:type="dxa"/>
              <w:bottom w:w="80" w:type="dxa"/>
              <w:end w:w="90" w:type="dxa"/>
            </w:tcMar>
            <w:vAlign w:val="top"/>
          </w:tcPr>
          <w:p>
            <w:r>
              <w:rPr>
                <w:sz w:val="16"/>
              </w:rPr>
              <w:t>Professional discipline is distinct from organisational criminal liability</w:t>
            </w:r>
          </w:p>
        </w:tc>
      </w:tr>
      <w:tr>
        <w:trPr>
          <w:cantSplit/>
        </w:trPr>
        <w:tc>
          <w:tcPr>
            <w:tcW w:type="dxa" w:w="2448"/>
            <w:tcMar>
              <w:top w:w="80" w:type="dxa"/>
              <w:start w:w="90" w:type="dxa"/>
              <w:bottom w:w="80" w:type="dxa"/>
              <w:end w:w="90" w:type="dxa"/>
            </w:tcMar>
            <w:vAlign w:val="top"/>
            <w:shd w:fill="EEF3F8"/>
          </w:tcPr>
          <w:p>
            <w:r>
              <w:rPr>
                <w:sz w:val="16"/>
              </w:rPr>
              <w:t>Death requiring judicial investigation</w:t>
            </w:r>
          </w:p>
        </w:tc>
        <w:tc>
          <w:tcPr>
            <w:tcW w:type="dxa" w:w="3096"/>
            <w:tcMar>
              <w:top w:w="80" w:type="dxa"/>
              <w:start w:w="90" w:type="dxa"/>
              <w:bottom w:w="80" w:type="dxa"/>
              <w:end w:w="90" w:type="dxa"/>
            </w:tcMar>
            <w:vAlign w:val="top"/>
            <w:shd w:fill="EEF3F8"/>
          </w:tcPr>
          <w:p>
            <w:r>
              <w:rPr>
                <w:sz w:val="16"/>
              </w:rPr>
              <w:t>Coroner in England and Wales or procurator fiscal in Scotland</w:t>
            </w:r>
          </w:p>
        </w:tc>
        <w:tc>
          <w:tcPr>
            <w:tcW w:type="dxa" w:w="4248"/>
            <w:tcMar>
              <w:top w:w="80" w:type="dxa"/>
              <w:start w:w="90" w:type="dxa"/>
              <w:bottom w:w="80" w:type="dxa"/>
              <w:end w:w="90" w:type="dxa"/>
            </w:tcMar>
            <w:vAlign w:val="top"/>
            <w:shd w:fill="EEF3F8"/>
          </w:tcPr>
          <w:p>
            <w:r>
              <w:rPr>
                <w:sz w:val="16"/>
              </w:rPr>
              <w:t>Inquests and fatal accident inquiries establish facts and may issue prevention findings but do not convict an organisation</w:t>
            </w:r>
          </w:p>
        </w:tc>
      </w:tr>
      <w:tr>
        <w:trPr>
          <w:cantSplit/>
        </w:trPr>
        <w:tc>
          <w:tcPr>
            <w:tcW w:type="dxa" w:w="2448"/>
            <w:tcMar>
              <w:top w:w="80" w:type="dxa"/>
              <w:start w:w="90" w:type="dxa"/>
              <w:bottom w:w="80" w:type="dxa"/>
              <w:end w:w="90" w:type="dxa"/>
            </w:tcMar>
            <w:vAlign w:val="top"/>
          </w:tcPr>
          <w:p>
            <w:r>
              <w:rPr>
                <w:sz w:val="16"/>
              </w:rPr>
              <w:t>Systemic public service concern</w:t>
            </w:r>
          </w:p>
        </w:tc>
        <w:tc>
          <w:tcPr>
            <w:tcW w:type="dxa" w:w="3096"/>
            <w:tcMar>
              <w:top w:w="80" w:type="dxa"/>
              <w:start w:w="90" w:type="dxa"/>
              <w:bottom w:w="80" w:type="dxa"/>
              <w:end w:w="90" w:type="dxa"/>
            </w:tcMar>
            <w:vAlign w:val="top"/>
          </w:tcPr>
          <w:p>
            <w:r>
              <w:rPr>
                <w:sz w:val="16"/>
              </w:rPr>
              <w:t>Ombudsman, statutory inquiry, parliamentary or inspectorate route</w:t>
            </w:r>
          </w:p>
        </w:tc>
        <w:tc>
          <w:tcPr>
            <w:tcW w:type="dxa" w:w="4248"/>
            <w:tcMar>
              <w:top w:w="80" w:type="dxa"/>
              <w:start w:w="90" w:type="dxa"/>
              <w:bottom w:w="80" w:type="dxa"/>
              <w:end w:w="90" w:type="dxa"/>
            </w:tcMar>
            <w:vAlign w:val="top"/>
          </w:tcPr>
          <w:p>
            <w:r>
              <w:rPr>
                <w:sz w:val="16"/>
              </w:rPr>
              <w:t>May expose records and lessons; separate criminal proof remains necessary</w:t>
            </w:r>
          </w:p>
        </w:tc>
      </w:tr>
    </w:tbl>
    <w:p>
      <w:pPr>
        <w:spacing w:after="0"/>
      </w:pPr>
    </w:p>
    <w:p>
      <w:pPr>
        <w:pStyle w:val="Heading1"/>
        <w:pBdr>
          <w:bottom w:val="single" w:sz="8" w:space="4" w:color="2F5597"/>
        </w:pBdr>
      </w:pPr>
      <w:r>
        <w:t>Findings and recommendations</w:t>
      </w:r>
    </w:p>
    <w:p>
      <w:pPr>
        <w:ind w:left="403" w:hanging="403"/>
      </w:pPr>
      <w:r>
        <w:t xml:space="preserve">1.  </w:t>
      </w:r>
      <w:r>
        <w:rPr>
          <w:b/>
        </w:rPr>
        <w:t xml:space="preserve">Publish a national outcomes register. </w:t>
      </w:r>
      <w:r>
        <w:t>A single official register should identify corporate manslaughter referrals, charges, pleas, verdicts, sentences and reasons for discontinuance, with privacy safeguards.</w:t>
      </w:r>
    </w:p>
    <w:p>
      <w:pPr>
        <w:ind w:left="403" w:hanging="403"/>
      </w:pPr>
      <w:r>
        <w:t xml:space="preserve">2.  </w:t>
      </w:r>
      <w:r>
        <w:rPr>
          <w:b/>
        </w:rPr>
        <w:t xml:space="preserve">Link deaths across systems. </w:t>
      </w:r>
      <w:r>
        <w:t>Coroner, police, HSE, CQC, MHRA and sector datasets should use compatible identifiers so repeated organisational warnings are not lost.</w:t>
      </w:r>
    </w:p>
    <w:p>
      <w:pPr>
        <w:ind w:left="403" w:hanging="403"/>
      </w:pPr>
      <w:r>
        <w:t xml:space="preserve">3.  </w:t>
      </w:r>
      <w:r>
        <w:rPr>
          <w:b/>
        </w:rPr>
        <w:t xml:space="preserve">Record delayed deaths. </w:t>
      </w:r>
      <w:r>
        <w:t>Fatality reporting should show occupational disease and delayed treatment or exposure deaths separately from immediate accidents, without double counting.</w:t>
      </w:r>
    </w:p>
    <w:p>
      <w:pPr>
        <w:ind w:left="403" w:hanging="403"/>
      </w:pPr>
      <w:r>
        <w:t xml:space="preserve">4.  </w:t>
      </w:r>
      <w:r>
        <w:rPr>
          <w:b/>
        </w:rPr>
        <w:t xml:space="preserve">Strengthen public explanations. </w:t>
      </w:r>
      <w:r>
        <w:t>Authorities should publish plain language explanations of the statutory test, evidence needed and reporting routes, including accessible formats.</w:t>
      </w:r>
    </w:p>
    <w:p>
      <w:pPr>
        <w:ind w:left="403" w:hanging="403"/>
      </w:pPr>
      <w:r>
        <w:t xml:space="preserve">5.  </w:t>
      </w:r>
      <w:r>
        <w:rPr>
          <w:b/>
        </w:rPr>
        <w:t xml:space="preserve">Audit senior management evidence early. </w:t>
      </w:r>
      <w:r>
        <w:t>Investigators should map delegated authority, actual control, budgets and risk escalation at the beginning rather than after operational evidence is complete.</w:t>
      </w:r>
    </w:p>
    <w:p>
      <w:pPr>
        <w:ind w:left="403" w:hanging="403"/>
      </w:pPr>
      <w:r>
        <w:t xml:space="preserve">6.  </w:t>
      </w:r>
      <w:r>
        <w:rPr>
          <w:b/>
        </w:rPr>
        <w:t xml:space="preserve">Protect candour without creating immunity. </w:t>
      </w:r>
      <w:r>
        <w:t>Early disclosure, cooperation and remediation should be recognised in charging and sentencing where law permits, but honest reporting does not erase a completed offence.</w:t>
      </w:r>
    </w:p>
    <w:p>
      <w:pPr>
        <w:ind w:left="403" w:hanging="403"/>
      </w:pPr>
      <w:r>
        <w:t xml:space="preserve">7.  </w:t>
      </w:r>
      <w:r>
        <w:rPr>
          <w:b/>
        </w:rPr>
        <w:t xml:space="preserve">Test alternative explanations. </w:t>
      </w:r>
      <w:r>
        <w:t>Every case file should include evidence that weakens the hypothesis, especially in medicine, mental health, toxic exposure and multi actor chains.</w:t>
      </w:r>
    </w:p>
    <w:p>
      <w:pPr>
        <w:ind w:left="403" w:hanging="403"/>
      </w:pPr>
      <w:r>
        <w:t xml:space="preserve">8.  </w:t>
      </w:r>
      <w:r>
        <w:rPr>
          <w:b/>
        </w:rPr>
        <w:t xml:space="preserve">Review the Act's effectiveness. </w:t>
      </w:r>
      <w:r>
        <w:t>Parliament and enforcement bodies should examine the low number of cases involving large organisations, the senior management test, lengthy delays and the practical value of publicity and remedial orders.</w:t>
      </w:r>
    </w:p>
    <w:p>
      <w:r>
        <w:t>The guiding principle is prospective protection grounded in lawful accountability. Justice should recognise those who died, require honest examination of preventable failure, and improve future systems. It should not treat grief, suspicion or institutional power as substitutes for evidence. Responsibility accepted early can protect people, preserve trust and reduce the need for punishment; where responsibility is denied, the answer must still be fair investigation rather than presumption.</w:t>
      </w:r>
    </w:p>
    <w:p>
      <w:pPr>
        <w:pStyle w:val="Heading1"/>
        <w:pBdr>
          <w:bottom w:val="single" w:sz="8" w:space="4" w:color="2F5597"/>
        </w:pBdr>
      </w:pPr>
      <w:r>
        <w:t>Conclusion</w:t>
      </w:r>
    </w:p>
    <w:p>
      <w:r>
        <w:t>Corporate manslaughter is neither a private company offence nor an automatic label for organisationally connected death. It can apply across industry and parts of the public sector, including construction, manufacturing, energy, retail, private medicine, care and NHS bodies. Its narrow centre is a death caused by a gross organisational breach in which senior management's management or organisation was a substantial element.</w:t>
      </w:r>
    </w:p>
    <w:p>
      <w:r>
        <w:t>The ten year construction and manufacturing baseline records 540 direct worker deaths, while occupational disease estimates show a much larger, differently measured burden of delayed death. The initial 30 matter register demonstrates both successful use of the Act and repeated movement into health and safety, regulatory, inquiry or no charge outcomes. The known figures are a minimum and are expected to rise as the investigation expands. That expectation justifies careful screening and public education, not inflated allegation.</w:t>
      </w:r>
    </w:p>
    <w:p>
      <w:r>
        <w:t>The next stage should verify every table entry against primary court or regulator material, expand the sector register, obtain information on referrals and non charging decisions, and develop detailed case files for any matter whose evidence crosses the statutory threshold. Completed material can then be presented to appropriate authorities as a request for closer examination in the interests of public care, prevention and fair justice.</w:t>
      </w:r>
    </w:p>
    <w:p>
      <w:pPr>
        <w:pStyle w:val="Heading1"/>
        <w:pBdr>
          <w:bottom w:val="single" w:sz="8" w:space="4" w:color="2F5597"/>
        </w:pBdr>
      </w:pPr>
      <w:r>
        <w:t>Sources</w:t>
      </w:r>
    </w:p>
    <w:p>
      <w:pPr>
        <w:pStyle w:val="Source"/>
      </w:pPr>
      <w:r>
        <w:rPr>
          <w:b/>
        </w:rPr>
        <w:t xml:space="preserve">1. Corporate Manslaughter and Corporate Homicide Act 2007. </w:t>
      </w:r>
      <w:r>
        <w:t xml:space="preserve">UK Parliament, current text accessed September 2026. </w:t>
      </w:r>
      <w:hyperlink r:id="rId11">
        <w:r>
          <w:rPr>
            <w:color w:val="2F5597"/>
            <w:u w:val="single"/>
          </w:rPr>
          <w:t>Source link</w:t>
        </w:r>
      </w:hyperlink>
    </w:p>
    <w:p>
      <w:pPr>
        <w:pStyle w:val="Source"/>
      </w:pPr>
      <w:r>
        <w:rPr>
          <w:b/>
        </w:rPr>
        <w:t xml:space="preserve">2. Explanatory Notes to the Corporate Manslaughter and Corporate Homicide Act 2007. </w:t>
      </w:r>
      <w:r>
        <w:t xml:space="preserve">UK Parliament, 2007. </w:t>
      </w:r>
      <w:hyperlink r:id="rId12">
        <w:r>
          <w:rPr>
            <w:color w:val="2F5597"/>
            <w:u w:val="single"/>
          </w:rPr>
          <w:t>Source link</w:t>
        </w:r>
      </w:hyperlink>
    </w:p>
    <w:p>
      <w:pPr>
        <w:pStyle w:val="Source"/>
      </w:pPr>
      <w:r>
        <w:rPr>
          <w:b/>
        </w:rPr>
        <w:t xml:space="preserve">3. Corporate Manslaughter prosecution guidance. </w:t>
      </w:r>
      <w:r>
        <w:t xml:space="preserve">Crown Prosecution Service, updated 16 July 2018. </w:t>
      </w:r>
      <w:hyperlink r:id="rId13">
        <w:r>
          <w:rPr>
            <w:color w:val="2F5597"/>
            <w:u w:val="single"/>
          </w:rPr>
          <w:t>Source link</w:t>
        </w:r>
      </w:hyperlink>
    </w:p>
    <w:p>
      <w:pPr>
        <w:pStyle w:val="Source"/>
      </w:pPr>
      <w:r>
        <w:rPr>
          <w:b/>
        </w:rPr>
        <w:t xml:space="preserve">4. Corporate manslaughter sentencing guideline. </w:t>
      </w:r>
      <w:r>
        <w:t xml:space="preserve">Sentencing Council, effective 1 February 2016. </w:t>
      </w:r>
      <w:hyperlink r:id="rId14">
        <w:r>
          <w:rPr>
            <w:color w:val="2F5597"/>
            <w:u w:val="single"/>
          </w:rPr>
          <w:t>Source link</w:t>
        </w:r>
      </w:hyperlink>
    </w:p>
    <w:p>
      <w:pPr>
        <w:pStyle w:val="Source"/>
      </w:pPr>
      <w:r>
        <w:rPr>
          <w:b/>
        </w:rPr>
        <w:t xml:space="preserve">5. Work related fatal injuries in Great Britain and RIDFATAL data tables. </w:t>
      </w:r>
      <w:r>
        <w:t xml:space="preserve">Health and Safety Executive, 2026 release. </w:t>
      </w:r>
      <w:hyperlink r:id="rId15">
        <w:r>
          <w:rPr>
            <w:color w:val="2F5597"/>
            <w:u w:val="single"/>
          </w:rPr>
          <w:t>Source link</w:t>
        </w:r>
      </w:hyperlink>
    </w:p>
    <w:p>
      <w:pPr>
        <w:pStyle w:val="Source"/>
      </w:pPr>
      <w:r>
        <w:rPr>
          <w:b/>
        </w:rPr>
        <w:t xml:space="preserve">6. Work related lung disease statistics. </w:t>
      </w:r>
      <w:r>
        <w:t xml:space="preserve">Health and Safety Executive, accessed September 2026. </w:t>
      </w:r>
      <w:hyperlink r:id="rId16">
        <w:r>
          <w:rPr>
            <w:color w:val="2F5597"/>
            <w:u w:val="single"/>
          </w:rPr>
          <w:t>Source link</w:t>
        </w:r>
      </w:hyperlink>
    </w:p>
    <w:p>
      <w:pPr>
        <w:pStyle w:val="Source"/>
      </w:pPr>
      <w:r>
        <w:rPr>
          <w:b/>
        </w:rPr>
        <w:t xml:space="preserve">7. Health and safety at work summary statistics. </w:t>
      </w:r>
      <w:r>
        <w:t xml:space="preserve">Health and Safety Executive, accessed September 2026. </w:t>
      </w:r>
      <w:hyperlink r:id="rId17">
        <w:r>
          <w:rPr>
            <w:color w:val="2F5597"/>
            <w:u w:val="single"/>
          </w:rPr>
          <w:t>Source link</w:t>
        </w:r>
      </w:hyperlink>
    </w:p>
    <w:p>
      <w:pPr>
        <w:pStyle w:val="Source"/>
      </w:pPr>
      <w:r>
        <w:rPr>
          <w:b/>
        </w:rPr>
        <w:t xml:space="preserve">8. Enforcement policy and prosecution information. </w:t>
      </w:r>
      <w:r>
        <w:t xml:space="preserve">Care Quality Commission, accessed September 2026. </w:t>
      </w:r>
      <w:hyperlink r:id="rId18">
        <w:r>
          <w:rPr>
            <w:color w:val="2F5597"/>
            <w:u w:val="single"/>
          </w:rPr>
          <w:t>Source link</w:t>
        </w:r>
      </w:hyperlink>
    </w:p>
    <w:p>
      <w:pPr>
        <w:pStyle w:val="Source"/>
      </w:pPr>
      <w:r>
        <w:rPr>
          <w:b/>
        </w:rPr>
        <w:t xml:space="preserve">9. How medicines are licensed and monitored. </w:t>
      </w:r>
      <w:r>
        <w:t xml:space="preserve">Medicines and Healthcare products Regulatory Agency, accessed September 2026. </w:t>
      </w:r>
      <w:hyperlink r:id="rId19">
        <w:r>
          <w:rPr>
            <w:color w:val="2F5597"/>
            <w:u w:val="single"/>
          </w:rPr>
          <w:t>Source link</w:t>
        </w:r>
      </w:hyperlink>
    </w:p>
    <w:p>
      <w:pPr>
        <w:pStyle w:val="Source"/>
      </w:pPr>
      <w:r>
        <w:rPr>
          <w:b/>
        </w:rPr>
        <w:t xml:space="preserve">10. Pregabalin and gabapentin risk of severe respiratory depression. </w:t>
      </w:r>
      <w:r>
        <w:t xml:space="preserve">Medicines and Healthcare products Regulatory Agency, Drug Safety Update. </w:t>
      </w:r>
      <w:hyperlink r:id="rId20">
        <w:r>
          <w:rPr>
            <w:color w:val="2F5597"/>
            <w:u w:val="single"/>
          </w:rPr>
          <w:t>Source link</w:t>
        </w:r>
      </w:hyperlink>
    </w:p>
    <w:p>
      <w:pPr>
        <w:pStyle w:val="Source"/>
      </w:pPr>
      <w:r>
        <w:rPr>
          <w:b/>
        </w:rPr>
        <w:t xml:space="preserve">11. Accessible Information Standard. </w:t>
      </w:r>
      <w:r>
        <w:t xml:space="preserve">NHS England, accessed September 2026. </w:t>
      </w:r>
      <w:hyperlink r:id="rId21">
        <w:r>
          <w:rPr>
            <w:color w:val="2F5597"/>
            <w:u w:val="single"/>
          </w:rPr>
          <w:t>Source link</w:t>
        </w:r>
      </w:hyperlink>
    </w:p>
    <w:p>
      <w:pPr>
        <w:pStyle w:val="Source"/>
      </w:pPr>
      <w:r>
        <w:rPr>
          <w:b/>
        </w:rPr>
        <w:t xml:space="preserve">12. Equality Act 2010 guidance. </w:t>
      </w:r>
      <w:r>
        <w:t xml:space="preserve">UK Government, accessed September 2026. </w:t>
      </w:r>
      <w:hyperlink r:id="rId22">
        <w:r>
          <w:rPr>
            <w:color w:val="2F5597"/>
            <w:u w:val="single"/>
          </w:rPr>
          <w:t>Source link</w:t>
        </w:r>
      </w:hyperlink>
    </w:p>
    <w:p>
      <w:pPr>
        <w:pStyle w:val="Source"/>
      </w:pPr>
      <w:r>
        <w:rPr>
          <w:b/>
        </w:rPr>
        <w:t xml:space="preserve">13. Still getting away with murder the failures of Corporate Manslaughter law in the UK. </w:t>
      </w:r>
      <w:r>
        <w:t xml:space="preserve">Steve Tombs, Journal of Poverty and Social Justice, 2026. </w:t>
      </w:r>
      <w:hyperlink r:id="rId23">
        <w:r>
          <w:rPr>
            <w:color w:val="2F5597"/>
            <w:u w:val="single"/>
          </w:rPr>
          <w:t>Source link</w:t>
        </w:r>
      </w:hyperlink>
    </w:p>
    <w:p>
      <w:pPr>
        <w:pStyle w:val="Source"/>
      </w:pPr>
      <w:r>
        <w:rPr>
          <w:b/>
        </w:rPr>
        <w:t xml:space="preserve">14. Criminal Law in Healthcare Part 1 Corporate Manslaughter. </w:t>
      </w:r>
      <w:r>
        <w:t xml:space="preserve">Doughty Street Chambers, 10 June 2025. </w:t>
      </w:r>
      <w:hyperlink r:id="rId24">
        <w:r>
          <w:rPr>
            <w:color w:val="2F5597"/>
            <w:u w:val="single"/>
          </w:rPr>
          <w:t>Source link</w:t>
        </w:r>
      </w:hyperlink>
    </w:p>
    <w:p>
      <w:pPr>
        <w:pStyle w:val="Source"/>
      </w:pPr>
      <w:r>
        <w:rPr>
          <w:b/>
        </w:rPr>
        <w:t xml:space="preserve">15. Corporate manslaughter case outcomes freedom of information disclosure. </w:t>
      </w:r>
      <w:r>
        <w:t xml:space="preserve">Crown Prosecution Service, 2017. </w:t>
      </w:r>
      <w:hyperlink r:id="rId25">
        <w:r>
          <w:rPr>
            <w:color w:val="2F5597"/>
            <w:u w:val="single"/>
          </w:rPr>
          <w:t>Source link</w:t>
        </w:r>
      </w:hyperlink>
    </w:p>
    <w:p>
      <w:pPr>
        <w:pStyle w:val="Source"/>
      </w:pPr>
      <w:r>
        <w:rPr>
          <w:b/>
        </w:rPr>
        <w:t xml:space="preserve">16. Monavon Construction sentencing under new guideline. </w:t>
      </w:r>
      <w:r>
        <w:t xml:space="preserve">Pinsent Masons, 2016. </w:t>
      </w:r>
      <w:hyperlink r:id="rId26">
        <w:r>
          <w:rPr>
            <w:color w:val="2F5597"/>
            <w:u w:val="single"/>
          </w:rPr>
          <w:t>Source link</w:t>
        </w:r>
      </w:hyperlink>
    </w:p>
    <w:p>
      <w:pPr>
        <w:pStyle w:val="Source"/>
      </w:pPr>
      <w:r>
        <w:rPr>
          <w:b/>
        </w:rPr>
        <w:t xml:space="preserve">17. Ward Recycling fatality and corporate manslaughter conviction. </w:t>
      </w:r>
      <w:r>
        <w:t xml:space="preserve">British Safety Council, 1 February 2024. </w:t>
      </w:r>
      <w:hyperlink r:id="rId27">
        <w:r>
          <w:rPr>
            <w:color w:val="2F5597"/>
            <w:u w:val="single"/>
          </w:rPr>
          <w:t>Source link</w:t>
        </w:r>
      </w:hyperlink>
    </w:p>
    <w:p>
      <w:pPr>
        <w:pStyle w:val="Source"/>
      </w:pPr>
      <w:r>
        <w:rPr>
          <w:b/>
        </w:rPr>
        <w:t xml:space="preserve">18. UK Athletics fined after corporate manslaughter guilty plea. </w:t>
      </w:r>
      <w:r>
        <w:t xml:space="preserve">Associated Press, 2 June 2026. </w:t>
      </w:r>
      <w:hyperlink r:id="rId28">
        <w:r>
          <w:rPr>
            <w:color w:val="2F5597"/>
            <w:u w:val="single"/>
          </w:rPr>
          <w:t>Source link</w:t>
        </w:r>
      </w:hyperlink>
    </w:p>
    <w:p>
      <w:pPr>
        <w:pStyle w:val="Source"/>
      </w:pPr>
      <w:r>
        <w:rPr>
          <w:b/>
        </w:rPr>
        <w:t xml:space="preserve">19. Managers jailed after Greenfeeds deaths. </w:t>
      </w:r>
      <w:r>
        <w:t xml:space="preserve">The Guardian, 16 June 2022. </w:t>
      </w:r>
      <w:hyperlink r:id="rId29">
        <w:r>
          <w:rPr>
            <w:color w:val="2F5597"/>
            <w:u w:val="single"/>
          </w:rPr>
          <w:t>Source link</w:t>
        </w:r>
      </w:hyperlink>
    </w:p>
    <w:p>
      <w:pPr>
        <w:pStyle w:val="Source"/>
      </w:pPr>
      <w:r>
        <w:rPr>
          <w:b/>
        </w:rPr>
        <w:t xml:space="preserve">20. NHS Trust acquitted of corporate manslaughter. </w:t>
      </w:r>
      <w:r>
        <w:t xml:space="preserve">Crown Office Chambers, 9 June 2025. </w:t>
      </w:r>
      <w:hyperlink r:id="rId30">
        <w:r>
          <w:rPr>
            <w:color w:val="2F5597"/>
            <w:u w:val="single"/>
          </w:rPr>
          <w:t>Source link</w:t>
        </w:r>
      </w:hyperlink>
    </w:p>
    <w:p>
      <w:pPr>
        <w:pStyle w:val="Source"/>
      </w:pPr>
      <w:r>
        <w:rPr>
          <w:b/>
        </w:rPr>
        <w:t xml:space="preserve">21. Wood Treatment Ltd and another v R. </w:t>
      </w:r>
      <w:r>
        <w:t xml:space="preserve">Court of Appeal Criminal Division, 2021 EWCA Crim 618. </w:t>
      </w:r>
      <w:hyperlink r:id="rId31">
        <w:r>
          <w:rPr>
            <w:color w:val="2F5597"/>
            <w:u w:val="single"/>
          </w:rPr>
          <w:t>Source link</w:t>
        </w:r>
      </w:hyperlink>
    </w:p>
    <w:p>
      <w:pPr>
        <w:pStyle w:val="Source"/>
      </w:pPr>
      <w:r>
        <w:rPr>
          <w:b/>
        </w:rPr>
        <w:t xml:space="preserve">22. MNS Mining acquittal following Gleision colliery deaths. </w:t>
      </w:r>
      <w:r>
        <w:t xml:space="preserve">Fieldfisher, 29 October 2014. </w:t>
      </w:r>
      <w:hyperlink r:id="rId32">
        <w:r>
          <w:rPr>
            <w:color w:val="2F5597"/>
            <w:u w:val="single"/>
          </w:rPr>
          <w:t>Source link</w:t>
        </w:r>
      </w:hyperlink>
    </w:p>
    <w:p>
      <w:pPr>
        <w:pStyle w:val="Source"/>
      </w:pPr>
      <w:r>
        <w:rPr>
          <w:b/>
        </w:rPr>
        <w:t xml:space="preserve">23. JTF Wholesale Legionnaires outbreak prosecution. </w:t>
      </w:r>
      <w:r>
        <w:t xml:space="preserve">ITV News, 3 July 2017. </w:t>
      </w:r>
      <w:hyperlink r:id="rId33">
        <w:r>
          <w:rPr>
            <w:color w:val="2F5597"/>
            <w:u w:val="single"/>
          </w:rPr>
          <w:t>Source link</w:t>
        </w:r>
      </w:hyperlink>
    </w:p>
    <w:p>
      <w:pPr>
        <w:pStyle w:val="Source"/>
      </w:pPr>
      <w:r>
        <w:rPr>
          <w:b/>
        </w:rPr>
        <w:t xml:space="preserve">24. Decision not to prosecute G4S for corporate manslaughter. </w:t>
      </w:r>
      <w:r>
        <w:t xml:space="preserve">The Guardian, 20 March 2014. </w:t>
      </w:r>
      <w:hyperlink r:id="rId34">
        <w:r>
          <w:rPr>
            <w:color w:val="2F5597"/>
            <w:u w:val="single"/>
          </w:rPr>
          <w:t>Source link</w:t>
        </w:r>
      </w:hyperlink>
    </w:p>
    <w:p>
      <w:pPr>
        <w:pStyle w:val="Source"/>
      </w:pPr>
      <w:r>
        <w:rPr>
          <w:b/>
        </w:rPr>
        <w:t xml:space="preserve">25. Grenfell investigation charging file update. </w:t>
      </w:r>
      <w:r>
        <w:t xml:space="preserve">Metropolitan Police, 19 May 2026. </w:t>
      </w:r>
      <w:hyperlink r:id="rId35">
        <w:r>
          <w:rPr>
            <w:color w:val="2F5597"/>
            <w:u w:val="single"/>
          </w:rPr>
          <w:t>Source link</w:t>
        </w:r>
      </w:hyperlink>
    </w:p>
    <w:p>
      <w:pPr>
        <w:pStyle w:val="Source"/>
      </w:pPr>
      <w:r>
        <w:rPr>
          <w:b/>
        </w:rPr>
        <w:t xml:space="preserve">26. Operation Perth progress update. </w:t>
      </w:r>
      <w:r>
        <w:t xml:space="preserve">Nottinghamshire Police, 17 March 2026. </w:t>
      </w:r>
      <w:hyperlink r:id="rId36">
        <w:r>
          <w:rPr>
            <w:color w:val="2F5597"/>
            <w:u w:val="single"/>
          </w:rPr>
          <w:t>Source link</w:t>
        </w:r>
      </w:hyperlink>
    </w:p>
    <w:p>
      <w:pPr>
        <w:pStyle w:val="Source"/>
      </w:pPr>
      <w:r>
        <w:rPr>
          <w:b/>
        </w:rPr>
        <w:t xml:space="preserve">27. Operation Bramber and possible manslaughter charges. </w:t>
      </w:r>
      <w:r>
        <w:t xml:space="preserve">The Guardian, 4 February 2025. </w:t>
      </w:r>
      <w:hyperlink r:id="rId37">
        <w:r>
          <w:rPr>
            <w:color w:val="2F5597"/>
            <w:u w:val="single"/>
          </w:rPr>
          <w:t>Source link</w:t>
        </w:r>
      </w:hyperlink>
    </w:p>
    <w:p>
      <w:pPr>
        <w:pStyle w:val="Source"/>
      </w:pPr>
      <w:r>
        <w:rPr>
          <w:b/>
        </w:rPr>
        <w:t xml:space="preserve">28. Operation Duet continuing investigation. </w:t>
      </w:r>
      <w:r>
        <w:t xml:space="preserve">The Guardian, 23 April 2026. </w:t>
      </w:r>
      <w:hyperlink r:id="rId38">
        <w:r>
          <w:rPr>
            <w:color w:val="2F5597"/>
            <w:u w:val="single"/>
          </w:rPr>
          <w:t>Source link</w:t>
        </w:r>
      </w:hyperlink>
    </w:p>
    <w:p>
      <w:pPr>
        <w:pStyle w:val="Source"/>
      </w:pPr>
      <w:r>
        <w:rPr>
          <w:b/>
        </w:rPr>
        <w:t xml:space="preserve">29. Didcot collapse tenth anniversary investigation update. </w:t>
      </w:r>
      <w:r>
        <w:t xml:space="preserve">ITV News Meridian, 23 February 2026. </w:t>
      </w:r>
      <w:hyperlink r:id="rId39">
        <w:r>
          <w:rPr>
            <w:color w:val="2F5597"/>
            <w:u w:val="single"/>
          </w:rPr>
          <w:t>Source link</w:t>
        </w:r>
      </w:hyperlink>
    </w:p>
    <w:p>
      <w:pPr>
        <w:pStyle w:val="Source"/>
      </w:pPr>
      <w:r>
        <w:rPr>
          <w:b/>
        </w:rPr>
        <w:t xml:space="preserve">30. Pontins owner charged with corporate manslaughter. </w:t>
      </w:r>
      <w:r>
        <w:t xml:space="preserve">The Guardian, 15 April 2025. </w:t>
      </w:r>
      <w:hyperlink r:id="rId40">
        <w:r>
          <w:rPr>
            <w:color w:val="2F5597"/>
            <w:u w:val="single"/>
          </w:rPr>
          <w:t>Source link</w:t>
        </w:r>
      </w:hyperlink>
    </w:p>
    <w:p>
      <w:pPr>
        <w:pStyle w:val="Source"/>
      </w:pPr>
      <w:r>
        <w:rPr>
          <w:b/>
        </w:rPr>
        <w:t xml:space="preserve">31. Castlemartin tank explosion enforcement decision. </w:t>
      </w:r>
      <w:r>
        <w:t xml:space="preserve">Health and Safety Executive, 1 July 2026. </w:t>
      </w:r>
      <w:hyperlink r:id="rId41">
        <w:r>
          <w:rPr>
            <w:color w:val="2F5597"/>
            <w:u w:val="single"/>
          </w:rPr>
          <w:t>Source link</w:t>
        </w:r>
      </w:hyperlink>
    </w:p>
    <w:p>
      <w:pPr>
        <w:pStyle w:val="Source"/>
      </w:pPr>
      <w:r>
        <w:rPr>
          <w:b/>
        </w:rPr>
        <w:t xml:space="preserve">32. Wessex Water charges after Avonmouth explosion. </w:t>
      </w:r>
      <w:r>
        <w:t xml:space="preserve">ITV News West Country, 15 July 2026. </w:t>
      </w:r>
      <w:hyperlink r:id="rId42">
        <w:r>
          <w:rPr>
            <w:color w:val="2F5597"/>
            <w:u w:val="single"/>
          </w:rPr>
          <w:t>Source link</w:t>
        </w:r>
      </w:hyperlink>
    </w:p>
    <w:p>
      <w:pPr>
        <w:pStyle w:val="Source"/>
      </w:pPr>
      <w:r>
        <w:rPr>
          <w:b/>
        </w:rPr>
        <w:t xml:space="preserve">33. Nottinghamshire healthcare trust corporate manslaughter investigation. </w:t>
      </w:r>
      <w:r>
        <w:t xml:space="preserve">The Guardian, 22 July 2026. </w:t>
      </w:r>
      <w:hyperlink r:id="rId43">
        <w:r>
          <w:rPr>
            <w:color w:val="2F5597"/>
            <w:u w:val="single"/>
          </w:rPr>
          <w:t>Source link</w:t>
        </w:r>
      </w:hyperlink>
    </w:p>
    <w:p>
      <w:pPr>
        <w:pStyle w:val="Source"/>
      </w:pPr>
      <w:r>
        <w:rPr>
          <w:b/>
        </w:rPr>
        <w:t xml:space="preserve">34. The Lampard Inquiry. </w:t>
      </w:r>
      <w:r>
        <w:t xml:space="preserve">Independent statutory inquiry, accessed September 2026. </w:t>
      </w:r>
      <w:hyperlink r:id="rId44">
        <w:r>
          <w:rPr>
            <w:color w:val="2F5597"/>
            <w:u w:val="single"/>
          </w:rPr>
          <w:t>Source link</w:t>
        </w:r>
      </w:hyperlink>
    </w:p>
    <w:p>
      <w:pPr>
        <w:pStyle w:val="Source"/>
      </w:pPr>
      <w:r>
        <w:rPr>
          <w:b/>
        </w:rPr>
        <w:t xml:space="preserve">35. Tees Esk and Wear Valleys NHS Foundation Trust statutory inquiry announcement. </w:t>
      </w:r>
      <w:r>
        <w:t xml:space="preserve">UK Parliament Hansard, 11 December 2025. </w:t>
      </w:r>
      <w:hyperlink r:id="rId45">
        <w:r>
          <w:rPr>
            <w:color w:val="2F5597"/>
            <w:u w:val="single"/>
          </w:rPr>
          <w:t>Source link</w:t>
        </w:r>
      </w:hyperlink>
    </w:p>
    <w:p>
      <w:pPr>
        <w:pStyle w:val="Source"/>
      </w:pPr>
      <w:r>
        <w:rPr>
          <w:b/>
        </w:rPr>
        <w:t xml:space="preserve">36. CQC prosecution of Nottingham University Hospitals NHS Trust. </w:t>
      </w:r>
      <w:r>
        <w:t xml:space="preserve">Care Quality Commission, accessed September 2026. </w:t>
      </w:r>
      <w:hyperlink r:id="rId46">
        <w:r>
          <w:rPr>
            <w:color w:val="2F5597"/>
            <w:u w:val="single"/>
          </w:rPr>
          <w:t>Source link</w:t>
        </w:r>
      </w:hyperlink>
    </w:p>
    <w:p>
      <w:pPr>
        <w:pStyle w:val="Source"/>
      </w:pPr>
      <w:r>
        <w:rPr>
          <w:b/>
        </w:rPr>
        <w:t xml:space="preserve">37. Construction prosecution news. </w:t>
      </w:r>
      <w:r>
        <w:t xml:space="preserve">Health and Safety Executive, accessed September 2026. </w:t>
      </w:r>
      <w:hyperlink r:id="rId47">
        <w:r>
          <w:rPr>
            <w:color w:val="2F5597"/>
            <w:u w:val="single"/>
          </w:rPr>
          <w:t>Source link</w:t>
        </w:r>
      </w:hyperlink>
    </w:p>
    <w:p>
      <w:pPr>
        <w:pStyle w:val="Source"/>
      </w:pPr>
      <w:r>
        <w:rPr>
          <w:b/>
        </w:rPr>
        <w:t xml:space="preserve">38. Manufacturing prosecution news. </w:t>
      </w:r>
      <w:r>
        <w:t xml:space="preserve">Health and Safety Executive, accessed September 2026. </w:t>
      </w:r>
      <w:hyperlink r:id="rId48">
        <w:r>
          <w:rPr>
            <w:color w:val="2F5597"/>
            <w:u w:val="single"/>
          </w:rPr>
          <w:t>Source link</w:t>
        </w:r>
      </w:hyperlink>
    </w:p>
    <w:p>
      <w:pPr>
        <w:pStyle w:val="Source"/>
      </w:pPr>
      <w:r>
        <w:rPr>
          <w:b/>
        </w:rPr>
        <w:t xml:space="preserve">39. Yellow Card reporting scheme. </w:t>
      </w:r>
      <w:r>
        <w:t xml:space="preserve">Medicines and Healthcare products Regulatory Agency, accessed September 2026. </w:t>
      </w:r>
      <w:hyperlink r:id="rId49">
        <w:r>
          <w:rPr>
            <w:color w:val="2F5597"/>
            <w:u w:val="single"/>
          </w:rPr>
          <w:t>Source link</w:t>
        </w:r>
      </w:hyperlink>
    </w:p>
    <w:p>
      <w:pPr>
        <w:pStyle w:val="Heading1"/>
        <w:pBdr>
          <w:bottom w:val="single" w:sz="8" w:space="4" w:color="2F5597"/>
        </w:pBdr>
      </w:pPr>
      <w:r>
        <w:t>Supplementary statutory materials</w:t>
      </w:r>
    </w:p>
    <w:p>
      <w:r>
        <w:t>The study supplement should contain the current statute PDF and the official Explanatory Notes. Because legislation can be amended, the online text should be checked on the date of any formal submission. The sources above link to the official versions. The supplementary copies gathered for this project are titled Corporate Manslaughter and Corporate Homicide Act 2007 and Corporate Manslaughter Act 2007 Explanatory Notes.</w:t>
      </w:r>
    </w:p>
    <w:sectPr w:rsidR="00FC693F" w:rsidRPr="0006063C" w:rsidSect="00034616">
      <w:headerReference w:type="default" r:id="rId9"/>
      <w:footerReference w:type="default" r:id="rId10"/>
      <w:pgSz w:w="11909" w:h="16834"/>
      <w:pgMar w:top="1037" w:right="1123" w:bottom="1008" w:left="1123" w:header="461"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404040"/>
        <w:sz w:val="15"/>
      </w:rPr>
      <w:t xml:space="preserve">Draft research paper  |  September 2026  |  </w:t>
    </w:r>
    <w:r>
      <w:rPr>
        <w:rFonts w:ascii="Aptos" w:hAnsi="Aptos"/>
        <w:color w:val="404040"/>
        <w:sz w:val="15"/>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F5597"/>
        <w:sz w:val="15"/>
      </w:rPr>
      <w:t>CORPORATE MANSLAUGHTER AND PREVENTABLE DEATH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59" w:lineRule="auto"/>
    </w:pPr>
    <w:rPr>
      <w:rFonts w:ascii="Aptos" w:hAnsi="Aptos"/>
      <w:color w:val="40404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160" w:after="120"/>
      <w:outlineLvl w:val="0"/>
    </w:pPr>
    <w:rPr>
      <w:rFonts w:asciiTheme="majorHAnsi" w:eastAsiaTheme="majorEastAsia" w:hAnsiTheme="majorHAnsi" w:cstheme="majorBidi" w:ascii="Aptos Display" w:hAnsi="Aptos Display"/>
      <w:b/>
      <w:bCs/>
      <w:color w:val="17365D"/>
      <w:sz w:val="34"/>
      <w:szCs w:val="28"/>
    </w:rPr>
  </w:style>
  <w:style w:type="paragraph" w:styleId="Heading2">
    <w:name w:val="heading 2"/>
    <w:basedOn w:val="Normal"/>
    <w:next w:val="Normal"/>
    <w:link w:val="Heading2Char"/>
    <w:uiPriority w:val="9"/>
    <w:unhideWhenUsed/>
    <w:qFormat/>
    <w:rsid w:val="00FC693F"/>
    <w:pPr>
      <w:keepNext/>
      <w:keepLines/>
      <w:pageBreakBefore w:val="0"/>
      <w:spacing w:before="160" w:after="120"/>
      <w:outlineLvl w:val="1"/>
    </w:pPr>
    <w:rPr>
      <w:rFonts w:asciiTheme="majorHAnsi" w:eastAsiaTheme="majorEastAsia" w:hAnsiTheme="majorHAnsi" w:cstheme="majorBidi" w:ascii="Aptos" w:hAnsi="Aptos"/>
      <w:b/>
      <w:bCs/>
      <w:color w:val="2F5597"/>
      <w:sz w:val="25"/>
      <w:szCs w:val="26"/>
    </w:rPr>
  </w:style>
  <w:style w:type="paragraph" w:styleId="Heading3">
    <w:name w:val="heading 3"/>
    <w:basedOn w:val="Normal"/>
    <w:next w:val="Normal"/>
    <w:link w:val="Heading3Char"/>
    <w:uiPriority w:val="9"/>
    <w:unhideWhenUsed/>
    <w:qFormat/>
    <w:rsid w:val="00FC693F"/>
    <w:pPr>
      <w:keepNext/>
      <w:keepLines/>
      <w:pageBreakBefore w:val="0"/>
      <w:spacing w:before="160" w:after="120"/>
      <w:outlineLvl w:val="2"/>
    </w:pPr>
    <w:rPr>
      <w:rFonts w:asciiTheme="majorHAnsi" w:eastAsiaTheme="majorEastAsia" w:hAnsiTheme="majorHAnsi" w:cstheme="majorBidi" w:ascii="Aptos" w:hAnsi="Aptos"/>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pBdr>
        <w:bottom w:val="single" w:sz="8" w:space="4" w:color="4F81BD" w:themeColor="accent1"/>
      </w:pBdr>
      <w:spacing w:after="360" w:line="240" w:lineRule="auto" w:before="0"/>
      <w:contextualSpacing/>
    </w:pPr>
    <w:rPr>
      <w:rFonts w:asciiTheme="majorHAnsi" w:eastAsiaTheme="majorEastAsia" w:hAnsiTheme="majorHAnsi" w:cstheme="majorBidi" w:ascii="Aptos Display" w:hAnsi="Aptos Display"/>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0"/>
    </w:rPr>
  </w:style>
  <w:style w:type="paragraph" w:styleId="ListBullet2">
    <w:name w:val="List Bullet 2"/>
    <w:basedOn w:val="Normal"/>
    <w:uiPriority w:val="99"/>
    <w:unhideWhenUsed/>
    <w:rsid w:val="00326F90"/>
    <w:pPr>
      <w:numPr>
        <w:numId w:val="2"/>
      </w:numPr>
      <w:spacing w:after="60"/>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80"/>
      <w:ind w:left="317" w:hanging="317"/>
    </w:pPr>
    <w:rPr>
      <w:rFonts w:ascii="Aptos" w:hAnsi="Aptos"/>
      <w:color w:val="40404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egislation.gov.uk/ukpga/2007/19/contents" TargetMode="External"/><Relationship Id="rId12" Type="http://schemas.openxmlformats.org/officeDocument/2006/relationships/hyperlink" Target="https://www.legislation.gov.uk/ukpga/2007/19/notes/contents" TargetMode="External"/><Relationship Id="rId13" Type="http://schemas.openxmlformats.org/officeDocument/2006/relationships/hyperlink" Target="https://www.cps.gov.uk/prosecution-guidance/corporate-manslaughter" TargetMode="External"/><Relationship Id="rId14" Type="http://schemas.openxmlformats.org/officeDocument/2006/relationships/hyperlink" Target="https://sentencingcouncil.org.uk/guidelines/corporate-manslaughter/" TargetMode="External"/><Relationship Id="rId15" Type="http://schemas.openxmlformats.org/officeDocument/2006/relationships/hyperlink" Target="https://www.hse.gov.uk/statistics/fatals-overview.htm" TargetMode="External"/><Relationship Id="rId16" Type="http://schemas.openxmlformats.org/officeDocument/2006/relationships/hyperlink" Target="https://www.hse.gov.uk/statistics/causdis/overview.htm" TargetMode="External"/><Relationship Id="rId17" Type="http://schemas.openxmlformats.org/officeDocument/2006/relationships/hyperlink" Target="https://www.hse.gov.uk/statistics/overview.htm" TargetMode="External"/><Relationship Id="rId18" Type="http://schemas.openxmlformats.org/officeDocument/2006/relationships/hyperlink" Target="https://www.cqc.org.uk/about-us/how-we-do-our-job/enforcement" TargetMode="External"/><Relationship Id="rId19" Type="http://schemas.openxmlformats.org/officeDocument/2006/relationships/hyperlink" Target="https://www.gov.uk/government/organisations/medicines-and-healthcare-products-regulatory-agency" TargetMode="External"/><Relationship Id="rId20" Type="http://schemas.openxmlformats.org/officeDocument/2006/relationships/hyperlink" Target="https://www.gov.uk/drug-safety-update/pregabalin-lyrica-reports-of-severe-respiratory-depression" TargetMode="External"/><Relationship Id="rId21" Type="http://schemas.openxmlformats.org/officeDocument/2006/relationships/hyperlink" Target="https://www.england.nhs.uk/about/equality/equality-hub/patient-equalities-programme/equality-frameworks-and-information-standards/accessibleinfo/" TargetMode="External"/><Relationship Id="rId22" Type="http://schemas.openxmlformats.org/officeDocument/2006/relationships/hyperlink" Target="https://www.gov.uk/guidance/equality-act-2010-guidance" TargetMode="External"/><Relationship Id="rId23" Type="http://schemas.openxmlformats.org/officeDocument/2006/relationships/hyperlink" Target="https://doi.org/10.1332/26352338Y2026D000000072" TargetMode="External"/><Relationship Id="rId24" Type="http://schemas.openxmlformats.org/officeDocument/2006/relationships/hyperlink" Target="https://insights.doughtystreet.co.uk/post/102kdqw/criminal-law-in-healthcare-part-1-corporate-manslaughter-goodmayes-hospital" TargetMode="External"/><Relationship Id="rId25" Type="http://schemas.openxmlformats.org/officeDocument/2006/relationships/hyperlink" Target="https://www.cps.gov.uk/sites/default/files/documents/publications/disclosure_11_1.pdf" TargetMode="External"/><Relationship Id="rId26" Type="http://schemas.openxmlformats.org/officeDocument/2006/relationships/hyperlink" Target="https://www.pinsentmasons.com/out-law/news/company-fined-550000-in-first-corporate-manslaughter-sentencing-under-new-guideline" TargetMode="External"/><Relationship Id="rId27" Type="http://schemas.openxmlformats.org/officeDocument/2006/relationships/hyperlink" Target="https://www.britsafe.org/safety-management/2024/recycling-firm-fined-2m-after-worker-crushed-to-death-by-onsite-vehicle" TargetMode="External"/><Relationship Id="rId28" Type="http://schemas.openxmlformats.org/officeDocument/2006/relationships/hyperlink" Target="https://apnews.com/article/b0e12e199d40e5e4ae99cd9f2d5c625f" TargetMode="External"/><Relationship Id="rId29" Type="http://schemas.openxmlformats.org/officeDocument/2006/relationships/hyperlink" Target="https://www.theguardian.com/uk-news/2022/jun/16/greenfeeds-senior-management-jailed-over-death-of-two-employees" TargetMode="External"/><Relationship Id="rId30" Type="http://schemas.openxmlformats.org/officeDocument/2006/relationships/hyperlink" Target="https://www.crownofficechambers.com/2025/06/09/nhs-trust-acquitted-of-corporate-manslaughter/" TargetMode="External"/><Relationship Id="rId31" Type="http://schemas.openxmlformats.org/officeDocument/2006/relationships/hyperlink" Target="https://www.bailii.org/ew/cases/EWCA/Crim/2021/618.html" TargetMode="External"/><Relationship Id="rId32" Type="http://schemas.openxmlformats.org/officeDocument/2006/relationships/hyperlink" Target="https://www.fieldfisher.com/en/insights/corporate-manslaughter-cases-in-2014" TargetMode="External"/><Relationship Id="rId33" Type="http://schemas.openxmlformats.org/officeDocument/2006/relationships/hyperlink" Target="https://www.itv.com/news/central/2017-07-03/company-fined-1m-after-two-deaths-from-legionnaires-disease" TargetMode="External"/><Relationship Id="rId34" Type="http://schemas.openxmlformats.org/officeDocument/2006/relationships/hyperlink" Target="https://www.theguardian.com/uk-news/2014/mar/20/jimmy-mubenga-death-three-g4s-guards-charged-manslaughter" TargetMode="External"/><Relationship Id="rId35" Type="http://schemas.openxmlformats.org/officeDocument/2006/relationships/hyperlink" Target="https://news.met.police.uk/news/met-investigation-into-grenfell-tower-fire-on-track-to-submit-all-charging-files-to-cps-509435" TargetMode="External"/><Relationship Id="rId36" Type="http://schemas.openxmlformats.org/officeDocument/2006/relationships/hyperlink" Target="https://www.nottinghamshire.police.uk/news/nottinghamshire/news/news/2026/march/update-on-our-progress-17-march-2026/" TargetMode="External"/><Relationship Id="rId37" Type="http://schemas.openxmlformats.org/officeDocument/2006/relationships/hyperlink" Target="https://www.theguardian.com/society/2025/feb/04/sussex-police-consider-manslaughter-charges-over-dozens-of-hospital-deaths" TargetMode="External"/><Relationship Id="rId38" Type="http://schemas.openxmlformats.org/officeDocument/2006/relationships/hyperlink" Target="https://www.theguardian.com/uk-news/2026/apr/23/former-boss-lucy-letby-hospital-arrested-suspicion-perverting-course-of-justice" TargetMode="External"/><Relationship Id="rId39" Type="http://schemas.openxmlformats.org/officeDocument/2006/relationships/hyperlink" Target="https://www.itv.com/news/meridian/2026-02-23/a-living-hell-families-reflect-on-10th-anniversary-of-power-station-collapse" TargetMode="External"/><Relationship Id="rId40" Type="http://schemas.openxmlformats.org/officeDocument/2006/relationships/hyperlink" Target="https://www.theguardian.com/uk-news/2025/apr/15/pontins-owner-charged-with-corporate-manslaughter-over-womans-death" TargetMode="External"/><Relationship Id="rId41" Type="http://schemas.openxmlformats.org/officeDocument/2006/relationships/hyperlink" Target="https://press.hse.gov.uk/2026/07/01/hse-authorises-crown-censure-of-mod-and-prosecution-of-defence-contractor-over-fatal-tank-explosion/" TargetMode="External"/><Relationship Id="rId42" Type="http://schemas.openxmlformats.org/officeDocument/2006/relationships/hyperlink" Target="https://www.itv.com/news/westcountry/2026-07-15/water-firm-faces-criminal-charges-over-blast-that-killed-four" TargetMode="External"/><Relationship Id="rId43" Type="http://schemas.openxmlformats.org/officeDocument/2006/relationships/hyperlink" Target="https://www.theguardian.com/society/2026/jul/22/nhs-trust-corporate-manslaughter-investigation-nottingham-attacks-valdo-calocane" TargetMode="External"/><Relationship Id="rId44" Type="http://schemas.openxmlformats.org/officeDocument/2006/relationships/hyperlink" Target="https://lampardinquiry.org.uk/" TargetMode="External"/><Relationship Id="rId45" Type="http://schemas.openxmlformats.org/officeDocument/2006/relationships/hyperlink" Target="https://hansard.parliament.uk/commons/2025-12-11/debates/25121136000014/TeesEskAndWearValleysNHSFoundationTrustStatutoryInquiry" TargetMode="External"/><Relationship Id="rId46" Type="http://schemas.openxmlformats.org/officeDocument/2006/relationships/hyperlink" Target="https://www.cqc.org.uk/press-release/cqc-prosecutes-nottingham-university-hospitals-nhs-trust-after-it-failed-provide-safe" TargetMode="External"/><Relationship Id="rId47" Type="http://schemas.openxmlformats.org/officeDocument/2006/relationships/hyperlink" Target="https://press.hse.gov.uk/tag/construction/" TargetMode="External"/><Relationship Id="rId48" Type="http://schemas.openxmlformats.org/officeDocument/2006/relationships/hyperlink" Target="https://press.hse.gov.uk/tag/manufacturing/" TargetMode="External"/><Relationship Id="rId49" Type="http://schemas.openxmlformats.org/officeDocument/2006/relationships/hyperlink" Target="https://yellowcard.mhra.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Organisations Fail Corporate Manslaughter and Preventable Death in the United Kingdom</dc:title>
  <dc:subject>Draft research paper on the Corporate Manslaughter and Corporate Homicide Act 2007</dc:subject>
  <dc:creator>python-docx</dc:creator>
  <cp:keywords>corporate manslaughter, UK, construction, manufacturing, healthcare, evidence, preventable death</cp:keywords>
  <dc:description>Evidence status checked to 12 September 2026. Draft for research and review.</dc:description>
  <cp:lastModifiedBy/>
  <cp:revision>1</cp:revision>
  <dcterms:created xsi:type="dcterms:W3CDTF">2013-12-23T23:15:00Z</dcterms:created>
  <dcterms:modified xsi:type="dcterms:W3CDTF">2013-12-23T23:15:00Z</dcterms:modified>
  <cp:category/>
</cp:coreProperties>
</file>