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1840"/>
      </w:pPr>
      <w:r>
        <w:rPr>
          <w:rFonts w:ascii="Liberation Sans" w:hAnsi="Liberation Sans"/>
          <w:b/>
          <w:color w:val="000000"/>
          <w:sz w:val="56"/>
        </w:rPr>
        <w:t>Drug Knowledge, Body Autonomy and Patient Choice</w:t>
      </w:r>
    </w:p>
    <w:p>
      <w:pPr>
        <w:widowControl/>
        <w:spacing w:after="480"/>
      </w:pPr>
      <w:r>
        <w:rPr>
          <w:rFonts w:ascii="Liberation Sans" w:hAnsi="Liberation Sans"/>
          <w:color w:val="000000"/>
          <w:sz w:val="28"/>
        </w:rPr>
        <w:t>From punishment to care: lived experience, informed consent, harm reduction and accountable medicine</w:t>
      </w:r>
    </w:p>
    <w:p>
      <w:pPr>
        <w:widowControl/>
        <w:spacing w:after="520"/>
      </w:pPr>
      <w:r>
        <w:rPr>
          <w:rFonts w:ascii="Liberation Sans" w:hAnsi="Liberation Sans"/>
          <w:color w:val="666666"/>
          <w:sz w:val="20"/>
        </w:rPr>
        <w:t>Discussion draft  September 2026</w:t>
      </w:r>
    </w:p>
    <w:p>
      <w:pPr>
        <w:keepLines w:val="0"/>
        <w:widowControl/>
        <w:spacing w:before="0" w:after="260" w:line="293" w:lineRule="auto"/>
      </w:pPr>
      <w:r>
        <w:rPr>
          <w:rFonts w:ascii="Liberation Sans" w:hAnsi="Liberation Sans"/>
        </w:rPr>
        <w:t>This paper begins with a civic question: this is the situation I can see we are in, but does it have to remain this way? Could the same public tools be repurposed—from punishment to care, from secrecy to knowledge, and from uncontrolled supply to accountable control? People make safer and more legitimate decisions when scientific evidence, lived experience, product testing, professional observation and individual values can be examined together.</w:t>
      </w:r>
    </w:p>
    <w:p>
      <w:pPr>
        <w:keepLines w:val="0"/>
        <w:widowControl/>
        <w:spacing w:before="0" w:after="300" w:line="293" w:lineRule="auto"/>
      </w:pPr>
      <w:r>
        <w:rPr>
          <w:rFonts w:ascii="Liberation Sans" w:hAnsi="Liberation Sans"/>
        </w:rPr>
        <w:t>The position is rights based but not risk blind. Freedom means that an adult with decision making capacity should have the greatest possible control over what enters their body, supported by full and honest information. It does not mean that a clinician must certify an unknown product as safe, that driving while impaired becomes acceptable, or that one experience proves a universal truth. The task is transformation rather than abolition: retain rules that protect other people, repurpose institutions that can provide care, and remove punishments that create avoidable danger.</w:t>
      </w:r>
    </w:p>
    <w:p>
      <w:pPr>
        <w:keepLines w:val="0"/>
        <w:widowControl/>
        <w:spacing w:before="120" w:after="160" w:line="278" w:lineRule="auto"/>
      </w:pPr>
      <w:r>
        <w:rPr>
          <w:rFonts w:ascii="Liberation Sans" w:hAnsi="Liberation Sans"/>
          <w:b/>
        </w:rPr>
        <w:t xml:space="preserve">Reader note  </w:t>
      </w:r>
      <w:r>
        <w:rPr>
          <w:rFonts w:ascii="Liberation Sans" w:hAnsi="Liberation Sans"/>
        </w:rPr>
        <w:t>This is a discussion paper, not medical or legal advice and not an instruction to use illegal drugs. It does not recommend stopping prescribed medicines suddenly. Some medicines can cause dangerous withdrawal, and urgent concerns require a pharmacist, prescriber, NHS 111 or emergency care as appropriate.</w:t>
      </w:r>
    </w:p>
    <w:p>
      <w:pPr>
        <w:widowControl/>
      </w:pPr>
      <w:r>
        <w:br w:type="page"/>
      </w:r>
    </w:p>
    <w:p>
      <w:pPr>
        <w:pStyle w:val="Heading1"/>
        <w:keepNext/>
        <w:keepLines w:val="0"/>
        <w:widowControl/>
        <w:spacing w:before="0" w:after="140" w:line="278" w:lineRule="auto"/>
      </w:pPr>
      <w:r>
        <w:rPr>
          <w:rFonts w:ascii="Liberation Sans" w:hAnsi="Liberation Sans"/>
        </w:rPr>
        <w:t>Executive frame: the situation and the alternative</w:t>
      </w:r>
    </w:p>
    <w:p>
      <w:pPr>
        <w:keepLines w:val="0"/>
        <w:widowControl/>
        <w:spacing w:before="0" w:after="140" w:line="278" w:lineRule="auto"/>
      </w:pPr>
      <w:r>
        <w:rPr>
          <w:rFonts w:ascii="Liberation Sans" w:hAnsi="Liberation Sans"/>
        </w:rPr>
        <w:t>Every drug decision combines chemistry, circumstance and power. Dose, purity, route, interactions, health, setting and expectations all matter. So do the rules that determine which products are legal, affordable, researched, prescribed and discussed. The present pattern often divides legal medicine from illegal drugs as if legal status settled pharmacology, while patients report stigma, withdrawal and unequal access and police confront a resilient illicit market. A humane system should neither romanticise drugs nor use fear as its governing method.</w:t>
      </w:r>
    </w:p>
    <w:p>
      <w:pPr>
        <w:keepLines w:val="0"/>
        <w:widowControl/>
        <w:spacing w:before="0" w:after="140" w:line="278" w:lineRule="auto"/>
      </w:pPr>
      <w:r>
        <w:rPr>
          <w:rFonts w:ascii="Liberation Sans" w:hAnsi="Liberation Sans"/>
        </w:rPr>
        <w:t>People have a right to informed consent and, when they have decision making capacity, to refuse offered treatment. They have a right to information about risks, benefits and reasonable alternatives. Those rights do not create an unlimited entitlement to any chosen medicine or public funding, but they do require a meaningful voice in care. NHS and professional standards already recognise this principle. [1–3]</w:t>
      </w:r>
    </w:p>
    <w:p>
      <w:pPr>
        <w:keepLines w:val="0"/>
        <w:widowControl/>
        <w:spacing w:before="0" w:after="140" w:line="278" w:lineRule="auto"/>
      </w:pPr>
      <w:r>
        <w:rPr>
          <w:rFonts w:ascii="Liberation Sans" w:hAnsi="Liberation Sans"/>
        </w:rPr>
        <w:t>Lived experience belongs inside evidence, not underneath it. Patient reports can reveal pain, withdrawal, cognitive changes, stigma and failures of communication that trials may not measure well. They are especially valuable for detecting possible signals and deciding what to investigate. They are unreliable for estimating frequency or proving that a drug or clinician caused an outcome unless stronger evidence supports the connection.</w:t>
      </w:r>
    </w:p>
    <w:p>
      <w:pPr>
        <w:keepLines w:val="0"/>
        <w:widowControl/>
        <w:spacing w:before="0" w:after="140" w:line="278" w:lineRule="auto"/>
      </w:pPr>
      <w:r>
        <w:rPr>
          <w:rFonts w:ascii="Liberation Sans" w:hAnsi="Liberation Sans"/>
        </w:rPr>
        <w:t>Public Health England reached a similar practical conclusion in its review of prescribed medicines associated with dependence or withdrawal. It found reports of inadequate risk information, unrecognised withdrawal, insufficient review and lack of non medicinal options. It also warned that inappropriate restrictions may push people toward illicit or less regulated sources and increase harm. [4]</w:t>
      </w:r>
    </w:p>
    <w:p>
      <w:pPr>
        <w:keepLines w:val="0"/>
        <w:widowControl/>
        <w:spacing w:before="0" w:after="140" w:line="278" w:lineRule="auto"/>
      </w:pPr>
      <w:r>
        <w:rPr>
          <w:rFonts w:ascii="Liberation Sans" w:hAnsi="Liberation Sans"/>
        </w:rPr>
        <w:t>Regulation is also a resource question. England and Wales recorded 231,130 drug offences in the year ending March 2026, while suspected drug possession was the stated reason for about 318,000 stop and searches in the preceding year. Official statistics do not convert this activity into police hours. A transparent scenario in this paper therefore shows assumptions rather than claiming a measured saving. It also tests prison capacity, clinical workload and a publicly captured revenue model. [43, 44]</w:t>
      </w:r>
    </w:p>
    <w:p>
      <w:pPr>
        <w:keepLines w:val="0"/>
        <w:widowControl/>
        <w:spacing w:before="0" w:after="140" w:line="278" w:lineRule="auto"/>
      </w:pPr>
      <w:r>
        <w:rPr>
          <w:rFonts w:ascii="Liberation Sans" w:hAnsi="Liberation Sans"/>
        </w:rPr>
        <w:t>The proposed alternative is not a promise that every drug becomes harmless or every black market disappears. It is a civilised test: can the state obtain better outcomes by helping competent adults make informed choices, assuring product identity, providing supervised support and concentrating police power on violence, exploitation, children, dangerous driving and dishonest supply? Where a less coercive policy can reduce contamination, humiliation, avoidable pain or delayed rescue, refusing even to test it deserves explanation.</w:t>
      </w:r>
    </w:p>
    <w:p>
      <w:pPr>
        <w:pStyle w:val="Heading2"/>
        <w:keepNext/>
        <w:keepLines w:val="0"/>
        <w:widowControl/>
        <w:spacing w:before="0" w:after="140" w:line="278" w:lineRule="auto"/>
      </w:pPr>
      <w:r>
        <w:rPr>
          <w:rFonts w:ascii="Liberation Sans" w:hAnsi="Liberation Sans"/>
        </w:rPr>
        <w:t>Core proposals</w:t>
      </w:r>
    </w:p>
    <w:p>
      <w:pPr>
        <w:pStyle w:val="ListBullet"/>
        <w:keepLines w:val="0"/>
        <w:widowControl/>
        <w:spacing w:before="0" w:after="80" w:line="269" w:lineRule="auto"/>
      </w:pPr>
      <w:r>
        <w:rPr>
          <w:rFonts w:ascii="Liberation Sans" w:hAnsi="Liberation Sans"/>
        </w:rPr>
        <w:t>Treat informed refusal, supported tapering and discussion of reasonable alternatives as ordinary parts of care.</w:t>
      </w:r>
    </w:p>
    <w:p>
      <w:pPr>
        <w:pStyle w:val="ListBullet"/>
        <w:keepLines w:val="0"/>
        <w:widowControl/>
        <w:spacing w:before="0" w:after="80" w:line="269" w:lineRule="auto"/>
      </w:pPr>
      <w:r>
        <w:rPr>
          <w:rFonts w:ascii="Liberation Sans" w:hAnsi="Liberation Sans"/>
        </w:rPr>
        <w:t>Use non judgmental language and separate physical dependence, addiction, pain relief, pleasure, coping and experimentation instead of treating them as one moral category.</w:t>
      </w:r>
    </w:p>
    <w:p>
      <w:pPr>
        <w:pStyle w:val="ListBullet"/>
        <w:keepLines w:val="0"/>
        <w:widowControl/>
        <w:spacing w:before="0" w:after="80" w:line="269" w:lineRule="auto"/>
      </w:pPr>
      <w:r>
        <w:rPr>
          <w:rFonts w:ascii="Liberation Sans" w:hAnsi="Liberation Sans"/>
        </w:rPr>
        <w:t>Fund drug checking, supervised settings, naloxone access and honest interaction advice wherever evidence shows that these measures reduce harm.</w:t>
      </w:r>
    </w:p>
    <w:p>
      <w:pPr>
        <w:pStyle w:val="ListBullet"/>
        <w:keepLines w:val="0"/>
        <w:widowControl/>
        <w:spacing w:before="0" w:after="80" w:line="269" w:lineRule="auto"/>
      </w:pPr>
      <w:r>
        <w:rPr>
          <w:rFonts w:ascii="Liberation Sans" w:hAnsi="Liberation Sans"/>
        </w:rPr>
        <w:t>Publish ownership, payments, prices, formularies, evidence submissions and conflicts so that commercial influence can be examined rather than merely alleged.</w:t>
      </w:r>
    </w:p>
    <w:p>
      <w:pPr>
        <w:pStyle w:val="ListBullet"/>
        <w:keepLines w:val="0"/>
        <w:widowControl/>
        <w:spacing w:before="0" w:after="80" w:line="269" w:lineRule="auto"/>
      </w:pPr>
      <w:r>
        <w:rPr>
          <w:rFonts w:ascii="Liberation Sans" w:hAnsi="Liberation Sans"/>
        </w:rPr>
        <w:t>Build research with patients, people who use drugs, pharmacists, paramedics and other frontline workers, while protecting confidentiality and testing claims against clinical and laboratory evidence.</w:t>
      </w:r>
    </w:p>
    <w:p>
      <w:pPr>
        <w:pStyle w:val="ListBullet"/>
        <w:keepLines w:val="0"/>
        <w:widowControl/>
        <w:spacing w:before="0" w:after="80" w:line="269" w:lineRule="auto"/>
      </w:pPr>
      <w:r>
        <w:rPr>
          <w:rFonts w:ascii="Liberation Sans" w:hAnsi="Liberation Sans"/>
        </w:rPr>
        <w:t>Pilot regulated access with standardised products, privacy safeguards, independent evaluation, a public resource ledger and continued enforcement against impaired driving, violence, sales to children and unlicensed supply.</w:t>
      </w:r>
    </w:p>
    <w:p>
      <w:pPr>
        <w:pStyle w:val="Heading1"/>
        <w:keepNext/>
        <w:keepLines w:val="0"/>
        <w:pageBreakBefore/>
        <w:widowControl/>
        <w:spacing w:before="0" w:after="140" w:line="278" w:lineRule="auto"/>
      </w:pPr>
      <w:r>
        <w:rPr>
          <w:rFonts w:ascii="Liberation Sans" w:hAnsi="Liberation Sans"/>
        </w:rPr>
        <w:t>Contents</w:t>
      </w:r>
    </w:p>
    <w:p>
      <w:pPr>
        <w:keepLines w:val="0"/>
        <w:widowControl/>
        <w:spacing w:before="0" w:after="50" w:line="252" w:lineRule="auto"/>
      </w:pPr>
      <w:r>
        <w:rPr>
          <w:rFonts w:ascii="Liberation Sans" w:hAnsi="Liberation Sans"/>
        </w:rPr>
        <w:t>1 The situation I can see and the question it creates</w:t>
      </w:r>
    </w:p>
    <w:p>
      <w:pPr>
        <w:keepLines w:val="0"/>
        <w:widowControl/>
        <w:spacing w:before="0" w:after="50" w:line="252" w:lineRule="auto"/>
      </w:pPr>
      <w:r>
        <w:rPr>
          <w:rFonts w:ascii="Liberation Sans" w:hAnsi="Liberation Sans"/>
        </w:rPr>
        <w:t>2 Drugs language and moral categories</w:t>
      </w:r>
    </w:p>
    <w:p>
      <w:pPr>
        <w:keepLines w:val="0"/>
        <w:widowControl/>
        <w:spacing w:before="0" w:after="50" w:line="252" w:lineRule="auto"/>
      </w:pPr>
      <w:r>
        <w:rPr>
          <w:rFonts w:ascii="Liberation Sans" w:hAnsi="Liberation Sans"/>
        </w:rPr>
        <w:t>3 Science and lived experience</w:t>
      </w:r>
    </w:p>
    <w:p>
      <w:pPr>
        <w:keepLines w:val="0"/>
        <w:widowControl/>
        <w:spacing w:before="0" w:after="50" w:line="252" w:lineRule="auto"/>
      </w:pPr>
      <w:r>
        <w:rPr>
          <w:rFonts w:ascii="Liberation Sans" w:hAnsi="Liberation Sans"/>
        </w:rPr>
        <w:t>4 Consent refusal and patient choice</w:t>
      </w:r>
    </w:p>
    <w:p>
      <w:pPr>
        <w:keepLines w:val="0"/>
        <w:widowControl/>
        <w:spacing w:before="0" w:after="50" w:line="252" w:lineRule="auto"/>
      </w:pPr>
      <w:r>
        <w:rPr>
          <w:rFonts w:ascii="Liberation Sans" w:hAnsi="Liberation Sans"/>
        </w:rPr>
        <w:t>5 Prescribed dependence and preventable harm</w:t>
      </w:r>
    </w:p>
    <w:p>
      <w:pPr>
        <w:keepLines w:val="0"/>
        <w:widowControl/>
        <w:spacing w:before="0" w:after="50" w:line="252" w:lineRule="auto"/>
      </w:pPr>
      <w:r>
        <w:rPr>
          <w:rFonts w:ascii="Liberation Sans" w:hAnsi="Liberation Sans"/>
        </w:rPr>
        <w:t>6 Harm reduction and regulated care</w:t>
      </w:r>
    </w:p>
    <w:p>
      <w:pPr>
        <w:keepLines w:val="0"/>
        <w:widowControl/>
        <w:spacing w:before="0" w:after="50" w:line="252" w:lineRule="auto"/>
      </w:pPr>
      <w:r>
        <w:rPr>
          <w:rFonts w:ascii="Liberation Sans" w:hAnsi="Liberation Sans"/>
        </w:rPr>
        <w:t>7 Frontline and paramedic knowledge</w:t>
      </w:r>
    </w:p>
    <w:p>
      <w:pPr>
        <w:keepLines w:val="0"/>
        <w:widowControl/>
        <w:spacing w:before="0" w:after="50" w:line="252" w:lineRule="auto"/>
      </w:pPr>
      <w:r>
        <w:rPr>
          <w:rFonts w:ascii="Liberation Sans" w:hAnsi="Liberation Sans"/>
        </w:rPr>
        <w:t>8 Access control money and commercial power</w:t>
      </w:r>
    </w:p>
    <w:p>
      <w:pPr>
        <w:keepLines w:val="0"/>
        <w:widowControl/>
        <w:spacing w:before="0" w:after="50" w:line="252" w:lineRule="auto"/>
      </w:pPr>
      <w:r>
        <w:rPr>
          <w:rFonts w:ascii="Liberation Sans" w:hAnsi="Liberation Sans"/>
        </w:rPr>
        <w:t>9 Cannabis and ketamine case studies</w:t>
      </w:r>
    </w:p>
    <w:p>
      <w:pPr>
        <w:keepLines w:val="0"/>
        <w:widowControl/>
        <w:spacing w:before="0" w:after="50" w:line="252" w:lineRule="auto"/>
      </w:pPr>
      <w:r>
        <w:rPr>
          <w:rFonts w:ascii="Liberation Sans" w:hAnsi="Liberation Sans"/>
        </w:rPr>
        <w:t>10 Police time prison space and public money</w:t>
      </w:r>
    </w:p>
    <w:p>
      <w:pPr>
        <w:keepLines w:val="0"/>
        <w:widowControl/>
        <w:spacing w:before="0" w:after="50" w:line="252" w:lineRule="auto"/>
      </w:pPr>
      <w:r>
        <w:rPr>
          <w:rFonts w:ascii="Liberation Sans" w:hAnsi="Liberation Sans"/>
        </w:rPr>
        <w:t>11 A regulated access model</w:t>
      </w:r>
    </w:p>
    <w:p>
      <w:pPr>
        <w:keepLines w:val="0"/>
        <w:widowControl/>
        <w:spacing w:before="0" w:after="50" w:line="252" w:lineRule="auto"/>
      </w:pPr>
      <w:r>
        <w:rPr>
          <w:rFonts w:ascii="Liberation Sans" w:hAnsi="Liberation Sans"/>
        </w:rPr>
        <w:t>12 A practical method for questioning treatment</w:t>
      </w:r>
    </w:p>
    <w:p>
      <w:pPr>
        <w:keepLines w:val="0"/>
        <w:widowControl/>
        <w:spacing w:before="0" w:after="50" w:line="252" w:lineRule="auto"/>
      </w:pPr>
      <w:r>
        <w:rPr>
          <w:rFonts w:ascii="Liberation Sans" w:hAnsi="Liberation Sans"/>
        </w:rPr>
        <w:t>13 Sources for alternative and patient perspectives</w:t>
      </w:r>
    </w:p>
    <w:p>
      <w:pPr>
        <w:keepLines w:val="0"/>
        <w:widowControl/>
        <w:spacing w:before="0" w:after="50" w:line="252" w:lineRule="auto"/>
      </w:pPr>
      <w:r>
        <w:rPr>
          <w:rFonts w:ascii="Liberation Sans" w:hAnsi="Liberation Sans"/>
        </w:rPr>
        <w:t>14 Reading experience reports responsibly</w:t>
      </w:r>
    </w:p>
    <w:p>
      <w:pPr>
        <w:keepLines w:val="0"/>
        <w:widowControl/>
        <w:spacing w:before="0" w:after="50" w:line="252" w:lineRule="auto"/>
      </w:pPr>
      <w:r>
        <w:rPr>
          <w:rFonts w:ascii="Liberation Sans" w:hAnsi="Liberation Sans"/>
        </w:rPr>
        <w:t>15 Principles for humane drug policy</w:t>
      </w:r>
    </w:p>
    <w:p>
      <w:pPr>
        <w:keepLines w:val="0"/>
        <w:widowControl/>
        <w:spacing w:before="0" w:after="50" w:line="252" w:lineRule="auto"/>
      </w:pPr>
      <w:r>
        <w:rPr>
          <w:rFonts w:ascii="Liberation Sans" w:hAnsi="Liberation Sans"/>
        </w:rPr>
        <w:t>References</w:t>
      </w:r>
    </w:p>
    <w:p>
      <w:pPr>
        <w:keepLines w:val="0"/>
        <w:widowControl/>
        <w:spacing w:before="0" w:after="50" w:line="252" w:lineRule="auto"/>
      </w:pPr>
      <w:r>
        <w:rPr>
          <w:rFonts w:ascii="Liberation Sans" w:hAnsi="Liberation Sans"/>
        </w:rPr>
        <w:t>Appendix A Patient experience threads</w:t>
      </w:r>
    </w:p>
    <w:p>
      <w:pPr>
        <w:keepLines w:val="0"/>
        <w:widowControl/>
        <w:spacing w:before="0" w:after="50" w:line="252" w:lineRule="auto"/>
      </w:pPr>
      <w:r>
        <w:rPr>
          <w:rFonts w:ascii="Liberation Sans" w:hAnsi="Liberation Sans"/>
        </w:rPr>
        <w:t>Appendix B Animal use of bioactive substances</w:t>
      </w:r>
    </w:p>
    <w:p>
      <w:pPr>
        <w:pStyle w:val="Heading1"/>
        <w:keepNext/>
        <w:keepLines w:val="0"/>
        <w:pageBreakBefore/>
        <w:widowControl/>
        <w:spacing w:before="0" w:after="140" w:line="278" w:lineRule="auto"/>
      </w:pPr>
      <w:r>
        <w:rPr>
          <w:rFonts w:ascii="Liberation Sans" w:hAnsi="Liberation Sans"/>
        </w:rPr>
        <w:t>1 The situation I can see and the question it creates</w:t>
      </w:r>
    </w:p>
    <w:p>
      <w:pPr>
        <w:keepLines w:val="0"/>
        <w:widowControl/>
        <w:spacing w:before="0" w:after="140" w:line="278" w:lineRule="auto"/>
      </w:pPr>
      <w:r>
        <w:rPr>
          <w:rFonts w:ascii="Liberation Sans" w:hAnsi="Liberation Sans"/>
        </w:rPr>
        <w:t>The situation this paper can see is a contradiction. Society asks people to trust prescribed substances while sometimes discounting their reports of harm; it condemns other substances by legal category while leaving their actual supply to an unregulated market; and it spends public resources enforcing possession rules without publishing a complete ledger of the time, money, health outcomes and opportunity costs involved. None of those observations proves a conspiracy. Together they justify a public question: does it have to be this way, or can the same institutions be used differently?</w:t>
      </w:r>
    </w:p>
    <w:p>
      <w:pPr>
        <w:keepLines w:val="0"/>
        <w:widowControl/>
        <w:spacing w:before="0" w:after="140" w:line="278" w:lineRule="auto"/>
      </w:pPr>
      <w:r>
        <w:rPr>
          <w:rFonts w:ascii="Liberation Sans" w:hAnsi="Liberation Sans"/>
        </w:rPr>
        <w:t>The demand at the centre of this paper is straightforward. Your body is your own, and my body is mine. Healthcare should listen, explain, help and respond when a person reports pain, illness, withdrawal or harm. Government should protect people from coercion, contamination, fraud and harm to others without treating every person who uses a prohibited drug as an enemy or every person who questions a prescription as non compliant. Permission over one's own body should begin with the informed choice of the person who lives in it, subject to proportionate boundaries where conduct threatens another person.</w:t>
      </w:r>
    </w:p>
    <w:p>
      <w:pPr>
        <w:keepLines w:val="0"/>
        <w:widowControl/>
        <w:spacing w:before="0" w:after="140" w:line="278" w:lineRule="auto"/>
      </w:pPr>
      <w:r>
        <w:rPr>
          <w:rFonts w:ascii="Liberation Sans" w:hAnsi="Liberation Sans"/>
        </w:rPr>
        <w:t>This argument does not require the claim that all doctors are ignorant, that every company is corrupt, or that self experimentation is safe. Those claims are too broad to prove and too easy to dismiss. The stronger argument identifies the conduct that damages trust: consent obtained under pressure, known risks left unexplained, withdrawal mistaken for relapse, alternatives withheld without reasons, commercial interests hidden, individual feedback discounted, and criminal penalties that make honest disclosure dangerous.</w:t>
      </w:r>
    </w:p>
    <w:p>
      <w:pPr>
        <w:keepLines w:val="0"/>
        <w:widowControl/>
        <w:spacing w:before="0" w:after="140" w:line="278" w:lineRule="auto"/>
      </w:pPr>
      <w:r>
        <w:rPr>
          <w:rFonts w:ascii="Liberation Sans" w:hAnsi="Liberation Sans"/>
        </w:rPr>
        <w:t>Fear is useful as an acute alarm. It is a poor governing principle. Threats can make teenagers, patients and adults hide what they are doing. Secrecy then removes the very information that parents, clinicians and emergency workers need to reduce harm. Respectful communication does not guarantee agreement, but it makes accurate information more likely.</w:t>
      </w:r>
    </w:p>
    <w:p>
      <w:pPr>
        <w:pStyle w:val="Heading2"/>
        <w:keepNext/>
        <w:keepLines w:val="0"/>
        <w:widowControl/>
        <w:spacing w:before="0" w:after="140" w:line="278" w:lineRule="auto"/>
      </w:pPr>
      <w:r>
        <w:rPr>
          <w:rFonts w:ascii="Liberation Sans" w:hAnsi="Liberation Sans"/>
        </w:rPr>
        <w:t>Transformation, not abolition</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293"/>
        <w:gridCol w:w="3293"/>
        <w:gridCol w:w="3293"/>
      </w:tblGrid>
      <w:tr>
        <w:trPr>
          <w:tblHeader w:val="true"/>
          <w:cantSplit w:val="true"/>
        </w:trPr>
        <w:tc>
          <w:tcPr>
            <w:tcW w:type="dxa" w:w="1800"/>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6"/>
              </w:rPr>
              <w:t>Public tool</w:t>
            </w:r>
          </w:p>
        </w:tc>
        <w:tc>
          <w:tcPr>
            <w:tcW w:type="dxa" w:w="3384"/>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6"/>
              </w:rPr>
              <w:t>Current punitive use</w:t>
            </w:r>
          </w:p>
        </w:tc>
        <w:tc>
          <w:tcPr>
            <w:tcW w:type="dxa" w:w="4680"/>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6"/>
              </w:rPr>
              <w:t>Care based use</w:t>
            </w:r>
          </w:p>
        </w:tc>
      </w:tr>
      <w:tr>
        <w:trPr>
          <w:cantSplit w:val="true"/>
        </w:trPr>
        <w:tc>
          <w:tcPr>
            <w:tcW w:type="dxa" w:w="1800"/>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Police power</w:t>
            </w:r>
          </w:p>
        </w:tc>
        <w:tc>
          <w:tcPr>
            <w:tcW w:type="dxa" w:w="338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Punish authorised adult possession</w:t>
            </w:r>
          </w:p>
        </w:tc>
        <w:tc>
          <w:tcPr>
            <w:tcW w:type="dxa" w:w="4680"/>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Protect against violence, coercion, exploitation, sales to children, impaired driving and dishonest supply</w:t>
            </w:r>
          </w:p>
        </w:tc>
      </w:tr>
      <w:tr>
        <w:trPr>
          <w:cantSplit w:val="true"/>
        </w:trPr>
        <w:tc>
          <w:tcPr>
            <w:tcW w:type="dxa" w:w="1800"/>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Clinical authority</w:t>
            </w:r>
          </w:p>
        </w:tc>
        <w:tc>
          <w:tcPr>
            <w:tcW w:type="dxa" w:w="3384"/>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Gatekeep through status or stigma</w:t>
            </w:r>
          </w:p>
        </w:tc>
        <w:tc>
          <w:tcPr>
            <w:tcW w:type="dxa" w:w="4680"/>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Explain evidence, assess material risk, support informed consent and document reasons</w:t>
            </w:r>
          </w:p>
        </w:tc>
      </w:tr>
      <w:tr>
        <w:trPr>
          <w:cantSplit w:val="true"/>
        </w:trPr>
        <w:tc>
          <w:tcPr>
            <w:tcW w:type="dxa" w:w="1800"/>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Regulation</w:t>
            </w:r>
          </w:p>
        </w:tc>
        <w:tc>
          <w:tcPr>
            <w:tcW w:type="dxa" w:w="338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Leave prohibited products unverified</w:t>
            </w:r>
          </w:p>
        </w:tc>
        <w:tc>
          <w:tcPr>
            <w:tcW w:type="dxa" w:w="4680"/>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Control identity, potency, manufacture, packaging, recall and truthful labelling</w:t>
            </w:r>
          </w:p>
        </w:tc>
      </w:tr>
      <w:tr>
        <w:trPr>
          <w:cantSplit w:val="true"/>
        </w:trPr>
        <w:tc>
          <w:tcPr>
            <w:tcW w:type="dxa" w:w="1800"/>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Emergency services</w:t>
            </w:r>
          </w:p>
        </w:tc>
        <w:tc>
          <w:tcPr>
            <w:tcW w:type="dxa" w:w="3384"/>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Meet people only after crisis</w:t>
            </w:r>
          </w:p>
        </w:tc>
        <w:tc>
          <w:tcPr>
            <w:tcW w:type="dxa" w:w="4680"/>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Use batch alerts, prepared protocols, onsite welfare and rapid non judgemental rescue</w:t>
            </w:r>
          </w:p>
        </w:tc>
      </w:tr>
      <w:tr>
        <w:trPr>
          <w:cantSplit w:val="true"/>
        </w:trPr>
        <w:tc>
          <w:tcPr>
            <w:tcW w:type="dxa" w:w="1800"/>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Patient reports</w:t>
            </w:r>
          </w:p>
        </w:tc>
        <w:tc>
          <w:tcPr>
            <w:tcW w:type="dxa" w:w="338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Dismiss stories as merely anecdotal</w:t>
            </w:r>
          </w:p>
        </w:tc>
        <w:tc>
          <w:tcPr>
            <w:tcW w:type="dxa" w:w="4680"/>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Treat them as signals, preserve records and test them against toxicology and population evidence</w:t>
            </w:r>
          </w:p>
        </w:tc>
      </w:tr>
      <w:tr>
        <w:trPr>
          <w:cantSplit w:val="true"/>
        </w:trPr>
        <w:tc>
          <w:tcPr>
            <w:tcW w:type="dxa" w:w="1800"/>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Public finance</w:t>
            </w:r>
          </w:p>
        </w:tc>
        <w:tc>
          <w:tcPr>
            <w:tcW w:type="dxa" w:w="3384"/>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Absorb costs across disconnected budgets</w:t>
            </w:r>
          </w:p>
        </w:tc>
        <w:tc>
          <w:tcPr>
            <w:tcW w:type="dxa" w:w="4680"/>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Publish a ledger and ring fence any public contribution for treatment, harm reduction and care</w:t>
            </w:r>
          </w:p>
        </w:tc>
      </w:tr>
    </w:tbl>
    <w:p>
      <w:pPr>
        <w:keepLines w:val="0"/>
        <w:widowControl/>
        <w:spacing w:before="0" w:after="40" w:line="278" w:lineRule="auto"/>
      </w:pPr>
    </w:p>
    <w:p>
      <w:pPr>
        <w:keepLines/>
        <w:widowControl/>
        <w:spacing w:before="0" w:after="140" w:line="278" w:lineRule="auto"/>
      </w:pPr>
      <w:r>
        <w:rPr>
          <w:rFonts w:ascii="Liberation Sans" w:hAnsi="Liberation Sans"/>
        </w:rPr>
        <w:t>A six hour experience of wonder, music, movement or connection may be deeply meaningful to the person who has it. It may also involve dehydration, overheating, injury, panic, adulterants or dangerous interactions. Both statements can be true. Dismissing the meaning makes care less credible; dismissing the risk makes autonomy less informed. In this paper, ‘civilised’ means making that tension discussable and measurable. ‘Barbaric’ describes avoidable institutional humiliation, contamination, pain or delayed rescue—not the character of every doctor, police officer or public servant working inside the present system.</w:t>
      </w:r>
    </w:p>
    <w:p>
      <w:pPr>
        <w:pStyle w:val="Heading1"/>
        <w:keepNext/>
        <w:keepLines w:val="0"/>
        <w:widowControl/>
        <w:spacing w:before="0" w:after="140" w:line="278" w:lineRule="auto"/>
      </w:pPr>
      <w:r>
        <w:rPr>
          <w:rFonts w:ascii="Liberation Sans" w:hAnsi="Liberation Sans"/>
        </w:rPr>
        <w:t>2 Drugs language and moral categories</w:t>
      </w:r>
    </w:p>
    <w:p>
      <w:pPr>
        <w:keepLines w:val="0"/>
        <w:widowControl/>
        <w:spacing w:before="0" w:after="140" w:line="278" w:lineRule="auto"/>
      </w:pPr>
      <w:r>
        <w:rPr>
          <w:rFonts w:ascii="Liberation Sans" w:hAnsi="Liberation Sans"/>
        </w:rPr>
        <w:t>A drug is a substance that changes biological function. The category includes prescription medicines, pharmacy products, alcohol, nicotine, caffeine and prohibited psychoactive substances. It also reaches many plant compounds and naturally occurring chemicals. Law and culture divide these substances into moral categories, but pharmacology does not recognise a border between respectable and disreputable molecules.</w:t>
      </w:r>
    </w:p>
    <w:p>
      <w:pPr>
        <w:keepLines w:val="0"/>
        <w:widowControl/>
        <w:spacing w:before="0" w:after="140" w:line="278" w:lineRule="auto"/>
      </w:pPr>
      <w:r>
        <w:rPr>
          <w:rFonts w:ascii="Liberation Sans" w:hAnsi="Liberation Sans"/>
        </w:rPr>
        <w:t>This does not mean that all drugs are equivalent. Risk depends on the substance and its potency, dose, purity, route, frequency, combinations, the person's physiology and mental state, and the physical and social setting. A regulated tablet has manufacturing controls that a powder from an illegal market may lack. A prescription may still be poorly chosen, badly monitored or difficult to stop. A familiar over the counter medicine can still cause serious harm.</w:t>
      </w:r>
    </w:p>
    <w:p>
      <w:pPr>
        <w:keepLines w:val="0"/>
        <w:widowControl/>
        <w:spacing w:before="0" w:after="140" w:line="278" w:lineRule="auto"/>
      </w:pPr>
      <w:r>
        <w:rPr>
          <w:rFonts w:ascii="Liberation Sans" w:hAnsi="Liberation Sans"/>
        </w:rPr>
        <w:t>Language should also be chemically accurate. Codeine is an opioid, but it is not heroin. Heroin is diamorphine. The relationship matters because both can cause dependence and respiratory depression, but calling them identical obscures important differences in potency, metabolism and use. Likewise, the anticoagulant sometimes called wolferine is warfarin. Precision helps people challenge a system without giving the system an easy reason to ignore them.</w:t>
      </w:r>
    </w:p>
    <w:p>
      <w:pPr>
        <w:pStyle w:val="Heading1"/>
        <w:keepNext/>
        <w:keepLines w:val="0"/>
        <w:widowControl/>
        <w:spacing w:before="0" w:after="140" w:line="278" w:lineRule="auto"/>
      </w:pPr>
      <w:r>
        <w:rPr>
          <w:rFonts w:ascii="Liberation Sans" w:hAnsi="Liberation Sans"/>
        </w:rPr>
        <w:t>3 Science and lived experience</w:t>
      </w:r>
    </w:p>
    <w:p>
      <w:pPr>
        <w:keepLines w:val="0"/>
        <w:widowControl/>
        <w:spacing w:before="0" w:after="140" w:line="278" w:lineRule="auto"/>
      </w:pPr>
      <w:r>
        <w:rPr>
          <w:rFonts w:ascii="Liberation Sans" w:hAnsi="Liberation Sans"/>
        </w:rPr>
        <w:t>Science is incomplete by design. It is a method for testing claims, measuring uncertainty and correcting error. Its incompleteness is a reason to keep investigating, not a reason to place every claim on the same footing. Medicine becomes authoritarian when it presents provisional knowledge as unquestionable. Personal testimony becomes misleading when it presents one outcome as universal.</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293"/>
        <w:gridCol w:w="3293"/>
        <w:gridCol w:w="3293"/>
      </w:tblGrid>
      <w:tr>
        <w:trPr>
          <w:tblHeader w:val="true"/>
          <w:cantSplit w:val="true"/>
        </w:trPr>
        <w:tc>
          <w:tcPr>
            <w:tcW w:type="dxa" w:w="1944"/>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7"/>
              </w:rPr>
              <w:t>Evidence source</w:t>
            </w:r>
          </w:p>
        </w:tc>
        <w:tc>
          <w:tcPr>
            <w:tcW w:type="dxa" w:w="3528"/>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7"/>
              </w:rPr>
              <w:t>What it can reveal</w:t>
            </w:r>
          </w:p>
        </w:tc>
        <w:tc>
          <w:tcPr>
            <w:tcW w:type="dxa" w:w="4392"/>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7"/>
              </w:rPr>
              <w:t>What it cannot establish alone</w:t>
            </w:r>
          </w:p>
        </w:tc>
      </w:tr>
      <w:tr>
        <w:trPr>
          <w:cantSplit w:val="true"/>
        </w:trPr>
        <w:tc>
          <w:tcPr>
            <w:tcW w:type="dxa" w:w="194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Randomised trials</w:t>
            </w:r>
          </w:p>
        </w:tc>
        <w:tc>
          <w:tcPr>
            <w:tcW w:type="dxa" w:w="352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Average effects under controlled conditions</w:t>
            </w:r>
          </w:p>
        </w:tc>
        <w:tc>
          <w:tcPr>
            <w:tcW w:type="dxa" w:w="439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May exclude complex patients and miss rare or long term harms</w:t>
            </w:r>
          </w:p>
        </w:tc>
      </w:tr>
      <w:tr>
        <w:trPr>
          <w:cantSplit w:val="true"/>
        </w:trPr>
        <w:tc>
          <w:tcPr>
            <w:tcW w:type="dxa" w:w="1944"/>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Observational studies</w:t>
            </w:r>
          </w:p>
        </w:tc>
        <w:tc>
          <w:tcPr>
            <w:tcW w:type="dxa" w:w="352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Patterns in larger real world populations</w:t>
            </w:r>
          </w:p>
        </w:tc>
        <w:tc>
          <w:tcPr>
            <w:tcW w:type="dxa" w:w="4392"/>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Confounding can imitate causation</w:t>
            </w:r>
          </w:p>
        </w:tc>
      </w:tr>
      <w:tr>
        <w:trPr>
          <w:cantSplit w:val="true"/>
        </w:trPr>
        <w:tc>
          <w:tcPr>
            <w:tcW w:type="dxa" w:w="194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Pharmacovigilance</w:t>
            </w:r>
          </w:p>
        </w:tc>
        <w:tc>
          <w:tcPr>
            <w:tcW w:type="dxa" w:w="352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Signals after medicines enter wider use</w:t>
            </w:r>
          </w:p>
        </w:tc>
        <w:tc>
          <w:tcPr>
            <w:tcW w:type="dxa" w:w="439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Reports are incomplete and do not prove causation</w:t>
            </w:r>
          </w:p>
        </w:tc>
      </w:tr>
      <w:tr>
        <w:trPr>
          <w:cantSplit w:val="true"/>
        </w:trPr>
        <w:tc>
          <w:tcPr>
            <w:tcW w:type="dxa" w:w="1944"/>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Laboratory testing</w:t>
            </w:r>
          </w:p>
        </w:tc>
        <w:tc>
          <w:tcPr>
            <w:tcW w:type="dxa" w:w="352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Identity purity and contaminants</w:t>
            </w:r>
          </w:p>
        </w:tc>
        <w:tc>
          <w:tcPr>
            <w:tcW w:type="dxa" w:w="4392"/>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Does not predict one person's psychological or medical response</w:t>
            </w:r>
          </w:p>
        </w:tc>
      </w:tr>
      <w:tr>
        <w:trPr>
          <w:cantSplit w:val="true"/>
        </w:trPr>
        <w:tc>
          <w:tcPr>
            <w:tcW w:type="dxa" w:w="194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Qualitative research</w:t>
            </w:r>
          </w:p>
        </w:tc>
        <w:tc>
          <w:tcPr>
            <w:tcW w:type="dxa" w:w="352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Meaning context stigma and care experience</w:t>
            </w:r>
          </w:p>
        </w:tc>
        <w:tc>
          <w:tcPr>
            <w:tcW w:type="dxa" w:w="439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Usually cannot estimate population frequency</w:t>
            </w:r>
          </w:p>
        </w:tc>
      </w:tr>
      <w:tr>
        <w:trPr>
          <w:cantSplit w:val="true"/>
        </w:trPr>
        <w:tc>
          <w:tcPr>
            <w:tcW w:type="dxa" w:w="1944"/>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Experience reports</w:t>
            </w:r>
          </w:p>
        </w:tc>
        <w:tc>
          <w:tcPr>
            <w:tcW w:type="dxa" w:w="352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Detailed first person effects and unexpected possibilities</w:t>
            </w:r>
          </w:p>
        </w:tc>
        <w:tc>
          <w:tcPr>
            <w:tcW w:type="dxa" w:w="4392"/>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Identity dose memory selection and survivorship may be uncertain</w:t>
            </w:r>
          </w:p>
        </w:tc>
      </w:tr>
      <w:tr>
        <w:trPr>
          <w:cantSplit w:val="true"/>
        </w:trPr>
        <w:tc>
          <w:tcPr>
            <w:tcW w:type="dxa" w:w="194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Frontline observation</w:t>
            </w:r>
          </w:p>
        </w:tc>
        <w:tc>
          <w:tcPr>
            <w:tcW w:type="dxa" w:w="352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Acute failure modes and system gaps</w:t>
            </w:r>
          </w:p>
        </w:tc>
        <w:tc>
          <w:tcPr>
            <w:tcW w:type="dxa" w:w="439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Emergency work sees a selected high risk population</w:t>
            </w:r>
          </w:p>
        </w:tc>
      </w:tr>
    </w:tbl>
    <w:p>
      <w:pPr>
        <w:keepLines w:val="0"/>
        <w:widowControl/>
        <w:spacing w:before="0" w:after="40" w:line="278" w:lineRule="auto"/>
      </w:pPr>
    </w:p>
    <w:p>
      <w:pPr>
        <w:keepLines w:val="0"/>
        <w:widowControl/>
        <w:spacing w:before="0" w:after="140" w:line="278" w:lineRule="auto"/>
      </w:pPr>
      <w:r>
        <w:rPr>
          <w:rFonts w:ascii="Liberation Sans" w:hAnsi="Liberation Sans"/>
        </w:rPr>
        <w:t>The best inquiry combines these forms. A patient story may generate a signal. Repeated stories may justify a formal study or regulatory review. Laboratory data can establish what was actually present. Clinical records can clarify timing and competing causes. Population studies can estimate frequency. None of this requires treating the person as a passive container for professional knowledge.</w:t>
      </w:r>
    </w:p>
    <w:p>
      <w:pPr>
        <w:keepLines w:val="0"/>
        <w:widowControl/>
        <w:spacing w:before="0" w:after="140" w:line="278" w:lineRule="auto"/>
      </w:pPr>
      <w:r>
        <w:rPr>
          <w:rFonts w:ascii="Liberation Sans" w:hAnsi="Liberation Sans"/>
        </w:rPr>
        <w:t>The 2026 MHRA review of gabapentin, pregabalin, benzodiazepines and Z drugs illustrates this combined approach. It considered Yellow Card reports, company data, international regulators, GP practice data and lived experience supplied by patient groups. It concluded that warnings about addiction, dependence, withdrawal and tolerance needed strengthening. [5] That is science learning from experience rather than using authority to silence it.</w:t>
      </w:r>
    </w:p>
    <w:p>
      <w:pPr>
        <w:pStyle w:val="Heading1"/>
        <w:keepNext/>
        <w:keepLines w:val="0"/>
        <w:widowControl/>
        <w:spacing w:before="0" w:after="140" w:line="278" w:lineRule="auto"/>
      </w:pPr>
      <w:r>
        <w:rPr>
          <w:rFonts w:ascii="Liberation Sans" w:hAnsi="Liberation Sans"/>
        </w:rPr>
        <w:t>4 Consent refusal and patient choice</w:t>
      </w:r>
    </w:p>
    <w:p>
      <w:pPr>
        <w:keepLines w:val="0"/>
        <w:widowControl/>
        <w:spacing w:before="0" w:after="140" w:line="278" w:lineRule="auto"/>
      </w:pPr>
      <w:r>
        <w:rPr>
          <w:rFonts w:ascii="Liberation Sans" w:hAnsi="Liberation Sans"/>
        </w:rPr>
        <w:t>In England, valid consent must be voluntary, informed and given by a person with capacity. NHS guidance states that an adult with capacity may refuse a treatment even when refusal could result in death. Information should cover benefits, risks, reasonable alternatives and what may happen without treatment. [1] The NHS Constitution also recognises rights to accept or refuse offered treatment, receive information about options, and participate in decisions. [3] GMC guidance treats shared decision making and listening as fundamental to good medical practice. [2]</w:t>
      </w:r>
    </w:p>
    <w:p>
      <w:pPr>
        <w:keepLines w:val="0"/>
        <w:widowControl/>
        <w:spacing w:before="0" w:after="140" w:line="278" w:lineRule="auto"/>
      </w:pPr>
      <w:r>
        <w:rPr>
          <w:rFonts w:ascii="Liberation Sans" w:hAnsi="Liberation Sans"/>
        </w:rPr>
        <w:t>These rights are powerful but specific. A person can usually refuse an offered drug. A person can ask for another option, a second opinion, a medication review and an explanation of a funding decision. The law does not generally guarantee access to any drug a person chooses, nor does it require the NHS to fund an intervention that is unlawful, clinically inappropriate or outside commissioning rules. Emergency treatment, lack of decision making capacity and some mental health law situations create exceptions that require careful legal analysis.</w:t>
      </w:r>
    </w:p>
    <w:p>
      <w:pPr>
        <w:keepLines w:val="0"/>
        <w:widowControl/>
        <w:spacing w:before="0" w:after="140" w:line="278" w:lineRule="auto"/>
      </w:pPr>
      <w:r>
        <w:rPr>
          <w:rFonts w:ascii="Liberation Sans" w:hAnsi="Liberation Sans"/>
        </w:rPr>
        <w:t>The right to refuse treatment is also different from a general legal right to obtain any substance or to receive assistance in dying. Bodily autonomy remains the ethical starting point, but laws also address coercion, capacity, protection of children, dangerous supply, public safety and professional duties. A serious rights argument should confront those tensions directly.</w:t>
      </w:r>
    </w:p>
    <w:p>
      <w:pPr>
        <w:pStyle w:val="Heading2"/>
        <w:keepNext/>
        <w:keepLines w:val="0"/>
        <w:widowControl/>
        <w:spacing w:before="0" w:after="140" w:line="278" w:lineRule="auto"/>
      </w:pPr>
      <w:r>
        <w:rPr>
          <w:rFonts w:ascii="Liberation Sans" w:hAnsi="Liberation Sans"/>
        </w:rPr>
        <w:t>What respectful refusal should look like</w:t>
      </w:r>
    </w:p>
    <w:p>
      <w:pPr>
        <w:pStyle w:val="ListBullet"/>
        <w:keepLines w:val="0"/>
        <w:widowControl/>
        <w:spacing w:before="0" w:after="80" w:line="269" w:lineRule="auto"/>
      </w:pPr>
      <w:r>
        <w:rPr>
          <w:rFonts w:ascii="Liberation Sans" w:hAnsi="Liberation Sans"/>
        </w:rPr>
        <w:t>The clinician checks that the person understands the relevant information and is deciding voluntarily.</w:t>
      </w:r>
    </w:p>
    <w:p>
      <w:pPr>
        <w:pStyle w:val="ListBullet"/>
        <w:keepLines w:val="0"/>
        <w:widowControl/>
        <w:spacing w:before="0" w:after="80" w:line="269" w:lineRule="auto"/>
      </w:pPr>
      <w:r>
        <w:rPr>
          <w:rFonts w:ascii="Liberation Sans" w:hAnsi="Liberation Sans"/>
        </w:rPr>
        <w:t>The record states the offered treatment, the person's reasons if they wish to give them, the alternatives discussed and the agreed safety plan.</w:t>
      </w:r>
    </w:p>
    <w:p>
      <w:pPr>
        <w:pStyle w:val="ListBullet"/>
        <w:keepLines w:val="0"/>
        <w:widowControl/>
        <w:spacing w:before="0" w:after="80" w:line="269" w:lineRule="auto"/>
      </w:pPr>
      <w:r>
        <w:rPr>
          <w:rFonts w:ascii="Liberation Sans" w:hAnsi="Liberation Sans"/>
        </w:rPr>
        <w:t>Refusal is not converted into a character judgement or used to deny unrelated care.</w:t>
      </w:r>
    </w:p>
    <w:p>
      <w:pPr>
        <w:pStyle w:val="ListBullet"/>
        <w:keepLines w:val="0"/>
        <w:widowControl/>
        <w:spacing w:before="0" w:after="80" w:line="269" w:lineRule="auto"/>
      </w:pPr>
      <w:r>
        <w:rPr>
          <w:rFonts w:ascii="Liberation Sans" w:hAnsi="Liberation Sans"/>
        </w:rPr>
        <w:t>If a medicine can cause withdrawal, refusal of continued treatment leads to a supported reduction plan rather than abrupt abandonment.</w:t>
      </w:r>
    </w:p>
    <w:p>
      <w:pPr>
        <w:pStyle w:val="ListBullet"/>
        <w:keepLines w:val="0"/>
        <w:widowControl/>
        <w:spacing w:before="0" w:after="80" w:line="269" w:lineRule="auto"/>
      </w:pPr>
      <w:r>
        <w:rPr>
          <w:rFonts w:ascii="Liberation Sans" w:hAnsi="Liberation Sans"/>
        </w:rPr>
        <w:t>The person is told how to seek review, complain, report a suspected adverse effect and obtain urgent help.</w:t>
      </w:r>
    </w:p>
    <w:p>
      <w:pPr>
        <w:pStyle w:val="Heading1"/>
        <w:keepNext/>
        <w:keepLines w:val="0"/>
        <w:widowControl/>
        <w:spacing w:before="0" w:after="140" w:line="278" w:lineRule="auto"/>
      </w:pPr>
      <w:r>
        <w:rPr>
          <w:rFonts w:ascii="Liberation Sans" w:hAnsi="Liberation Sans"/>
        </w:rPr>
        <w:t>5 Prescribed dependence and preventable harm</w:t>
      </w:r>
    </w:p>
    <w:p>
      <w:pPr>
        <w:keepLines w:val="0"/>
        <w:widowControl/>
        <w:spacing w:before="0" w:after="140" w:line="278" w:lineRule="auto"/>
      </w:pPr>
      <w:r>
        <w:rPr>
          <w:rFonts w:ascii="Liberation Sans" w:hAnsi="Liberation Sans"/>
        </w:rPr>
        <w:t>The claim that legal medicine can cause dependence is not an alternative theory. It is recognised by public health authorities. Public Health England reported that 11.5 million adults in England received at least one prescription from five medicine groups associated with dependence or withdrawal in 2017 to 2018. It found 5.6 million people received opioid pain medicines and 1.5 million received gabapentinoids. It also identified 540,000 people with continuous opioid prescriptions and 160,000 with continuous gabapentinoid prescriptions from April 2015 to March 2018. [4] These historical figures describe scale, not current prevalence, but they show why supported review matters.</w:t>
      </w:r>
    </w:p>
    <w:p>
      <w:pPr>
        <w:keepLines w:val="0"/>
        <w:widowControl/>
        <w:spacing w:before="0" w:after="140" w:line="278" w:lineRule="auto"/>
      </w:pPr>
      <w:r>
        <w:rPr>
          <w:rFonts w:ascii="Liberation Sans" w:hAnsi="Liberation Sans"/>
        </w:rPr>
        <w:t>The same review reported that some patients lacked information about risks, felt that withdrawal was not recognised, received insufficient reviews, and were not offered non medicinal options. Its conclusion is especially important: patients seeking to stop must have appropriate advice and must never be stigmatised, while inappropriate restriction may increase suicide risk or push people toward illicit and less regulated supply. [4]</w:t>
      </w:r>
    </w:p>
    <w:p>
      <w:pPr>
        <w:keepLines w:val="0"/>
        <w:widowControl/>
        <w:spacing w:before="0" w:after="140" w:line="278" w:lineRule="auto"/>
      </w:pPr>
      <w:r>
        <w:rPr>
          <w:rFonts w:ascii="Liberation Sans" w:hAnsi="Liberation Sans"/>
        </w:rPr>
        <w:t>Current MHRA advice distinguishes physical dependence from addiction. It warns that abrupt stopping or dose reduction can produce withdrawal and that tapering may take weeks or months. The plan should be individual and flexible. [5] This directly challenges the idea that every request for help with a prescribed medicine proves moral failure or illicit intent.</w:t>
      </w:r>
    </w:p>
    <w:p>
      <w:pPr>
        <w:pStyle w:val="Heading2"/>
        <w:keepNext/>
        <w:keepLines w:val="0"/>
        <w:widowControl/>
        <w:spacing w:before="0" w:after="140" w:line="278" w:lineRule="auto"/>
      </w:pPr>
      <w:r>
        <w:rPr>
          <w:rFonts w:ascii="Liberation Sans" w:hAnsi="Liberation Sans"/>
        </w:rPr>
        <w:t>Examples worth studying</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939"/>
        <w:gridCol w:w="4939"/>
      </w:tblGrid>
      <w:tr>
        <w:trPr>
          <w:tblHeader w:val="true"/>
          <w:cantSplit w:val="true"/>
        </w:trPr>
        <w:tc>
          <w:tcPr>
            <w:tcW w:type="dxa" w:w="2376"/>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8"/>
              </w:rPr>
              <w:t>Medicine</w:t>
            </w:r>
          </w:p>
        </w:tc>
        <w:tc>
          <w:tcPr>
            <w:tcW w:type="dxa" w:w="7488"/>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8"/>
              </w:rPr>
              <w:t>Established concern</w:t>
            </w:r>
          </w:p>
        </w:tc>
      </w:tr>
      <w:tr>
        <w:trPr>
          <w:cantSplit w:val="true"/>
        </w:trPr>
        <w:tc>
          <w:tcPr>
            <w:tcW w:type="dxa" w:w="2376"/>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8"/>
              </w:rPr>
              <w:t>Codeine</w:t>
            </w:r>
          </w:p>
        </w:tc>
        <w:tc>
          <w:tcPr>
            <w:tcW w:type="dxa" w:w="748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8"/>
              </w:rPr>
              <w:t>Opioid dependence withdrawal sedation and slow breathing are recognised risks. It should not be stopped suddenly after long use. [6]</w:t>
            </w:r>
          </w:p>
        </w:tc>
      </w:tr>
      <w:tr>
        <w:trPr>
          <w:cantSplit w:val="true"/>
        </w:trPr>
        <w:tc>
          <w:tcPr>
            <w:tcW w:type="dxa" w:w="2376"/>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8"/>
              </w:rPr>
              <w:t>Pregabalin and gabapentin</w:t>
            </w:r>
          </w:p>
        </w:tc>
        <w:tc>
          <w:tcPr>
            <w:tcW w:type="dxa" w:w="748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8"/>
              </w:rPr>
              <w:t>Dependence withdrawal tolerance and addiction warnings were strengthened in 2026. Pregabalin has also been linked to reports of severe respiratory depression, with higher risk in some patients and combinations. [5, 9]</w:t>
            </w:r>
          </w:p>
        </w:tc>
      </w:tr>
      <w:tr>
        <w:trPr>
          <w:cantSplit w:val="true"/>
        </w:trPr>
        <w:tc>
          <w:tcPr>
            <w:tcW w:type="dxa" w:w="2376"/>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8"/>
              </w:rPr>
              <w:t>Naproxen</w:t>
            </w:r>
          </w:p>
        </w:tc>
        <w:tc>
          <w:tcPr>
            <w:tcW w:type="dxa" w:w="748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8"/>
              </w:rPr>
              <w:t>Ulcer or gastrointestinal bleeding kidney problems and heart failure are recognised serious harms. The smallest effective dose for the shortest period is advised. [7]</w:t>
            </w:r>
          </w:p>
        </w:tc>
      </w:tr>
      <w:tr>
        <w:trPr>
          <w:cantSplit w:val="true"/>
        </w:trPr>
        <w:tc>
          <w:tcPr>
            <w:tcW w:type="dxa" w:w="2376"/>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8"/>
              </w:rPr>
              <w:t>Ibuprofen</w:t>
            </w:r>
          </w:p>
        </w:tc>
        <w:tc>
          <w:tcPr>
            <w:tcW w:type="dxa" w:w="748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8"/>
              </w:rPr>
              <w:t>This NSAID can also cause gastrointestinal kidney and cardiovascular harm, especially in susceptible people or with certain combinations. [8]</w:t>
            </w:r>
          </w:p>
        </w:tc>
      </w:tr>
    </w:tbl>
    <w:p>
      <w:pPr>
        <w:keepLines w:val="0"/>
        <w:widowControl/>
        <w:spacing w:before="0" w:after="40" w:line="278" w:lineRule="auto"/>
      </w:pPr>
    </w:p>
    <w:p>
      <w:pPr>
        <w:pStyle w:val="Heading2"/>
        <w:keepNext/>
        <w:keepLines w:val="0"/>
        <w:widowControl/>
        <w:spacing w:before="0" w:after="140" w:line="278" w:lineRule="auto"/>
      </w:pPr>
      <w:r>
        <w:rPr>
          <w:rFonts w:ascii="Liberation Sans" w:hAnsi="Liberation Sans"/>
        </w:rPr>
        <w:t>High risk combinations to ask about</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293"/>
        <w:gridCol w:w="3293"/>
        <w:gridCol w:w="3293"/>
      </w:tblGrid>
      <w:tr>
        <w:trPr>
          <w:tblHeader w:val="true"/>
          <w:cantSplit w:val="true"/>
        </w:trPr>
        <w:tc>
          <w:tcPr>
            <w:tcW w:type="dxa" w:w="2736"/>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6"/>
              </w:rPr>
              <w:t>Combination</w:t>
            </w:r>
          </w:p>
        </w:tc>
        <w:tc>
          <w:tcPr>
            <w:tcW w:type="dxa" w:w="3384"/>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6"/>
              </w:rPr>
              <w:t>Why it matters</w:t>
            </w:r>
          </w:p>
        </w:tc>
        <w:tc>
          <w:tcPr>
            <w:tcW w:type="dxa" w:w="3744"/>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6"/>
              </w:rPr>
              <w:t>Question to ask</w:t>
            </w:r>
          </w:p>
        </w:tc>
      </w:tr>
      <w:tr>
        <w:trPr>
          <w:cantSplit w:val="true"/>
        </w:trPr>
        <w:tc>
          <w:tcPr>
            <w:tcW w:type="dxa" w:w="2736"/>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Opioid plus pregabalin or gabapentin</w:t>
            </w:r>
          </w:p>
        </w:tc>
        <w:tc>
          <w:tcPr>
            <w:tcW w:type="dxa" w:w="338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Greater sedation and respiratory depression risk</w:t>
            </w:r>
          </w:p>
        </w:tc>
        <w:tc>
          <w:tcPr>
            <w:tcW w:type="dxa" w:w="374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Why is this combination needed and what monitoring or alternatives apply</w:t>
            </w:r>
          </w:p>
        </w:tc>
      </w:tr>
      <w:tr>
        <w:trPr>
          <w:cantSplit w:val="true"/>
        </w:trPr>
        <w:tc>
          <w:tcPr>
            <w:tcW w:type="dxa" w:w="2736"/>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Opioid plus benzodiazepine Z drug or alcohol</w:t>
            </w:r>
          </w:p>
        </w:tc>
        <w:tc>
          <w:tcPr>
            <w:tcW w:type="dxa" w:w="3384"/>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Additive central nervous system and breathing suppression</w:t>
            </w:r>
          </w:p>
        </w:tc>
        <w:tc>
          <w:tcPr>
            <w:tcW w:type="dxa" w:w="3744"/>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Which depressants should be reduced or avoided and what is the emergency plan</w:t>
            </w:r>
          </w:p>
        </w:tc>
      </w:tr>
      <w:tr>
        <w:trPr>
          <w:cantSplit w:val="true"/>
        </w:trPr>
        <w:tc>
          <w:tcPr>
            <w:tcW w:type="dxa" w:w="2736"/>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Naproxen plus ibuprofen or aspirin for pain</w:t>
            </w:r>
          </w:p>
        </w:tc>
        <w:tc>
          <w:tcPr>
            <w:tcW w:type="dxa" w:w="338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Greater ulcer bleeding and other NSAID toxicity</w:t>
            </w:r>
          </w:p>
        </w:tc>
        <w:tc>
          <w:tcPr>
            <w:tcW w:type="dxa" w:w="374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Am I taking two NSAIDs and which single plan is intended</w:t>
            </w:r>
          </w:p>
        </w:tc>
      </w:tr>
      <w:tr>
        <w:trPr>
          <w:cantSplit w:val="true"/>
        </w:trPr>
        <w:tc>
          <w:tcPr>
            <w:tcW w:type="dxa" w:w="2736"/>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NSAID plus warfarin or another anticoagulant</w:t>
            </w:r>
          </w:p>
        </w:tc>
        <w:tc>
          <w:tcPr>
            <w:tcW w:type="dxa" w:w="3384"/>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Bleeding risk may rise</w:t>
            </w:r>
          </w:p>
        </w:tc>
        <w:tc>
          <w:tcPr>
            <w:tcW w:type="dxa" w:w="3744"/>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Has the interaction been reviewed and is another pain treatment safer</w:t>
            </w:r>
          </w:p>
        </w:tc>
      </w:tr>
      <w:tr>
        <w:trPr>
          <w:cantSplit w:val="true"/>
        </w:trPr>
        <w:tc>
          <w:tcPr>
            <w:tcW w:type="dxa" w:w="2736"/>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NSAID plus ACE inhibitor or ARB plus diuretic</w:t>
            </w:r>
          </w:p>
        </w:tc>
        <w:tc>
          <w:tcPr>
            <w:tcW w:type="dxa" w:w="338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The combination can increase acute kidney injury risk</w:t>
            </w:r>
          </w:p>
        </w:tc>
        <w:tc>
          <w:tcPr>
            <w:tcW w:type="dxa" w:w="374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Do I need kidney tests hydration advice or an alternative</w:t>
            </w:r>
          </w:p>
        </w:tc>
      </w:tr>
      <w:tr>
        <w:trPr>
          <w:cantSplit w:val="true"/>
        </w:trPr>
        <w:tc>
          <w:tcPr>
            <w:tcW w:type="dxa" w:w="2736"/>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Tramadol plus serotonergic medicines</w:t>
            </w:r>
          </w:p>
        </w:tc>
        <w:tc>
          <w:tcPr>
            <w:tcW w:type="dxa" w:w="3384"/>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Serotonin toxicity and seizure risk may rise</w:t>
            </w:r>
          </w:p>
        </w:tc>
        <w:tc>
          <w:tcPr>
            <w:tcW w:type="dxa" w:w="3744"/>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Have all antidepressants migraine drugs and other medicines been checked</w:t>
            </w:r>
          </w:p>
        </w:tc>
      </w:tr>
      <w:tr>
        <w:trPr>
          <w:cantSplit w:val="true"/>
        </w:trPr>
        <w:tc>
          <w:tcPr>
            <w:tcW w:type="dxa" w:w="2736"/>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Methotrexate plus trimethoprim</w:t>
            </w:r>
          </w:p>
        </w:tc>
        <w:tc>
          <w:tcPr>
            <w:tcW w:type="dxa" w:w="338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Potentially severe bone marrow toxicity</w:t>
            </w:r>
          </w:p>
        </w:tc>
        <w:tc>
          <w:tcPr>
            <w:tcW w:type="dxa" w:w="374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Has the prescriber checked this specific interaction</w:t>
            </w:r>
          </w:p>
        </w:tc>
      </w:tr>
      <w:tr>
        <w:trPr>
          <w:cantSplit w:val="true"/>
        </w:trPr>
        <w:tc>
          <w:tcPr>
            <w:tcW w:type="dxa" w:w="2736"/>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Nitrate medicine plus sildenafil or similar drug</w:t>
            </w:r>
          </w:p>
        </w:tc>
        <w:tc>
          <w:tcPr>
            <w:tcW w:type="dxa" w:w="3384"/>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Dangerous fall in blood pressure</w:t>
            </w:r>
          </w:p>
        </w:tc>
        <w:tc>
          <w:tcPr>
            <w:tcW w:type="dxa" w:w="3744"/>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Are these medicines ever safe together for me</w:t>
            </w:r>
          </w:p>
        </w:tc>
      </w:tr>
    </w:tbl>
    <w:p>
      <w:pPr>
        <w:keepLines w:val="0"/>
        <w:widowControl/>
        <w:spacing w:before="0" w:after="40" w:line="278" w:lineRule="auto"/>
      </w:pPr>
    </w:p>
    <w:p>
      <w:pPr>
        <w:keepLines w:val="0"/>
        <w:widowControl/>
        <w:spacing w:before="0" w:after="140" w:line="278" w:lineRule="auto"/>
      </w:pPr>
      <w:r>
        <w:rPr>
          <w:rFonts w:ascii="Liberation Sans" w:hAnsi="Liberation Sans"/>
        </w:rPr>
        <w:t>This table is a prompt for professional review, not a complete interaction checker. A pharmacist is often the most accessible medicines specialist. Severe sleepiness, slow or shallow breathing, collapse, vomiting blood, black stools, severe confusion or other acute danger requires urgent assessment.</w:t>
      </w:r>
    </w:p>
    <w:p>
      <w:pPr>
        <w:pStyle w:val="Heading1"/>
        <w:keepNext/>
        <w:keepLines w:val="0"/>
        <w:widowControl/>
        <w:spacing w:before="0" w:after="140" w:line="278" w:lineRule="auto"/>
      </w:pPr>
      <w:r>
        <w:rPr>
          <w:rFonts w:ascii="Liberation Sans" w:hAnsi="Liberation Sans"/>
        </w:rPr>
        <w:t>6 Harm reduction and regulated care</w:t>
      </w:r>
    </w:p>
    <w:p>
      <w:pPr>
        <w:keepLines w:val="0"/>
        <w:widowControl/>
        <w:spacing w:before="0" w:after="140" w:line="278" w:lineRule="auto"/>
      </w:pPr>
      <w:r>
        <w:rPr>
          <w:rFonts w:ascii="Liberation Sans" w:hAnsi="Liberation Sans"/>
        </w:rPr>
        <w:t>Prohibition can create specific harms: uncertain strength, substitution, contamination, hurried use, fear of seeking help and exposure to violent markets. It does not follow that prohibition causes every drug harm or that legal supply would make every use safe. Regulation changes which risks can be measured and controlled. It can set standards for identity, potency, packaging, age, staff training, record keeping and emergency response.</w:t>
      </w:r>
    </w:p>
    <w:p>
      <w:pPr>
        <w:keepLines w:val="0"/>
        <w:widowControl/>
        <w:spacing w:before="0" w:after="140" w:line="278" w:lineRule="auto"/>
      </w:pPr>
      <w:r>
        <w:rPr>
          <w:rFonts w:ascii="Liberation Sans" w:hAnsi="Liberation Sans"/>
        </w:rPr>
        <w:t>A humane setting can offer sterile equipment, a calm place, water, time to recover, staff who check on people, and rapid access to emergency care. It can also provide drug checking, naloxone, wound care, housing help and a route into treatment without making abstinence the price of dignity. Systematic reviews of supervised injection facilities report prevention of on site overdose deaths and benefits such as safer practice or service connection, while population level effects and study quality vary. [21]</w:t>
      </w:r>
    </w:p>
    <w:p>
      <w:pPr>
        <w:keepLines w:val="0"/>
        <w:widowControl/>
        <w:spacing w:before="0" w:after="140" w:line="278" w:lineRule="auto"/>
      </w:pPr>
      <w:r>
        <w:rPr>
          <w:rFonts w:ascii="Liberation Sans" w:hAnsi="Liberation Sans"/>
        </w:rPr>
        <w:t>The Thistle in Glasgow opened in January 2025 as the United Kingdom's first sanctioned safer drug consumption facility. People bring their own drugs and use them under health supervision. The facility was designed with people who had lived experience and emphasises relationships, privacy, basic care and wider support. [20] It is an experiment that should be evaluated transparently, including benefits, unintended effects, neighbourhood impacts, cost and user experience.</w:t>
      </w:r>
    </w:p>
    <w:p>
      <w:pPr>
        <w:keepLines w:val="0"/>
        <w:widowControl/>
        <w:spacing w:before="0" w:after="140" w:line="278" w:lineRule="auto"/>
      </w:pPr>
      <w:r>
        <w:rPr>
          <w:rFonts w:ascii="Liberation Sans" w:hAnsi="Liberation Sans"/>
        </w:rPr>
        <w:t>Drug checking addresses a different problem. WEDINOS accepts anonymous samples and publishes analytical results so that people and services can compare what a substance was believed to be with what testing found. [22] Testing cannot make consumption safe, but it can expose mis selling and create evidence about the illegal market that prohibition otherwise hides.</w:t>
      </w:r>
    </w:p>
    <w:p>
      <w:pPr>
        <w:pStyle w:val="Heading1"/>
        <w:keepNext/>
        <w:keepLines w:val="0"/>
        <w:widowControl/>
        <w:spacing w:before="0" w:after="140" w:line="278" w:lineRule="auto"/>
      </w:pPr>
      <w:r>
        <w:rPr>
          <w:rFonts w:ascii="Liberation Sans" w:hAnsi="Liberation Sans"/>
        </w:rPr>
        <w:t>7 Frontline and paramedic knowledge</w:t>
      </w:r>
    </w:p>
    <w:p>
      <w:pPr>
        <w:keepLines w:val="0"/>
        <w:widowControl/>
        <w:spacing w:before="0" w:after="140" w:line="278" w:lineRule="auto"/>
      </w:pPr>
      <w:r>
        <w:rPr>
          <w:rFonts w:ascii="Liberation Sans" w:hAnsi="Liberation Sans"/>
        </w:rPr>
        <w:t>Paramedics see acute consequences that may remain invisible in routine appointments: respiratory depression, panic, seizure, overheating, falls, violence, withdrawal, polypharmacy, homelessness and the results of delayed care. Their observations matter because they show how a policy or prescription behaves in uncontrolled life.</w:t>
      </w:r>
    </w:p>
    <w:p>
      <w:pPr>
        <w:keepLines w:val="0"/>
        <w:widowControl/>
        <w:spacing w:before="0" w:after="140" w:line="278" w:lineRule="auto"/>
      </w:pPr>
      <w:r>
        <w:rPr>
          <w:rFonts w:ascii="Liberation Sans" w:hAnsi="Liberation Sans"/>
        </w:rPr>
        <w:t>Frontline experience also has selection bias. Paramedics are called when something has gone wrong, so they cannot estimate how often uneventful use occurs. A GP or specialist sees a different part of the same person's life, including diagnosis, follow up and long term tradeoffs. Neither viewpoint should dominate. A credible system should link ambulance data, toxicology, patient accounts, primary care records and mortality review while protecting privacy.</w:t>
      </w:r>
    </w:p>
    <w:p>
      <w:pPr>
        <w:keepLines w:val="0"/>
        <w:widowControl/>
        <w:spacing w:before="0" w:after="140" w:line="278" w:lineRule="auto"/>
      </w:pPr>
      <w:r>
        <w:rPr>
          <w:rFonts w:ascii="Liberation Sans" w:hAnsi="Liberation Sans"/>
        </w:rPr>
        <w:t>There is no clearly credential verified, open UK forum devoted specifically to honest paramedic accounts of drug incidents. The public communities r ParamedicsUK and r Paramedics contain professional discussion, but identity and credentials are not independently guaranteed and patient identifiable details are prohibited. [34, 35] The College of Paramedics and the Journal of Paramedic Practice provide more formal professional material. Coroners' Prevention of Future Deaths reports provide named legal findings and organisational responses when a death reveals a systemic risk. [36]</w:t>
      </w:r>
    </w:p>
    <w:p>
      <w:pPr>
        <w:keepLines w:val="0"/>
        <w:widowControl/>
        <w:spacing w:before="0" w:after="140" w:line="278" w:lineRule="auto"/>
      </w:pPr>
      <w:r>
        <w:rPr>
          <w:rFonts w:ascii="Liberation Sans" w:hAnsi="Liberation Sans"/>
        </w:rPr>
        <w:t>A clinician checking an electronic reference during an appointment is not proof of ignorance. Current interaction guidance and formularies change, so checking can be responsible practice. The legitimate questions are whether the source is authoritative, whether the clinician understands the person, whether alternatives and uncertainty are discussed, and whether time or access rules are replacing judgment.</w:t>
      </w:r>
    </w:p>
    <w:p>
      <w:pPr>
        <w:pStyle w:val="Heading1"/>
        <w:keepNext/>
        <w:keepLines w:val="0"/>
        <w:widowControl/>
        <w:spacing w:before="0" w:after="140" w:line="278" w:lineRule="auto"/>
      </w:pPr>
      <w:r>
        <w:rPr>
          <w:rFonts w:ascii="Liberation Sans" w:hAnsi="Liberation Sans"/>
        </w:rPr>
        <w:t>8 Access control money and commercial power</w:t>
      </w:r>
    </w:p>
    <w:p>
      <w:pPr>
        <w:keepLines w:val="0"/>
        <w:widowControl/>
        <w:spacing w:before="0" w:after="140" w:line="278" w:lineRule="auto"/>
      </w:pPr>
      <w:r>
        <w:rPr>
          <w:rFonts w:ascii="Liberation Sans" w:hAnsi="Liberation Sans"/>
        </w:rPr>
        <w:t>Access is controlled by several institutions rather than one hidden distributor. The MHRA licenses medicines and regulates manufacturing and wholesale standards. NICE evaluates clinical and cost effectiveness for routine NHS use in England. NHS commissioners and local formularies shape implementation. Prescribers decide whether a medicine is clinically appropriate. Pharmacies dispense it. Manufacturers and wholesalers supply it. [10, 13] Each stage can protect patients, restrict them, or both.</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293"/>
        <w:gridCol w:w="3293"/>
        <w:gridCol w:w="3293"/>
      </w:tblGrid>
      <w:tr>
        <w:trPr>
          <w:tblHeader w:val="true"/>
          <w:cantSplit w:val="true"/>
        </w:trPr>
        <w:tc>
          <w:tcPr>
            <w:tcW w:type="dxa" w:w="2160"/>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7"/>
              </w:rPr>
              <w:t>Actor</w:t>
            </w:r>
          </w:p>
        </w:tc>
        <w:tc>
          <w:tcPr>
            <w:tcW w:type="dxa" w:w="3528"/>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7"/>
              </w:rPr>
              <w:t>Practical role</w:t>
            </w:r>
          </w:p>
        </w:tc>
        <w:tc>
          <w:tcPr>
            <w:tcW w:type="dxa" w:w="4176"/>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7"/>
              </w:rPr>
              <w:t>What should be transparent</w:t>
            </w:r>
          </w:p>
        </w:tc>
      </w:tr>
      <w:tr>
        <w:trPr>
          <w:cantSplit w:val="true"/>
        </w:trPr>
        <w:tc>
          <w:tcPr>
            <w:tcW w:type="dxa" w:w="2160"/>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Manufacturer</w:t>
            </w:r>
          </w:p>
        </w:tc>
        <w:tc>
          <w:tcPr>
            <w:tcW w:type="dxa" w:w="352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Develops or produces a medicine and usually proposes its price</w:t>
            </w:r>
          </w:p>
        </w:tc>
        <w:tc>
          <w:tcPr>
            <w:tcW w:type="dxa" w:w="4176"/>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Trial design selective publication patents marketing and supply</w:t>
            </w:r>
          </w:p>
        </w:tc>
      </w:tr>
      <w:tr>
        <w:trPr>
          <w:cantSplit w:val="true"/>
        </w:trPr>
        <w:tc>
          <w:tcPr>
            <w:tcW w:type="dxa" w:w="2160"/>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MHRA</w:t>
            </w:r>
          </w:p>
        </w:tc>
        <w:tc>
          <w:tcPr>
            <w:tcW w:type="dxa" w:w="352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Licenses products and regulates safety manufacturing and distribution</w:t>
            </w:r>
          </w:p>
        </w:tc>
        <w:tc>
          <w:tcPr>
            <w:tcW w:type="dxa" w:w="4176"/>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Regulatory decisions safety signals inspections and conflicts</w:t>
            </w:r>
          </w:p>
        </w:tc>
      </w:tr>
      <w:tr>
        <w:trPr>
          <w:cantSplit w:val="true"/>
        </w:trPr>
        <w:tc>
          <w:tcPr>
            <w:tcW w:type="dxa" w:w="2160"/>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NICE</w:t>
            </w:r>
          </w:p>
        </w:tc>
        <w:tc>
          <w:tcPr>
            <w:tcW w:type="dxa" w:w="352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Assesses clinical effectiveness and value for NHS use in England</w:t>
            </w:r>
          </w:p>
        </w:tc>
        <w:tc>
          <w:tcPr>
            <w:tcW w:type="dxa" w:w="4176"/>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Evidence thresholds models assumptions and patient participation</w:t>
            </w:r>
          </w:p>
        </w:tc>
      </w:tr>
      <w:tr>
        <w:trPr>
          <w:cantSplit w:val="true"/>
        </w:trPr>
        <w:tc>
          <w:tcPr>
            <w:tcW w:type="dxa" w:w="2160"/>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NHS commissioner or formulary</w:t>
            </w:r>
          </w:p>
        </w:tc>
        <w:tc>
          <w:tcPr>
            <w:tcW w:type="dxa" w:w="352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Funds services and defines local pathways</w:t>
            </w:r>
          </w:p>
        </w:tc>
        <w:tc>
          <w:tcPr>
            <w:tcW w:type="dxa" w:w="4176"/>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Variation waiting times exception processes and reasons</w:t>
            </w:r>
          </w:p>
        </w:tc>
      </w:tr>
      <w:tr>
        <w:trPr>
          <w:cantSplit w:val="true"/>
        </w:trPr>
        <w:tc>
          <w:tcPr>
            <w:tcW w:type="dxa" w:w="2160"/>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Prescriber</w:t>
            </w:r>
          </w:p>
        </w:tc>
        <w:tc>
          <w:tcPr>
            <w:tcW w:type="dxa" w:w="352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Recommends or refuses treatment for an individual</w:t>
            </w:r>
          </w:p>
        </w:tc>
        <w:tc>
          <w:tcPr>
            <w:tcW w:type="dxa" w:w="4176"/>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Consent alternatives review monitoring and declared interests</w:t>
            </w:r>
          </w:p>
        </w:tc>
      </w:tr>
      <w:tr>
        <w:trPr>
          <w:cantSplit w:val="true"/>
        </w:trPr>
        <w:tc>
          <w:tcPr>
            <w:tcW w:type="dxa" w:w="2160"/>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Pharmacy</w:t>
            </w:r>
          </w:p>
        </w:tc>
        <w:tc>
          <w:tcPr>
            <w:tcW w:type="dxa" w:w="352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Dispenses and is reimbursed or paid privately</w:t>
            </w:r>
          </w:p>
        </w:tc>
        <w:tc>
          <w:tcPr>
            <w:tcW w:type="dxa" w:w="4176"/>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Substitution supply continuity counselling and fees</w:t>
            </w:r>
          </w:p>
        </w:tc>
      </w:tr>
      <w:tr>
        <w:trPr>
          <w:cantSplit w:val="true"/>
        </w:trPr>
        <w:tc>
          <w:tcPr>
            <w:tcW w:type="dxa" w:w="2160"/>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Patient</w:t>
            </w:r>
          </w:p>
        </w:tc>
        <w:tc>
          <w:tcPr>
            <w:tcW w:type="dxa" w:w="352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Accepts refuses reports effects and lives with the outcome</w:t>
            </w:r>
          </w:p>
        </w:tc>
        <w:tc>
          <w:tcPr>
            <w:tcW w:type="dxa" w:w="4176"/>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Access to records information complaints and shared decisions</w:t>
            </w:r>
          </w:p>
        </w:tc>
      </w:tr>
    </w:tbl>
    <w:p>
      <w:pPr>
        <w:keepLines w:val="0"/>
        <w:widowControl/>
        <w:spacing w:before="0" w:after="40" w:line="278" w:lineRule="auto"/>
      </w:pPr>
    </w:p>
    <w:p>
      <w:pPr>
        <w:keepLines w:val="0"/>
        <w:widowControl/>
        <w:spacing w:before="0" w:after="140" w:line="278" w:lineRule="auto"/>
      </w:pPr>
      <w:r>
        <w:rPr>
          <w:rFonts w:ascii="Liberation Sans" w:hAnsi="Liberation Sans"/>
        </w:rPr>
        <w:t>Companies influence the evidence base because they fund development and submit evidence about new products. That influence is real and should be disclosed. It does not mean that every approval was purchased. The House of Commons Library explains that manufacturers set prices within NHS purchasing and cost control mechanisms, while NICE considers cost effectiveness and the NHS may negotiate discounts. [10, 11] The Drug Tariff sets reimbursement, remuneration, fees and prices for community pharmacy in England and Wales. [12]</w:t>
      </w:r>
    </w:p>
    <w:p>
      <w:pPr>
        <w:keepLines w:val="0"/>
        <w:widowControl/>
        <w:spacing w:before="0" w:after="140" w:line="278" w:lineRule="auto"/>
      </w:pPr>
      <w:r>
        <w:rPr>
          <w:rFonts w:ascii="Liberation Sans" w:hAnsi="Liberation Sans"/>
        </w:rPr>
        <w:t>A private prescription is normally a private transaction. Consultation fees go to the clinic, dispensing and product charges to the relevant pharmacy and supply chain, and the NHS does not ordinarily receive that private sales revenue. An NHS organisation may separately operate a self pay service, in which case revenue belongs to that service. The ownership and payment chain should be visible before anyone labels the arrangement corruption.</w:t>
      </w:r>
    </w:p>
    <w:p>
      <w:pPr>
        <w:keepLines w:val="0"/>
        <w:widowControl/>
        <w:spacing w:before="0" w:after="140" w:line="278" w:lineRule="auto"/>
      </w:pPr>
      <w:r>
        <w:rPr>
          <w:rFonts w:ascii="Liberation Sans" w:hAnsi="Liberation Sans"/>
        </w:rPr>
        <w:t>Corruption is a claim about concealed payment, improper influence, conflicts or abuse of office. Unequal access, two tier care and commercial incentives can exist without meeting that definition. A responsible investigation should examine company ownership, clinician interests, clinic pharmacy manufacturer relationships, procurement records, political donations, lobbying, payments disclosed through Disclosure UK, and any commission linked to prescribing. Naming the money flow is more powerful than assuming a motive.</w:t>
      </w:r>
    </w:p>
    <w:p>
      <w:pPr>
        <w:pStyle w:val="Heading1"/>
        <w:keepNext/>
        <w:keepLines w:val="0"/>
        <w:widowControl/>
        <w:spacing w:before="0" w:after="140" w:line="278" w:lineRule="auto"/>
      </w:pPr>
      <w:r>
        <w:rPr>
          <w:rFonts w:ascii="Liberation Sans" w:hAnsi="Liberation Sans"/>
        </w:rPr>
        <w:t>9 Cannabis and ketamine case studies</w:t>
      </w:r>
    </w:p>
    <w:p>
      <w:pPr>
        <w:keepLines w:val="0"/>
        <w:widowControl/>
        <w:spacing w:before="0" w:after="140" w:line="278" w:lineRule="auto"/>
      </w:pPr>
      <w:r>
        <w:rPr>
          <w:rFonts w:ascii="Liberation Sans" w:hAnsi="Liberation Sans"/>
        </w:rPr>
        <w:t>Medical cannabis exposes a visible gap between formal legality and practical access. NHS guidance says that very few people in England are likely to receive an NHS prescription and identifies limited circumstances involving severe epilepsy, chemotherapy related nausea and multiple sclerosis spasticity. It also says evidence for pain is not strong enough for a general recommendation. [15, 16] Private clinics may lawfully prescribe within controlled drug and professional rules, but being regulated by the Care Quality Commission or employing a doctor who also works in the NHS does not make a private prescription an NHS prescription.</w:t>
      </w:r>
    </w:p>
    <w:p>
      <w:pPr>
        <w:keepLines w:val="0"/>
        <w:widowControl/>
        <w:spacing w:before="0" w:after="140" w:line="278" w:lineRule="auto"/>
      </w:pPr>
      <w:r>
        <w:rPr>
          <w:rFonts w:ascii="Liberation Sans" w:hAnsi="Liberation Sans"/>
        </w:rPr>
        <w:t>The access gap raises legitimate questions about equality, research priorities and commercial incentives. It does not prove that private cannabis is universally effective or safe. A 2026 inquest concerning Oliver Robinson reported that privately prescribed medicinal cannabis probably contributed to his death and identified problems involving records, information and coordination of care. The clinic disputed aspects and described changes. [18] One case cannot estimate sector wide risk, but it shows why private care needs the same scrutiny demanded of public care.</w:t>
      </w:r>
    </w:p>
    <w:p>
      <w:pPr>
        <w:keepLines w:val="0"/>
        <w:widowControl/>
        <w:spacing w:before="0" w:after="140" w:line="278" w:lineRule="auto"/>
      </w:pPr>
      <w:r>
        <w:rPr>
          <w:rFonts w:ascii="Liberation Sans" w:hAnsi="Liberation Sans"/>
        </w:rPr>
        <w:t>Ketamine has established medical uses as an anaesthetic and analgesic. Ketamine for depression is generally off label, private or restricted to specialist arrangements. Esketamine is licensed for treatment resistant depression, but NICE did not recommend it for routine NHS use in its 2022 technology appraisal because of uncertainty in the clinical and economic evidence. [17] This distinction matters: legal status, marketing authorisation, NHS recommendation and individual clinical judgment are separate gates.</w:t>
      </w:r>
    </w:p>
    <w:p>
      <w:pPr>
        <w:keepLines w:val="0"/>
        <w:widowControl/>
        <w:spacing w:before="0" w:after="140" w:line="278" w:lineRule="auto"/>
      </w:pPr>
      <w:r>
        <w:rPr>
          <w:rFonts w:ascii="Liberation Sans" w:hAnsi="Liberation Sans"/>
        </w:rPr>
        <w:t>These case studies support a demand for consistent standards. Public and private providers should share relevant records, state the evidence and uncertainty, declare financial interests, monitor harms, publish meaningful outcome data and provide a clear route for complaints. Restricting NHS access while a private market expands may be unjust, but the remedy is transparent evaluation and accountable access rather than weaker safeguards.</w:t>
      </w:r>
    </w:p>
    <w:p>
      <w:pPr>
        <w:pStyle w:val="Heading1"/>
        <w:keepNext/>
        <w:keepLines w:val="0"/>
        <w:pageBreakBefore/>
        <w:widowControl/>
        <w:spacing w:before="0" w:after="140" w:line="278" w:lineRule="auto"/>
      </w:pPr>
      <w:r>
        <w:rPr>
          <w:rFonts w:ascii="Liberation Sans" w:hAnsi="Liberation Sans"/>
        </w:rPr>
        <w:t>10 Police time prison space and public money</w:t>
      </w:r>
    </w:p>
    <w:p>
      <w:pPr>
        <w:keepLines w:val="0"/>
        <w:widowControl/>
        <w:spacing w:before="0" w:after="140" w:line="278" w:lineRule="auto"/>
      </w:pPr>
      <w:r>
        <w:rPr>
          <w:rFonts w:ascii="Liberation Sans" w:hAnsi="Liberation Sans"/>
        </w:rPr>
        <w:t>A national claim needs a national ledger. No published source was found that totals all police hours spent on drug prohibition across the United Kingdom. The legal systems and health responsibilities of England and Wales, Scotland and Northern Ireland also differ. The most defensible calculation therefore uses recent England and Wales counts and makes each time assumption visible. It is an order of magnitude exercise, not an official forecast.</w:t>
      </w:r>
    </w:p>
    <w:p>
      <w:pPr>
        <w:pStyle w:val="Heading2"/>
        <w:keepNext/>
        <w:keepLines w:val="0"/>
        <w:widowControl/>
        <w:spacing w:before="0" w:after="140" w:line="278" w:lineRule="auto"/>
      </w:pPr>
      <w:r>
        <w:rPr>
          <w:rFonts w:ascii="Liberation Sans" w:hAnsi="Liberation Sans"/>
        </w:rPr>
        <w:t>Official baselines and their limits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293"/>
        <w:gridCol w:w="3293"/>
        <w:gridCol w:w="3293"/>
      </w:tblGrid>
      <w:tr>
        <w:trPr>
          <w:tblHeader w:val="true"/>
          <w:cantSplit w:val="true"/>
        </w:trPr>
        <w:tc>
          <w:tcPr>
            <w:tcW w:type="dxa" w:w="2304"/>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6"/>
              </w:rPr>
              <w:t>Measure</w:t>
            </w:r>
          </w:p>
        </w:tc>
        <w:tc>
          <w:tcPr>
            <w:tcW w:type="dxa" w:w="2376"/>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6"/>
              </w:rPr>
              <w:t>Baseline</w:t>
            </w:r>
          </w:p>
        </w:tc>
        <w:tc>
          <w:tcPr>
            <w:tcW w:type="dxa" w:w="5040"/>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6"/>
              </w:rPr>
              <w:t>Interpretation</w:t>
            </w:r>
          </w:p>
        </w:tc>
      </w:tr>
      <w:tr>
        <w:trPr>
          <w:cantSplit w:val="true"/>
        </w:trPr>
        <w:tc>
          <w:tcPr>
            <w:tcW w:type="dxa" w:w="230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Police recorded drug offences</w:t>
            </w:r>
          </w:p>
        </w:tc>
        <w:tc>
          <w:tcPr>
            <w:tcW w:type="dxa" w:w="2376"/>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231,130 in the year ending March 2026</w:t>
            </w:r>
          </w:p>
        </w:tc>
        <w:tc>
          <w:tcPr>
            <w:tcW w:type="dxa" w:w="5040"/>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157,786 possession, 73,344 trafficking and 609 other. An offence is not a unique person or a complete case. [43]</w:t>
            </w:r>
          </w:p>
        </w:tc>
      </w:tr>
      <w:tr>
        <w:trPr>
          <w:cantSplit w:val="true"/>
        </w:trPr>
        <w:tc>
          <w:tcPr>
            <w:tcW w:type="dxa" w:w="2304"/>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PACE stop and searches</w:t>
            </w:r>
          </w:p>
        </w:tc>
        <w:tc>
          <w:tcPr>
            <w:tcW w:type="dxa" w:w="2376"/>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522,670 in the year ending March 2025</w:t>
            </w:r>
          </w:p>
        </w:tc>
        <w:tc>
          <w:tcPr>
            <w:tcW w:type="dxa" w:w="5040"/>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60.9% were for suspected drug possession, about 318,000 searches. This is an incident count and may overlap recorded offences. [44]</w:t>
            </w:r>
          </w:p>
        </w:tc>
      </w:tr>
      <w:tr>
        <w:trPr>
          <w:cantSplit w:val="true"/>
        </w:trPr>
        <w:tc>
          <w:tcPr>
            <w:tcW w:type="dxa" w:w="230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Prison population</w:t>
            </w:r>
          </w:p>
        </w:tc>
        <w:tc>
          <w:tcPr>
            <w:tcW w:type="dxa" w:w="2376"/>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85,858 on 30 June 2026</w:t>
            </w:r>
          </w:p>
        </w:tc>
        <w:tc>
          <w:tcPr>
            <w:tcW w:type="dxa" w:w="5040"/>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70,003 were sentenced. Drug offences were 12% of immediate custodial sentences. Applying 12% to the whole sentenced count gives a rough ceiling of about 8,400, not an exact total. [47]</w:t>
            </w:r>
          </w:p>
        </w:tc>
      </w:tr>
      <w:tr>
        <w:trPr>
          <w:cantSplit w:val="true"/>
        </w:trPr>
        <w:tc>
          <w:tcPr>
            <w:tcW w:type="dxa" w:w="2304"/>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Drug offence remand estimate</w:t>
            </w:r>
          </w:p>
        </w:tc>
        <w:tc>
          <w:tcPr>
            <w:tcW w:type="dxa" w:w="2376"/>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About 1,700 on 30 June 2026</w:t>
            </w:r>
          </w:p>
        </w:tc>
        <w:tc>
          <w:tcPr>
            <w:tcW w:type="dxa" w:w="5040"/>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Calculated from 8% of 10,242 untried prisoners and 17% of 5,144 convicted unsentenced prisoners. Published percentages are rounded. [47]</w:t>
            </w:r>
          </w:p>
        </w:tc>
      </w:tr>
      <w:tr>
        <w:trPr>
          <w:cantSplit w:val="true"/>
        </w:trPr>
        <w:tc>
          <w:tcPr>
            <w:tcW w:type="dxa" w:w="230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Prison place cost</w:t>
            </w:r>
          </w:p>
        </w:tc>
        <w:tc>
          <w:tcPr>
            <w:tcW w:type="dxa" w:w="2376"/>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£56,987 in 2023 to 2024</w:t>
            </w:r>
          </w:p>
        </w:tc>
        <w:tc>
          <w:tcPr>
            <w:tcW w:type="dxa" w:w="5040"/>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Overall resource expenditure per certified normal place. This is an average, not the cash saved by removing one prisoner. [48]</w:t>
            </w:r>
          </w:p>
        </w:tc>
      </w:tr>
      <w:tr>
        <w:trPr>
          <w:cantSplit w:val="true"/>
        </w:trPr>
        <w:tc>
          <w:tcPr>
            <w:tcW w:type="dxa" w:w="2304"/>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Illicit market</w:t>
            </w:r>
          </w:p>
        </w:tc>
        <w:tc>
          <w:tcPr>
            <w:tcW w:type="dxa" w:w="2376"/>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£9.4 billion a year in the 2020 review</w:t>
            </w:r>
          </w:p>
        </w:tc>
        <w:tc>
          <w:tcPr>
            <w:tcW w:type="dxa" w:w="5040"/>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Historical estimate for England and Wales. The same review estimated more than £19 billion in wider social costs and £600 million spent on treatment and prevention. [45]</w:t>
            </w:r>
          </w:p>
        </w:tc>
      </w:tr>
    </w:tbl>
    <w:p>
      <w:pPr>
        <w:keepLines w:val="0"/>
        <w:widowControl/>
        <w:spacing w:before="0" w:after="40" w:line="278" w:lineRule="auto"/>
      </w:pPr>
    </w:p>
    <w:p>
      <w:pPr>
        <w:keepLines w:val="0"/>
        <w:widowControl/>
        <w:spacing w:before="0" w:after="140" w:line="278" w:lineRule="auto"/>
      </w:pPr>
      <w:r>
        <w:rPr>
          <w:rFonts w:ascii="Liberation Sans" w:hAnsi="Liberation Sans"/>
        </w:rPr>
        <w:t>Source status matters. The offence, search, prison, cost and market baselines above are public figures from ONS, the Home Office, the Ministry of Justice or a government commissioned review. Every police hour, full time equivalent, releasable prison place and future sales contribution below is calculated by this paper from stated assumptions. Those results are scenarios for scrutiny, not statistics issued by government or promises of cash savings.</w:t>
      </w:r>
    </w:p>
    <w:p>
      <w:pPr>
        <w:pStyle w:val="Heading2"/>
        <w:keepNext/>
        <w:keepLines w:val="0"/>
        <w:pageBreakBefore/>
        <w:widowControl/>
        <w:spacing w:before="0" w:after="140" w:line="278" w:lineRule="auto"/>
      </w:pPr>
      <w:r>
        <w:rPr>
          <w:rFonts w:ascii="Liberation Sans" w:hAnsi="Liberation Sans"/>
        </w:rPr>
        <w:t>Illustrative police time</w:t>
      </w:r>
    </w:p>
    <w:p>
      <w:pPr>
        <w:keepLines w:val="0"/>
        <w:widowControl/>
        <w:spacing w:before="0" w:after="140" w:line="278" w:lineRule="auto"/>
      </w:pPr>
      <w:r>
        <w:rPr>
          <w:rFonts w:ascii="Liberation Sans" w:hAnsi="Liberation Sans"/>
        </w:rPr>
        <w:t>The whole case estimate multiplies 231,130 recorded drug offences by an assumed average number of officer hours covering the initial encounter, travel, recording, evidence, investigation and related administration. One full time equivalent is then set at 1,500 productive hours a year. Neither assumption is an official police measure.</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469"/>
        <w:gridCol w:w="2469"/>
        <w:gridCol w:w="2469"/>
        <w:gridCol w:w="2469"/>
      </w:tblGrid>
      <w:tr>
        <w:trPr>
          <w:tblHeader w:val="true"/>
          <w:cantSplit w:val="true"/>
        </w:trPr>
        <w:tc>
          <w:tcPr>
            <w:tcW w:type="dxa" w:w="1584"/>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7"/>
              </w:rPr>
              <w:t>Scenario</w:t>
            </w:r>
          </w:p>
        </w:tc>
        <w:tc>
          <w:tcPr>
            <w:tcW w:type="dxa" w:w="2592"/>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7"/>
              </w:rPr>
              <w:t>Hours per recorded offence</w:t>
            </w:r>
          </w:p>
        </w:tc>
        <w:tc>
          <w:tcPr>
            <w:tcW w:type="dxa" w:w="2592"/>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7"/>
              </w:rPr>
              <w:t>Officer hours</w:t>
            </w:r>
          </w:p>
        </w:tc>
        <w:tc>
          <w:tcPr>
            <w:tcW w:type="dxa" w:w="2952"/>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7"/>
              </w:rPr>
              <w:t>Productive FTE equivalent</w:t>
            </w:r>
          </w:p>
        </w:tc>
      </w:tr>
      <w:tr>
        <w:trPr>
          <w:cantSplit w:val="true"/>
        </w:trPr>
        <w:tc>
          <w:tcPr>
            <w:tcW w:type="dxa" w:w="158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Low</w:t>
            </w:r>
          </w:p>
        </w:tc>
        <w:tc>
          <w:tcPr>
            <w:tcW w:type="dxa" w:w="259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5</w:t>
            </w:r>
          </w:p>
        </w:tc>
        <w:tc>
          <w:tcPr>
            <w:tcW w:type="dxa" w:w="259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1.16 million</w:t>
            </w:r>
          </w:p>
        </w:tc>
        <w:tc>
          <w:tcPr>
            <w:tcW w:type="dxa" w:w="295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770</w:t>
            </w:r>
          </w:p>
        </w:tc>
      </w:tr>
      <w:tr>
        <w:trPr>
          <w:cantSplit w:val="true"/>
        </w:trPr>
        <w:tc>
          <w:tcPr>
            <w:tcW w:type="dxa" w:w="1584"/>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Central</w:t>
            </w:r>
          </w:p>
        </w:tc>
        <w:tc>
          <w:tcPr>
            <w:tcW w:type="dxa" w:w="2592"/>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10</w:t>
            </w:r>
          </w:p>
        </w:tc>
        <w:tc>
          <w:tcPr>
            <w:tcW w:type="dxa" w:w="2592"/>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2.31 million</w:t>
            </w:r>
          </w:p>
        </w:tc>
        <w:tc>
          <w:tcPr>
            <w:tcW w:type="dxa" w:w="2952"/>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1,541</w:t>
            </w:r>
          </w:p>
        </w:tc>
      </w:tr>
      <w:tr>
        <w:trPr>
          <w:cantSplit w:val="true"/>
        </w:trPr>
        <w:tc>
          <w:tcPr>
            <w:tcW w:type="dxa" w:w="158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High</w:t>
            </w:r>
          </w:p>
        </w:tc>
        <w:tc>
          <w:tcPr>
            <w:tcW w:type="dxa" w:w="259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20</w:t>
            </w:r>
          </w:p>
        </w:tc>
        <w:tc>
          <w:tcPr>
            <w:tcW w:type="dxa" w:w="259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4.62 million</w:t>
            </w:r>
          </w:p>
        </w:tc>
        <w:tc>
          <w:tcPr>
            <w:tcW w:type="dxa" w:w="295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3,082</w:t>
            </w:r>
          </w:p>
        </w:tc>
      </w:tr>
    </w:tbl>
    <w:p>
      <w:pPr>
        <w:keepLines w:val="0"/>
        <w:widowControl/>
        <w:spacing w:before="0" w:after="40" w:line="278" w:lineRule="auto"/>
      </w:pPr>
    </w:p>
    <w:p>
      <w:pPr>
        <w:keepLines w:val="0"/>
        <w:widowControl/>
        <w:spacing w:before="0" w:after="140" w:line="278" w:lineRule="auto"/>
      </w:pPr>
      <w:r>
        <w:rPr>
          <w:rFonts w:ascii="Liberation Sans" w:hAnsi="Liberation Sans"/>
        </w:rPr>
        <w:t>A separate stop and search cross check reaches a smaller but visible floor. About 318,000 drug searches at an assumed 0.5 officer hour each equal about 159,000 officer hours, or 106 productive FTE. This covers only the search event assumption and excludes travel, supervision, custody, testing, case preparation and court. It must not be added to the offence based range because the same events may be counted twice.</w:t>
      </w:r>
    </w:p>
    <w:p>
      <w:pPr>
        <w:keepLines w:val="0"/>
        <w:widowControl/>
        <w:spacing w:before="0" w:after="140" w:line="278" w:lineRule="auto"/>
      </w:pPr>
      <w:r>
        <w:rPr>
          <w:rFonts w:ascii="Liberation Sans" w:hAnsi="Liberation Sans"/>
        </w:rPr>
        <w:t>Legal regulation would not release every hour. Police would still investigate unlicensed production, counterfeit products, diversion, sales to children, organised violence, exploitation and impaired driving. The possible gain is a shift away from authorised adult possession and supply toward those harms and toward visible community policing. Whether that happens depends on budgets and deployment decisions rather than following automatically from a change in law.</w:t>
      </w:r>
    </w:p>
    <w:p>
      <w:pPr>
        <w:pStyle w:val="Heading2"/>
        <w:keepNext/>
        <w:keepLines w:val="0"/>
        <w:widowControl/>
        <w:spacing w:before="0" w:after="140" w:line="278" w:lineRule="auto"/>
      </w:pPr>
      <w:r>
        <w:rPr>
          <w:rFonts w:ascii="Liberation Sans" w:hAnsi="Liberation Sans"/>
        </w:rPr>
        <w:t>Illustrative prison capacity</w:t>
      </w:r>
    </w:p>
    <w:p>
      <w:pPr>
        <w:keepLines w:val="0"/>
        <w:widowControl/>
        <w:spacing w:before="0" w:after="140" w:line="278" w:lineRule="auto"/>
      </w:pPr>
      <w:r>
        <w:rPr>
          <w:rFonts w:ascii="Liberation Sans" w:hAnsi="Liberation Sans"/>
        </w:rPr>
        <w:t>Using the rough current ceiling of 10,100 sentenced and remand prisoners whose principal category is a drug offence, the table tests what would happen if 25%, 50% or 75% of those places became unnecessary after resentencing, release review and lawful supply. It is not a prediction. Serious trafficking, violence and unlicensed supply would remain offences, while some people convicted of simple possession may not be in prison at all.</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293"/>
        <w:gridCol w:w="3293"/>
        <w:gridCol w:w="3293"/>
      </w:tblGrid>
      <w:tr>
        <w:trPr>
          <w:tblHeader w:val="true"/>
          <w:cantSplit w:val="true"/>
        </w:trPr>
        <w:tc>
          <w:tcPr>
            <w:tcW w:type="dxa" w:w="2016"/>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7"/>
              </w:rPr>
              <w:t>Policy case</w:t>
            </w:r>
          </w:p>
        </w:tc>
        <w:tc>
          <w:tcPr>
            <w:tcW w:type="dxa" w:w="3168"/>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7"/>
              </w:rPr>
              <w:t>Places potentially released</w:t>
            </w:r>
          </w:p>
        </w:tc>
        <w:tc>
          <w:tcPr>
            <w:tcW w:type="dxa" w:w="4824"/>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7"/>
              </w:rPr>
              <w:t>Gross annual cost capacity at £56,987</w:t>
            </w:r>
          </w:p>
        </w:tc>
      </w:tr>
      <w:tr>
        <w:trPr>
          <w:cantSplit w:val="true"/>
        </w:trPr>
        <w:tc>
          <w:tcPr>
            <w:tcW w:type="dxa" w:w="2016"/>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25% eligible</w:t>
            </w:r>
          </w:p>
        </w:tc>
        <w:tc>
          <w:tcPr>
            <w:tcW w:type="dxa" w:w="316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About 2,525</w:t>
            </w:r>
          </w:p>
        </w:tc>
        <w:tc>
          <w:tcPr>
            <w:tcW w:type="dxa" w:w="482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About £144 million</w:t>
            </w:r>
          </w:p>
        </w:tc>
      </w:tr>
      <w:tr>
        <w:trPr>
          <w:cantSplit w:val="true"/>
        </w:trPr>
        <w:tc>
          <w:tcPr>
            <w:tcW w:type="dxa" w:w="2016"/>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50% eligible</w:t>
            </w:r>
          </w:p>
        </w:tc>
        <w:tc>
          <w:tcPr>
            <w:tcW w:type="dxa" w:w="316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About 5,050</w:t>
            </w:r>
          </w:p>
        </w:tc>
        <w:tc>
          <w:tcPr>
            <w:tcW w:type="dxa" w:w="4824"/>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About £288 million</w:t>
            </w:r>
          </w:p>
        </w:tc>
      </w:tr>
      <w:tr>
        <w:trPr>
          <w:cantSplit w:val="true"/>
        </w:trPr>
        <w:tc>
          <w:tcPr>
            <w:tcW w:type="dxa" w:w="2016"/>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75% eligible</w:t>
            </w:r>
          </w:p>
        </w:tc>
        <w:tc>
          <w:tcPr>
            <w:tcW w:type="dxa" w:w="316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About 7,575</w:t>
            </w:r>
          </w:p>
        </w:tc>
        <w:tc>
          <w:tcPr>
            <w:tcW w:type="dxa" w:w="482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About £432 million</w:t>
            </w:r>
          </w:p>
        </w:tc>
      </w:tr>
    </w:tbl>
    <w:p>
      <w:pPr>
        <w:keepLines w:val="0"/>
        <w:widowControl/>
        <w:spacing w:before="0" w:after="40" w:line="278" w:lineRule="auto"/>
      </w:pPr>
    </w:p>
    <w:p>
      <w:pPr>
        <w:keepLines w:val="0"/>
        <w:widowControl/>
        <w:spacing w:before="0" w:after="140" w:line="278" w:lineRule="auto"/>
      </w:pPr>
      <w:r>
        <w:rPr>
          <w:rFonts w:ascii="Liberation Sans" w:hAnsi="Liberation Sans"/>
        </w:rPr>
        <w:t>These are gross capacity values, not bankable savings. Prisons have fixed costs, released places may be filled because the estate is crowded, and closing a wing or prison saves more than leaving scattered beds empty. Courts, probation, housing and treatment may need more funding during transition. The 2020 review also estimated that about 20,000 people on a given day were detained for offending related to their drug use rather than supply, mostly acquisitive crime. Regulation alone does not erase those convictions or the needs behind them. Accessible treatment, income, housing and continuity of care are required to reduce that wider prison churn. [45]</w:t>
      </w:r>
    </w:p>
    <w:p>
      <w:pPr>
        <w:pStyle w:val="Heading2"/>
        <w:keepNext/>
        <w:keepLines w:val="0"/>
        <w:pageBreakBefore/>
        <w:widowControl/>
        <w:spacing w:before="0" w:after="140" w:line="278" w:lineRule="auto"/>
      </w:pPr>
      <w:r>
        <w:rPr>
          <w:rFonts w:ascii="Liberation Sans" w:hAnsi="Liberation Sans"/>
        </w:rPr>
        <w:t>Illustrative publicly captured revenue</w:t>
      </w:r>
    </w:p>
    <w:p>
      <w:pPr>
        <w:keepLines w:val="0"/>
        <w:widowControl/>
        <w:spacing w:before="0" w:after="140" w:line="278" w:lineRule="auto"/>
      </w:pPr>
      <w:r>
        <w:rPr>
          <w:rFonts w:ascii="Liberation Sans" w:hAnsi="Liberation Sans"/>
        </w:rPr>
        <w:t>The revenue model starts with the 2020 £9.4 billion illicit market estimate because it is published alongside the £600 million treatment and prevention benchmark. Regulated sales equal market value multiplied by the share moved into the legal channel and by a legal to illicit price ratio. Public contribution equals sales multiplied by a contribution rate after production, laboratory testing, dispensing, clinical review and administration. This contribution reaches the NHS or local treatment system only if legislation creates a public supplier, levy, tax or binding ring fence.</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1411"/>
        <w:gridCol w:w="1411"/>
        <w:gridCol w:w="1411"/>
        <w:gridCol w:w="1411"/>
        <w:gridCol w:w="1411"/>
        <w:gridCol w:w="1411"/>
        <w:gridCol w:w="1411"/>
      </w:tblGrid>
      <w:tr>
        <w:trPr>
          <w:tblHeader w:val="true"/>
          <w:cantSplit w:val="true"/>
        </w:trPr>
        <w:tc>
          <w:tcPr>
            <w:tcW w:type="dxa" w:w="1123"/>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5"/>
              </w:rPr>
              <w:t>Case</w:t>
            </w:r>
          </w:p>
        </w:tc>
        <w:tc>
          <w:tcPr>
            <w:tcW w:type="dxa" w:w="1123"/>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5"/>
              </w:rPr>
              <w:t>Legal share</w:t>
            </w:r>
          </w:p>
        </w:tc>
        <w:tc>
          <w:tcPr>
            <w:tcW w:type="dxa" w:w="1123"/>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5"/>
              </w:rPr>
              <w:t>Price ratio</w:t>
            </w:r>
          </w:p>
        </w:tc>
        <w:tc>
          <w:tcPr>
            <w:tcW w:type="dxa" w:w="1267"/>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5"/>
              </w:rPr>
              <w:t>Contribution</w:t>
            </w:r>
          </w:p>
        </w:tc>
        <w:tc>
          <w:tcPr>
            <w:tcW w:type="dxa" w:w="1267"/>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5"/>
              </w:rPr>
              <w:t>Sales</w:t>
            </w:r>
          </w:p>
        </w:tc>
        <w:tc>
          <w:tcPr>
            <w:tcW w:type="dxa" w:w="1512"/>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5"/>
              </w:rPr>
              <w:t>Public contribution</w:t>
            </w:r>
          </w:p>
        </w:tc>
        <w:tc>
          <w:tcPr>
            <w:tcW w:type="dxa" w:w="1728"/>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5"/>
              </w:rPr>
              <w:t>After £0.6bn reserve</w:t>
            </w:r>
          </w:p>
        </w:tc>
      </w:tr>
      <w:tr>
        <w:trPr>
          <w:cantSplit w:val="true"/>
        </w:trPr>
        <w:tc>
          <w:tcPr>
            <w:tcW w:type="dxa" w:w="1123"/>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Cautious</w:t>
            </w:r>
          </w:p>
        </w:tc>
        <w:tc>
          <w:tcPr>
            <w:tcW w:type="dxa" w:w="1123"/>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50%</w:t>
            </w:r>
          </w:p>
        </w:tc>
        <w:tc>
          <w:tcPr>
            <w:tcW w:type="dxa" w:w="1123"/>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60%</w:t>
            </w:r>
          </w:p>
        </w:tc>
        <w:tc>
          <w:tcPr>
            <w:tcW w:type="dxa" w:w="1267"/>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10%</w:t>
            </w:r>
          </w:p>
        </w:tc>
        <w:tc>
          <w:tcPr>
            <w:tcW w:type="dxa" w:w="1267"/>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£2.82bn</w:t>
            </w:r>
          </w:p>
        </w:tc>
        <w:tc>
          <w:tcPr>
            <w:tcW w:type="dxa" w:w="151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£0.282bn</w:t>
            </w:r>
          </w:p>
        </w:tc>
        <w:tc>
          <w:tcPr>
            <w:tcW w:type="dxa" w:w="172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minus £0.318bn</w:t>
            </w:r>
          </w:p>
        </w:tc>
      </w:tr>
      <w:tr>
        <w:trPr>
          <w:cantSplit w:val="true"/>
        </w:trPr>
        <w:tc>
          <w:tcPr>
            <w:tcW w:type="dxa" w:w="1123"/>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Central</w:t>
            </w:r>
          </w:p>
        </w:tc>
        <w:tc>
          <w:tcPr>
            <w:tcW w:type="dxa" w:w="1123"/>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70%</w:t>
            </w:r>
          </w:p>
        </w:tc>
        <w:tc>
          <w:tcPr>
            <w:tcW w:type="dxa" w:w="1123"/>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70%</w:t>
            </w:r>
          </w:p>
        </w:tc>
        <w:tc>
          <w:tcPr>
            <w:tcW w:type="dxa" w:w="1267"/>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20%</w:t>
            </w:r>
          </w:p>
        </w:tc>
        <w:tc>
          <w:tcPr>
            <w:tcW w:type="dxa" w:w="1267"/>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£4.606bn</w:t>
            </w:r>
          </w:p>
        </w:tc>
        <w:tc>
          <w:tcPr>
            <w:tcW w:type="dxa" w:w="1512"/>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£0.921bn</w:t>
            </w:r>
          </w:p>
        </w:tc>
        <w:tc>
          <w:tcPr>
            <w:tcW w:type="dxa" w:w="172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plus £0.321bn</w:t>
            </w:r>
          </w:p>
        </w:tc>
      </w:tr>
      <w:tr>
        <w:trPr>
          <w:cantSplit w:val="true"/>
        </w:trPr>
        <w:tc>
          <w:tcPr>
            <w:tcW w:type="dxa" w:w="1123"/>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Upper</w:t>
            </w:r>
          </w:p>
        </w:tc>
        <w:tc>
          <w:tcPr>
            <w:tcW w:type="dxa" w:w="1123"/>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85%</w:t>
            </w:r>
          </w:p>
        </w:tc>
        <w:tc>
          <w:tcPr>
            <w:tcW w:type="dxa" w:w="1123"/>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80%</w:t>
            </w:r>
          </w:p>
        </w:tc>
        <w:tc>
          <w:tcPr>
            <w:tcW w:type="dxa" w:w="1267"/>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25%</w:t>
            </w:r>
          </w:p>
        </w:tc>
        <w:tc>
          <w:tcPr>
            <w:tcW w:type="dxa" w:w="1267"/>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£6.392bn</w:t>
            </w:r>
          </w:p>
        </w:tc>
        <w:tc>
          <w:tcPr>
            <w:tcW w:type="dxa" w:w="151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£1.598bn</w:t>
            </w:r>
          </w:p>
        </w:tc>
        <w:tc>
          <w:tcPr>
            <w:tcW w:type="dxa" w:w="172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plus £0.998bn</w:t>
            </w:r>
          </w:p>
        </w:tc>
      </w:tr>
    </w:tbl>
    <w:p>
      <w:pPr>
        <w:keepLines w:val="0"/>
        <w:widowControl/>
        <w:spacing w:before="0" w:after="40" w:line="278" w:lineRule="auto"/>
      </w:pPr>
    </w:p>
    <w:p>
      <w:pPr>
        <w:keepLines w:val="0"/>
        <w:widowControl/>
        <w:spacing w:before="0" w:after="140" w:line="278" w:lineRule="auto"/>
      </w:pPr>
      <w:r>
        <w:rPr>
          <w:rFonts w:ascii="Liberation Sans" w:hAnsi="Liberation Sans"/>
        </w:rPr>
        <w:t>The central illustration leaves 30% of the former market outside the legal channel and produces £321 million after the historical service reserve. It does not show that regulation would abolish the black market. Legal displacement depends on competitive price, products people actually choose, reliable availability, privacy, opening hours and eligibility rules. High tax, stigma, narrow products or slow appointments can preserve illicit demand. Conversely, a public channel priced below the illegal market may reduce contribution while displacing more illegal sales.</w:t>
      </w:r>
    </w:p>
    <w:p>
      <w:pPr>
        <w:keepLines w:val="0"/>
        <w:widowControl/>
        <w:spacing w:before="0" w:after="140" w:line="278" w:lineRule="auto"/>
      </w:pPr>
      <w:r>
        <w:rPr>
          <w:rFonts w:ascii="Liberation Sans" w:hAnsi="Liberation Sans"/>
        </w:rPr>
        <w:t>The £600 million reserve is retained only to keep the calculation aligned with the 2020 market estimate. It is not a current treatment budget. The 2022 drugs strategy later committed an additional £780 million over three years to rebuild treatment and recovery services, illustrating why any final model must replace the historical reserve with current local authority, NHS, justice and voluntary sector accounts. [46]</w:t>
      </w:r>
    </w:p>
    <w:p>
      <w:pPr>
        <w:keepLines w:val="0"/>
        <w:widowControl/>
        <w:spacing w:before="0" w:after="140" w:line="278" w:lineRule="auto"/>
      </w:pPr>
      <w:r>
        <w:rPr>
          <w:rFonts w:ascii="Liberation Sans" w:hAnsi="Liberation Sans"/>
        </w:rPr>
        <w:t>The £19 billion social cost cannot be subtracted as if it were an NHS invoice. It includes health harm, crime and wider effects, much of which is not a cash budget and would not vanish. Police, prison and court savings also accrue to different organisations. A credible law would publish a distribution rule, for example product and service costs first, a protected treatment and harm reduction allocation second, local authority and ambulance support third, and any remaining surplus to the NHS. Parliament would need current market, service and behavioural data before setting rates.</w:t>
      </w:r>
    </w:p>
    <w:p>
      <w:pPr>
        <w:pStyle w:val="Heading1"/>
        <w:keepNext/>
        <w:keepLines w:val="0"/>
        <w:widowControl/>
        <w:spacing w:before="0" w:after="140" w:line="278" w:lineRule="auto"/>
      </w:pPr>
      <w:r>
        <w:rPr>
          <w:rFonts w:ascii="Liberation Sans" w:hAnsi="Liberation Sans"/>
        </w:rPr>
        <w:t>11 A regulated access model</w:t>
      </w:r>
    </w:p>
    <w:p>
      <w:pPr>
        <w:keepLines w:val="0"/>
        <w:widowControl/>
        <w:spacing w:before="0" w:after="140" w:line="278" w:lineRule="auto"/>
      </w:pPr>
      <w:r>
        <w:rPr>
          <w:rFonts w:ascii="Liberation Sans" w:hAnsi="Liberation Sans"/>
        </w:rPr>
        <w:t>The question can be stated plainly: could an adult ask a clinician, ‘Can I have three pills to go raving at the weekend?’ Under current law the answer cannot be a routine recreational prescription. MDMA is listed as a Class A, Schedule 1 controlled drug, and changing that position would require legislation, licensing and a new professional framework. [51] The policy question is whether Parliament should create a tightly evaluated route in which the person can ask honestly and receive an evidence based decision without being treated as a criminal.</w:t>
      </w:r>
    </w:p>
    <w:p>
      <w:pPr>
        <w:keepLines w:val="0"/>
        <w:widowControl/>
        <w:spacing w:before="0" w:after="140" w:line="278" w:lineRule="auto"/>
      </w:pPr>
      <w:r>
        <w:rPr>
          <w:rFonts w:ascii="Liberation Sans" w:hAnsi="Liberation Sans"/>
        </w:rPr>
        <w:t>The number three is not itself a safe dose. Tablets can differ in identity and potency, people differ in physiology and medicines, and repeated use during heat and exertion can change risk. A lawful model would authorise a standardised product and quantity under a published protocol. It would never treat an unknown street pill or a requested count as a clinical unit.</w:t>
      </w:r>
    </w:p>
    <w:p>
      <w:pPr>
        <w:pStyle w:val="Heading2"/>
        <w:keepNext/>
        <w:keepLines w:val="0"/>
        <w:pageBreakBefore/>
        <w:widowControl/>
        <w:spacing w:before="0" w:after="140" w:line="278" w:lineRule="auto"/>
      </w:pPr>
      <w:r>
        <w:rPr>
          <w:rFonts w:ascii="Liberation Sans" w:hAnsi="Liberation Sans"/>
        </w:rPr>
        <w:t>A possible event access pathway</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939"/>
        <w:gridCol w:w="4939"/>
      </w:tblGrid>
      <w:tr>
        <w:trPr>
          <w:tblHeader w:val="true"/>
          <w:cantSplit w:val="true"/>
        </w:trPr>
        <w:tc>
          <w:tcPr>
            <w:tcW w:type="dxa" w:w="1656"/>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7"/>
              </w:rPr>
              <w:t>Stage</w:t>
            </w:r>
          </w:p>
        </w:tc>
        <w:tc>
          <w:tcPr>
            <w:tcW w:type="dxa" w:w="8208"/>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7"/>
              </w:rPr>
              <w:t>Safeguard</w:t>
            </w:r>
          </w:p>
        </w:tc>
      </w:tr>
      <w:tr>
        <w:trPr>
          <w:cantSplit w:val="true"/>
        </w:trPr>
        <w:tc>
          <w:tcPr>
            <w:tcW w:type="dxa" w:w="1656"/>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1 Request</w:t>
            </w:r>
          </w:p>
        </w:tc>
        <w:tc>
          <w:tcPr>
            <w:tcW w:type="dxa" w:w="820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An adult asks without fear of arrest or loss of unrelated healthcare. The service explains confidentiality and its limits.</w:t>
            </w:r>
          </w:p>
        </w:tc>
      </w:tr>
      <w:tr>
        <w:trPr>
          <w:cantSplit w:val="true"/>
        </w:trPr>
        <w:tc>
          <w:tcPr>
            <w:tcW w:type="dxa" w:w="1656"/>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2 Review</w:t>
            </w:r>
          </w:p>
        </w:tc>
        <w:tc>
          <w:tcPr>
            <w:tcW w:type="dxa" w:w="820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A trained clinician or pharmacist reviews health conditions, current medicines, previous reactions, capacity, expected setting and plans for driving or safety critical work.</w:t>
            </w:r>
          </w:p>
        </w:tc>
      </w:tr>
      <w:tr>
        <w:trPr>
          <w:cantSplit w:val="true"/>
        </w:trPr>
        <w:tc>
          <w:tcPr>
            <w:tcW w:type="dxa" w:w="1656"/>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3 Decision</w:t>
            </w:r>
          </w:p>
        </w:tc>
        <w:tc>
          <w:tcPr>
            <w:tcW w:type="dxa" w:w="820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Approval is not automatic. The professional may authorise within protocol, delay, decline with reasons, seek specialist advice or offer another harm reduction plan. Risk based contraindications are clinical safeguards, not discrimination.</w:t>
            </w:r>
          </w:p>
        </w:tc>
      </w:tr>
      <w:tr>
        <w:trPr>
          <w:cantSplit w:val="true"/>
        </w:trPr>
        <w:tc>
          <w:tcPr>
            <w:tcW w:type="dxa" w:w="1656"/>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4 Supply</w:t>
            </w:r>
          </w:p>
        </w:tc>
        <w:tc>
          <w:tcPr>
            <w:tcW w:type="dxa" w:w="820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An authorised pharmacy supplies a laboratory verified product in tamper evident packaging with identity, strength, warnings, batch number and a route for recall.</w:t>
            </w:r>
          </w:p>
        </w:tc>
      </w:tr>
      <w:tr>
        <w:trPr>
          <w:cantSplit w:val="true"/>
        </w:trPr>
        <w:tc>
          <w:tcPr>
            <w:tcW w:type="dxa" w:w="1656"/>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5 Event support</w:t>
            </w:r>
          </w:p>
        </w:tc>
        <w:tc>
          <w:tcPr>
            <w:tcW w:type="dxa" w:w="820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The venue provides free water, cooling and quiet spaces, drug checking, trained welfare staff, paramedics and rapid transfer. Onsite teams receive batch alerts and protocols.</w:t>
            </w:r>
          </w:p>
        </w:tc>
      </w:tr>
      <w:tr>
        <w:trPr>
          <w:cantSplit w:val="true"/>
        </w:trPr>
        <w:tc>
          <w:tcPr>
            <w:tcW w:type="dxa" w:w="1656"/>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6 Public safety</w:t>
            </w:r>
          </w:p>
        </w:tc>
        <w:tc>
          <w:tcPr>
            <w:tcW w:type="dxa" w:w="820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The person agrees not to drive or undertake safety critical work while impaired. Police enforce impairment, violence, coercion, diversion and unlicensed sales rather than authorised possession.</w:t>
            </w:r>
          </w:p>
        </w:tc>
      </w:tr>
      <w:tr>
        <w:trPr>
          <w:cantSplit w:val="true"/>
        </w:trPr>
        <w:tc>
          <w:tcPr>
            <w:tcW w:type="dxa" w:w="1656"/>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7 Learning</w:t>
            </w:r>
          </w:p>
        </w:tc>
        <w:tc>
          <w:tcPr>
            <w:tcW w:type="dxa" w:w="820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The service records outcomes, adverse effects and near misses, invites follow up and publishes anonymised results through an independent evaluator.</w:t>
            </w:r>
          </w:p>
        </w:tc>
      </w:tr>
    </w:tbl>
    <w:p>
      <w:pPr>
        <w:keepLines w:val="0"/>
        <w:widowControl/>
        <w:spacing w:before="0" w:after="40" w:line="278" w:lineRule="auto"/>
      </w:pPr>
    </w:p>
    <w:p>
      <w:pPr>
        <w:pStyle w:val="Heading2"/>
        <w:keepNext/>
        <w:keepLines w:val="0"/>
        <w:widowControl/>
        <w:spacing w:before="0" w:after="140" w:line="278" w:lineRule="auto"/>
      </w:pPr>
      <w:r>
        <w:rPr>
          <w:rFonts w:ascii="Liberation Sans" w:hAnsi="Liberation Sans"/>
        </w:rPr>
        <w:t>Confidentiality and emergency information</w:t>
      </w:r>
    </w:p>
    <w:p>
      <w:pPr>
        <w:keepLines w:val="0"/>
        <w:widowControl/>
        <w:spacing w:before="0" w:after="140" w:line="278" w:lineRule="auto"/>
      </w:pPr>
      <w:r>
        <w:rPr>
          <w:rFonts w:ascii="Liberation Sans" w:hAnsi="Liberation Sans"/>
        </w:rPr>
        <w:t>Routine notification to police that a named person plans to use a drug would make honesty less likely and would conflict with the purpose of confidential care. GMC guidance treats confidentiality as an important ethical and legal duty. Disclosure is normally based on consent, a legal requirement or a justified public interest such as preventing serious harm. Only relevant information should be shared. [49] A safer design gives police aggregate operational information and gives ambulance or venue clinicians batch warnings and treatment protocols. Personal information follows the patient with explicit consent, through direct care rules, or under a clear emergency legal basis.</w:t>
      </w:r>
    </w:p>
    <w:p>
      <w:pPr>
        <w:keepLines w:val="0"/>
        <w:widowControl/>
        <w:spacing w:before="0" w:after="140" w:line="278" w:lineRule="auto"/>
      </w:pPr>
      <w:r>
        <w:rPr>
          <w:rFonts w:ascii="Liberation Sans" w:hAnsi="Liberation Sans"/>
        </w:rPr>
        <w:t>Drug driving remains a separate public safety boundary. Current law makes it illegal to drive when unfit because of legal or illegal drugs, and police may use impairment assessments, roadside screening and evidential tests. A future authorisation should not become permission to drive while impaired. [50] The same principle applies to operating machinery or other safety critical work.</w:t>
      </w:r>
    </w:p>
    <w:p>
      <w:pPr>
        <w:pStyle w:val="Heading2"/>
        <w:keepNext/>
        <w:keepLines w:val="0"/>
        <w:widowControl/>
        <w:spacing w:before="0" w:after="140" w:line="278" w:lineRule="auto"/>
      </w:pPr>
      <w:r>
        <w:rPr>
          <w:rFonts w:ascii="Liberation Sans" w:hAnsi="Liberation Sans"/>
        </w:rPr>
        <w:t>Clinical capacity and gatekeeping</w:t>
      </w:r>
    </w:p>
    <w:p>
      <w:pPr>
        <w:keepLines w:val="0"/>
        <w:widowControl/>
        <w:spacing w:before="0" w:after="140" w:line="278" w:lineRule="auto"/>
      </w:pPr>
      <w:r>
        <w:rPr>
          <w:rFonts w:ascii="Liberation Sans" w:hAnsi="Liberation Sans"/>
        </w:rPr>
        <w:t>Making every recreational decision a GP appointment could reproduce scarcity and medicalise autonomy. The 2020 review estimated about 3 million adults used drugs in England and Wales. One 20 minute annual review for that population would require about 1 million clinical hours or 667 full time equivalents at 1,500 productive hours each. Four reviews a year would require 4 million hours or 2,667 full time equivalents. Monthly 30 minute support for the 300,000 higher risk opiate or crack population would be another 1.8 million hours or 1,200 equivalents. These are workload illustrations, not staffing forecasts. [45]</w:t>
      </w:r>
    </w:p>
    <w:p>
      <w:pPr>
        <w:keepLines w:val="0"/>
        <w:widowControl/>
        <w:spacing w:before="0" w:after="140" w:line="278" w:lineRule="auto"/>
      </w:pPr>
      <w:r>
        <w:rPr>
          <w:rFonts w:ascii="Liberation Sans" w:hAnsi="Liberation Sans"/>
        </w:rPr>
        <w:t>A more workable model would use trained pharmacists, nurses, specialist prescribers and digital records, with GPs involved when medical complexity requires them. Independent eligibility rules, an appeal route and equality monitoring would reduce arbitrary refusal. A clinician should protect a person's welfare, not act as a moral gatekeeper, but professional authorisation still carries a duty to refuse when a protocol identifies a material danger.</w:t>
      </w:r>
    </w:p>
    <w:p>
      <w:pPr>
        <w:pStyle w:val="Heading2"/>
        <w:keepNext/>
        <w:keepLines w:val="0"/>
        <w:widowControl/>
        <w:spacing w:before="0" w:after="140" w:line="278" w:lineRule="auto"/>
      </w:pPr>
      <w:r>
        <w:rPr>
          <w:rFonts w:ascii="Liberation Sans" w:hAnsi="Liberation Sans"/>
        </w:rPr>
        <w:t>What a pilot must test</w:t>
      </w:r>
    </w:p>
    <w:p>
      <w:pPr>
        <w:pStyle w:val="ListBullet"/>
        <w:keepLines w:val="0"/>
        <w:widowControl/>
        <w:spacing w:before="0" w:after="80" w:line="269" w:lineRule="auto"/>
      </w:pPr>
      <w:r>
        <w:rPr>
          <w:rFonts w:ascii="Liberation Sans" w:hAnsi="Liberation Sans"/>
        </w:rPr>
        <w:t>Deaths emergency calls overheating respiratory depression panic injury and delayed presentations</w:t>
      </w:r>
    </w:p>
    <w:p>
      <w:pPr>
        <w:pStyle w:val="ListBullet"/>
        <w:keepLines w:val="0"/>
        <w:widowControl/>
        <w:spacing w:before="0" w:after="80" w:line="269" w:lineRule="auto"/>
      </w:pPr>
      <w:r>
        <w:rPr>
          <w:rFonts w:ascii="Liberation Sans" w:hAnsi="Liberation Sans"/>
        </w:rPr>
        <w:t>Product identity potency contamination diversion and unlicensed market share</w:t>
      </w:r>
    </w:p>
    <w:p>
      <w:pPr>
        <w:pStyle w:val="ListBullet"/>
        <w:keepLines w:val="0"/>
        <w:widowControl/>
        <w:spacing w:before="0" w:after="80" w:line="269" w:lineRule="auto"/>
      </w:pPr>
      <w:r>
        <w:rPr>
          <w:rFonts w:ascii="Liberation Sans" w:hAnsi="Liberation Sans"/>
        </w:rPr>
        <w:t>Driving and workplace impairment violence exploitation and sales to children</w:t>
      </w:r>
    </w:p>
    <w:p>
      <w:pPr>
        <w:pStyle w:val="ListBullet"/>
        <w:keepLines w:val="0"/>
        <w:widowControl/>
        <w:spacing w:before="0" w:after="80" w:line="269" w:lineRule="auto"/>
      </w:pPr>
      <w:r>
        <w:rPr>
          <w:rFonts w:ascii="Liberation Sans" w:hAnsi="Liberation Sans"/>
        </w:rPr>
        <w:t>Access by income ethnicity disability geography and previous contact with police or healthcare</w:t>
      </w:r>
    </w:p>
    <w:p>
      <w:pPr>
        <w:pStyle w:val="ListBullet"/>
        <w:keepLines w:val="0"/>
        <w:widowControl/>
        <w:spacing w:before="0" w:after="80" w:line="269" w:lineRule="auto"/>
      </w:pPr>
      <w:r>
        <w:rPr>
          <w:rFonts w:ascii="Liberation Sans" w:hAnsi="Liberation Sans"/>
        </w:rPr>
        <w:t>Patient trust disclosure consent privacy complaints and reasons for clinical refusal</w:t>
      </w:r>
    </w:p>
    <w:p>
      <w:pPr>
        <w:pStyle w:val="ListBullet"/>
        <w:keepLines w:val="0"/>
        <w:widowControl/>
        <w:spacing w:before="0" w:after="80" w:line="269" w:lineRule="auto"/>
      </w:pPr>
      <w:r>
        <w:rPr>
          <w:rFonts w:ascii="Liberation Sans" w:hAnsi="Liberation Sans"/>
        </w:rPr>
        <w:t>Police ambulance pharmacy primary care treatment court and prison workload in comparable hours and pounds</w:t>
      </w:r>
    </w:p>
    <w:p>
      <w:pPr>
        <w:pStyle w:val="ListBullet"/>
        <w:keepLines w:val="0"/>
        <w:widowControl/>
        <w:spacing w:before="0" w:after="80" w:line="269" w:lineRule="auto"/>
      </w:pPr>
      <w:r>
        <w:rPr>
          <w:rFonts w:ascii="Liberation Sans" w:hAnsi="Liberation Sans"/>
        </w:rPr>
        <w:t>Changes in frequency dose patterns dependence treatment entry and quality of life without assuming that abstinence is the only valuable outcome</w:t>
      </w:r>
    </w:p>
    <w:p>
      <w:pPr>
        <w:keepLines/>
        <w:widowControl/>
        <w:spacing w:before="0" w:after="140" w:line="278" w:lineRule="auto"/>
      </w:pPr>
      <w:r>
        <w:rPr>
          <w:rFonts w:ascii="Liberation Sans" w:hAnsi="Liberation Sans"/>
        </w:rPr>
        <w:t>The humane promise would be modest and testable: be honest, receive accurate information, use a known product if the law permits, do not drive or endanger others, and get help without punishment when something goes wrong. A pilot could show that this reduces harm, or it could reveal new harms and inequities. Either result should be published. Respect for autonomy includes respecting evidence that complicates the preferred policy.</w:t>
      </w:r>
    </w:p>
    <w:p>
      <w:pPr>
        <w:pStyle w:val="Heading1"/>
        <w:keepNext/>
        <w:keepLines w:val="0"/>
        <w:widowControl/>
        <w:spacing w:before="0" w:after="140" w:line="278" w:lineRule="auto"/>
      </w:pPr>
      <w:r>
        <w:rPr>
          <w:rFonts w:ascii="Liberation Sans" w:hAnsi="Liberation Sans"/>
        </w:rPr>
        <w:t>12 A practical method for questioning treatment</w:t>
      </w:r>
    </w:p>
    <w:p>
      <w:pPr>
        <w:keepLines w:val="0"/>
        <w:widowControl/>
        <w:spacing w:before="0" w:after="140" w:line="278" w:lineRule="auto"/>
      </w:pPr>
      <w:r>
        <w:rPr>
          <w:rFonts w:ascii="Liberation Sans" w:hAnsi="Liberation Sans"/>
        </w:rPr>
        <w:t>Legitimate refusal is a skill. It becomes easier when a person asks specific questions, requests a written record and separates disagreement about values from disagreement about facts. The following questions can be taken to a GP, specialist or pharmacist.</w:t>
      </w:r>
    </w:p>
    <w:p>
      <w:pPr>
        <w:pStyle w:val="ListNumber"/>
        <w:keepLines w:val="0"/>
        <w:widowControl/>
        <w:spacing w:before="0" w:after="100" w:line="269" w:lineRule="auto"/>
      </w:pPr>
      <w:r>
        <w:rPr>
          <w:rFonts w:ascii="Liberation Sans" w:hAnsi="Liberation Sans"/>
        </w:rPr>
        <w:t>What problem or diagnosis is this medicine intended to treat, and how certain is that diagnosis</w:t>
      </w:r>
    </w:p>
    <w:p>
      <w:pPr>
        <w:pStyle w:val="ListNumber"/>
        <w:keepLines w:val="0"/>
        <w:widowControl/>
        <w:spacing w:before="0" w:after="100" w:line="269" w:lineRule="auto"/>
      </w:pPr>
      <w:r>
        <w:rPr>
          <w:rFonts w:ascii="Liberation Sans" w:hAnsi="Liberation Sans"/>
        </w:rPr>
        <w:t>What benefit should I expect, how large is it, how soon should it appear, and how will we know whether it worked</w:t>
      </w:r>
    </w:p>
    <w:p>
      <w:pPr>
        <w:pStyle w:val="ListNumber"/>
        <w:keepLines w:val="0"/>
        <w:widowControl/>
        <w:spacing w:before="0" w:after="100" w:line="269" w:lineRule="auto"/>
      </w:pPr>
      <w:r>
        <w:rPr>
          <w:rFonts w:ascii="Liberation Sans" w:hAnsi="Liberation Sans"/>
        </w:rPr>
        <w:t>What common and serious harms matter for my health history, age, kidneys, liver, mental health and other medicines</w:t>
      </w:r>
    </w:p>
    <w:p>
      <w:pPr>
        <w:pStyle w:val="ListNumber"/>
        <w:keepLines w:val="0"/>
        <w:widowControl/>
        <w:spacing w:before="0" w:after="100" w:line="269" w:lineRule="auto"/>
      </w:pPr>
      <w:r>
        <w:rPr>
          <w:rFonts w:ascii="Liberation Sans" w:hAnsi="Liberation Sans"/>
        </w:rPr>
        <w:t>Can this medicine cause tolerance, physical dependence, addiction or withdrawal, and what is the stopping plan before I begin</w:t>
      </w:r>
    </w:p>
    <w:p>
      <w:pPr>
        <w:pStyle w:val="ListNumber"/>
        <w:keepLines w:val="0"/>
        <w:widowControl/>
        <w:spacing w:before="0" w:after="100" w:line="269" w:lineRule="auto"/>
      </w:pPr>
      <w:r>
        <w:rPr>
          <w:rFonts w:ascii="Liberation Sans" w:hAnsi="Liberation Sans"/>
        </w:rPr>
        <w:t>What reasonable alternatives exist, including another medicine, a non medicinal treatment, watchful waiting or no treatment</w:t>
      </w:r>
    </w:p>
    <w:p>
      <w:pPr>
        <w:pStyle w:val="ListNumber"/>
        <w:keepLines w:val="0"/>
        <w:widowControl/>
        <w:spacing w:before="0" w:after="100" w:line="269" w:lineRule="auto"/>
      </w:pPr>
      <w:r>
        <w:rPr>
          <w:rFonts w:ascii="Liberation Sans" w:hAnsi="Liberation Sans"/>
        </w:rPr>
        <w:t>Why is this option preferred for me, and is the choice affected by a formulary, shortage, price or commissioning rule</w:t>
      </w:r>
    </w:p>
    <w:p>
      <w:pPr>
        <w:pStyle w:val="ListNumber"/>
        <w:keepLines w:val="0"/>
        <w:widowControl/>
        <w:spacing w:before="0" w:after="100" w:line="269" w:lineRule="auto"/>
      </w:pPr>
      <w:r>
        <w:rPr>
          <w:rFonts w:ascii="Liberation Sans" w:hAnsi="Liberation Sans"/>
        </w:rPr>
        <w:t>What evidence supports the recommendation, who funded it, and what important uncertainty remains</w:t>
      </w:r>
    </w:p>
    <w:p>
      <w:pPr>
        <w:pStyle w:val="ListNumber"/>
        <w:keepLines w:val="0"/>
        <w:widowControl/>
        <w:spacing w:before="0" w:after="100" w:line="269" w:lineRule="auto"/>
      </w:pPr>
      <w:r>
        <w:rPr>
          <w:rFonts w:ascii="Liberation Sans" w:hAnsi="Liberation Sans"/>
        </w:rPr>
        <w:t>Which combinations should I avoid, and has a pharmacist reviewed my complete list including alcohol, cannabis, supplements and non prescribed drugs</w:t>
      </w:r>
    </w:p>
    <w:p>
      <w:pPr>
        <w:pStyle w:val="ListNumber"/>
        <w:keepLines w:val="0"/>
        <w:widowControl/>
        <w:spacing w:before="0" w:after="100" w:line="269" w:lineRule="auto"/>
      </w:pPr>
      <w:r>
        <w:rPr>
          <w:rFonts w:ascii="Liberation Sans" w:hAnsi="Liberation Sans"/>
        </w:rPr>
        <w:t>What monitoring is needed, who will review the results, and what symptoms mean I should seek urgent help</w:t>
      </w:r>
    </w:p>
    <w:p>
      <w:pPr>
        <w:pStyle w:val="ListNumber"/>
        <w:keepLines w:val="0"/>
        <w:widowControl/>
        <w:spacing w:before="0" w:after="100" w:line="269" w:lineRule="auto"/>
      </w:pPr>
      <w:r>
        <w:rPr>
          <w:rFonts w:ascii="Liberation Sans" w:hAnsi="Liberation Sans"/>
        </w:rPr>
        <w:t>May I have time to decide, written information, access to my records, or a second opinion</w:t>
      </w:r>
    </w:p>
    <w:p>
      <w:pPr>
        <w:pStyle w:val="ListNumber"/>
        <w:keepLines w:val="0"/>
        <w:widowControl/>
        <w:spacing w:before="0" w:after="100" w:line="269" w:lineRule="auto"/>
      </w:pPr>
      <w:r>
        <w:rPr>
          <w:rFonts w:ascii="Liberation Sans" w:hAnsi="Liberation Sans"/>
        </w:rPr>
        <w:t>Please record that I do not consent to this option and record the alternative or review I am requesting</w:t>
      </w:r>
    </w:p>
    <w:p>
      <w:pPr>
        <w:pStyle w:val="Heading2"/>
        <w:keepNext/>
        <w:keepLines w:val="0"/>
        <w:widowControl/>
        <w:spacing w:before="0" w:after="140" w:line="278" w:lineRule="auto"/>
      </w:pPr>
      <w:r>
        <w:rPr>
          <w:rFonts w:ascii="Liberation Sans" w:hAnsi="Liberation Sans"/>
        </w:rPr>
        <w:t>A concise refusal script</w:t>
      </w:r>
    </w:p>
    <w:p>
      <w:pPr>
        <w:keepLines/>
        <w:widowControl/>
        <w:spacing w:before="0" w:after="180" w:line="283" w:lineRule="auto"/>
      </w:pPr>
      <w:r>
        <w:rPr>
          <w:rFonts w:ascii="Liberation Sans" w:hAnsi="Liberation Sans"/>
          <w:i/>
        </w:rPr>
        <w:t>I understand the purpose you have explained. I do not consent to starting or continuing this treatment at present. Please explain the reasonable alternatives, the risks of no treatment, and any withdrawal risk. Please record my decision and the reason for any alternative you cannot offer. I would like a medication review or second opinion.</w:t>
      </w:r>
    </w:p>
    <w:p>
      <w:pPr>
        <w:keepLines w:val="0"/>
        <w:widowControl/>
        <w:spacing w:before="0" w:after="140" w:line="278" w:lineRule="auto"/>
      </w:pPr>
      <w:r>
        <w:rPr>
          <w:rFonts w:ascii="Liberation Sans" w:hAnsi="Liberation Sans"/>
        </w:rPr>
        <w:t>A person who wants to stop codeine, pregabalin, gabapentin, benzodiazepines, Z drugs, antidepressants or another dependence forming medicine should not be forced into abrupt cessation. The request should lead to an individual plan. [4, 5] Suspected medicine harm can be reported directly through the MHRA Yellow Card scheme. [37]</w:t>
      </w:r>
    </w:p>
    <w:p>
      <w:pPr>
        <w:pStyle w:val="Heading1"/>
        <w:keepNext/>
        <w:keepLines w:val="0"/>
        <w:widowControl/>
        <w:spacing w:before="0" w:after="140" w:line="278" w:lineRule="auto"/>
      </w:pPr>
      <w:r>
        <w:rPr>
          <w:rFonts w:ascii="Liberation Sans" w:hAnsi="Liberation Sans"/>
        </w:rPr>
        <w:t>13 Sources for alternative and patient perspectives</w:t>
      </w:r>
    </w:p>
    <w:p>
      <w:pPr>
        <w:keepLines w:val="0"/>
        <w:widowControl/>
        <w:spacing w:before="0" w:after="140" w:line="278" w:lineRule="auto"/>
      </w:pPr>
      <w:r>
        <w:rPr>
          <w:rFonts w:ascii="Liberation Sans" w:hAnsi="Liberation Sans"/>
        </w:rPr>
        <w:t>No source is neutral. Every archive reflects who contributes, who survives to write, what moderators select, what funders support and which experiences are easier to describe. The aim is therefore not to find a bias free site. It is to compare sources with different methods and incentives.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293"/>
        <w:gridCol w:w="3293"/>
        <w:gridCol w:w="3293"/>
      </w:tblGrid>
      <w:tr>
        <w:trPr>
          <w:tblHeader w:val="true"/>
          <w:cantSplit w:val="true"/>
        </w:trPr>
        <w:tc>
          <w:tcPr>
            <w:tcW w:type="dxa" w:w="1728"/>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5"/>
              </w:rPr>
              <w:t>Source</w:t>
            </w:r>
          </w:p>
        </w:tc>
        <w:tc>
          <w:tcPr>
            <w:tcW w:type="dxa" w:w="3240"/>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5"/>
              </w:rPr>
              <w:t>Address and type</w:t>
            </w:r>
          </w:p>
        </w:tc>
        <w:tc>
          <w:tcPr>
            <w:tcW w:type="dxa" w:w="5040"/>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5"/>
              </w:rPr>
              <w:t>Why use it and what to watch</w:t>
            </w:r>
          </w:p>
        </w:tc>
      </w:tr>
      <w:tr>
        <w:trPr>
          <w:cantSplit w:val="true"/>
        </w:trPr>
        <w:tc>
          <w:tcPr>
            <w:tcW w:type="dxa" w:w="172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Erowid</w:t>
            </w:r>
          </w:p>
        </w:tc>
        <w:tc>
          <w:tcPr>
            <w:tcW w:type="dxa" w:w="3240"/>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Psychoactive library</w:t>
            </w:r>
            <w:r>
              <w:br/>
            </w:r>
            <w:hyperlink r:id="rId11">
              <w:r>
                <w:rPr>
                  <w:rFonts w:ascii="Liberation Sans" w:hAnsi="Liberation Sans"/>
                  <w:color w:val="1A5A96"/>
                  <w:u w:val="single"/>
                  <w:sz w:val="15"/>
                  <w:szCs w:val="15"/>
                </w:rPr>
                <w:t>erowid.org/</w:t>
              </w:r>
            </w:hyperlink>
          </w:p>
        </w:tc>
        <w:tc>
          <w:tcPr>
            <w:tcW w:type="dxa" w:w="5040"/>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Broad archive joining chemistry law culture health and experience. Useful for orientation. Content varies by source and date. [23]</w:t>
            </w:r>
          </w:p>
        </w:tc>
      </w:tr>
      <w:tr>
        <w:trPr>
          <w:cantSplit w:val="true"/>
        </w:trPr>
        <w:tc>
          <w:tcPr>
            <w:tcW w:type="dxa" w:w="172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Erowid Experience Vaults</w:t>
            </w:r>
          </w:p>
        </w:tc>
        <w:tc>
          <w:tcPr>
            <w:tcW w:type="dxa" w:w="3240"/>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First person reports</w:t>
            </w:r>
            <w:r>
              <w:br/>
            </w:r>
            <w:hyperlink r:id="rId12">
              <w:r>
                <w:rPr>
                  <w:rFonts w:ascii="Liberation Sans" w:hAnsi="Liberation Sans"/>
                  <w:color w:val="1A5A96"/>
                  <w:u w:val="single"/>
                  <w:sz w:val="15"/>
                  <w:szCs w:val="15"/>
                </w:rPr>
                <w:t>www.erowid.org/experiences/</w:t>
              </w:r>
            </w:hyperlink>
          </w:p>
        </w:tc>
        <w:tc>
          <w:tcPr>
            <w:tcW w:type="dxa" w:w="5040"/>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Positive negative and mixed reports reviewed for publication. Erowid states that reports are authors' opinions and activities are not recommendations. [24]</w:t>
            </w:r>
          </w:p>
        </w:tc>
      </w:tr>
      <w:tr>
        <w:trPr>
          <w:cantSplit w:val="true"/>
        </w:trPr>
        <w:tc>
          <w:tcPr>
            <w:tcW w:type="dxa" w:w="172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Erowid Chemical Vaults</w:t>
            </w:r>
          </w:p>
        </w:tc>
        <w:tc>
          <w:tcPr>
            <w:tcW w:type="dxa" w:w="3240"/>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Substance index</w:t>
            </w:r>
            <w:r>
              <w:br/>
            </w:r>
            <w:hyperlink r:id="rId13">
              <w:r>
                <w:rPr>
                  <w:rFonts w:ascii="Liberation Sans" w:hAnsi="Liberation Sans"/>
                  <w:color w:val="1A5A96"/>
                  <w:u w:val="single"/>
                  <w:sz w:val="15"/>
                  <w:szCs w:val="15"/>
                </w:rPr>
                <w:t>www.erowid.org/chemicals/</w:t>
              </w:r>
            </w:hyperlink>
          </w:p>
        </w:tc>
        <w:tc>
          <w:tcPr>
            <w:tcW w:type="dxa" w:w="5040"/>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Fast route to substance specific pages and related material. Some pages are old or incomplete and should be checked against current sources. [25]</w:t>
            </w:r>
          </w:p>
        </w:tc>
      </w:tr>
      <w:tr>
        <w:trPr>
          <w:cantSplit w:val="true"/>
        </w:trPr>
        <w:tc>
          <w:tcPr>
            <w:tcW w:type="dxa" w:w="172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PsychonautWiki</w:t>
            </w:r>
          </w:p>
        </w:tc>
        <w:tc>
          <w:tcPr>
            <w:tcW w:type="dxa" w:w="3240"/>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Community reference</w:t>
            </w:r>
            <w:r>
              <w:br/>
            </w:r>
            <w:hyperlink r:id="rId14">
              <w:r>
                <w:rPr>
                  <w:rFonts w:ascii="Liberation Sans" w:hAnsi="Liberation Sans"/>
                  <w:color w:val="1A5A96"/>
                  <w:u w:val="single"/>
                  <w:sz w:val="15"/>
                  <w:szCs w:val="15"/>
                </w:rPr>
                <w:t>psychonautwiki.org/</w:t>
              </w:r>
            </w:hyperlink>
          </w:p>
        </w:tc>
        <w:tc>
          <w:tcPr>
            <w:tcW w:type="dxa" w:w="5040"/>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Structured descriptions of effects and harm reduction concepts. Community edited and not a clinical authority. [26]</w:t>
            </w:r>
          </w:p>
        </w:tc>
      </w:tr>
      <w:tr>
        <w:trPr>
          <w:cantSplit w:val="true"/>
        </w:trPr>
        <w:tc>
          <w:tcPr>
            <w:tcW w:type="dxa" w:w="172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Bluelight</w:t>
            </w:r>
          </w:p>
        </w:tc>
        <w:tc>
          <w:tcPr>
            <w:tcW w:type="dxa" w:w="3240"/>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Harm reduction forum</w:t>
            </w:r>
            <w:r>
              <w:br/>
            </w:r>
            <w:hyperlink r:id="rId15">
              <w:r>
                <w:rPr>
                  <w:rFonts w:ascii="Liberation Sans" w:hAnsi="Liberation Sans"/>
                  <w:color w:val="1A5A96"/>
                  <w:u w:val="single"/>
                  <w:sz w:val="15"/>
                  <w:szCs w:val="15"/>
                </w:rPr>
                <w:t>www.bluelight.org/community/</w:t>
              </w:r>
            </w:hyperlink>
          </w:p>
        </w:tc>
        <w:tc>
          <w:tcPr>
            <w:tcW w:type="dxa" w:w="5040"/>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Long running peer discussion with research participation and recovery spaces. Identities and claims usually remain unverified. [27]</w:t>
            </w:r>
          </w:p>
        </w:tc>
      </w:tr>
      <w:tr>
        <w:trPr>
          <w:cantSplit w:val="true"/>
        </w:trPr>
        <w:tc>
          <w:tcPr>
            <w:tcW w:type="dxa" w:w="172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Drugs Forum</w:t>
            </w:r>
          </w:p>
        </w:tc>
        <w:tc>
          <w:tcPr>
            <w:tcW w:type="dxa" w:w="3240"/>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Peer forum</w:t>
            </w:r>
            <w:r>
              <w:br/>
            </w:r>
            <w:hyperlink r:id="rId16">
              <w:r>
                <w:rPr>
                  <w:rFonts w:ascii="Liberation Sans" w:hAnsi="Liberation Sans"/>
                  <w:color w:val="1A5A96"/>
                  <w:u w:val="single"/>
                  <w:sz w:val="15"/>
                  <w:szCs w:val="15"/>
                </w:rPr>
                <w:t>drugs-forum.com/</w:t>
              </w:r>
            </w:hyperlink>
          </w:p>
        </w:tc>
        <w:tc>
          <w:tcPr>
            <w:tcW w:type="dxa" w:w="5040"/>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Large discussion archive covering experience law recovery and health. Quality varies by contributor and thread. [28]</w:t>
            </w:r>
          </w:p>
        </w:tc>
      </w:tr>
      <w:tr>
        <w:trPr>
          <w:cantSplit w:val="true"/>
        </w:trPr>
        <w:tc>
          <w:tcPr>
            <w:tcW w:type="dxa" w:w="172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TripSit</w:t>
            </w:r>
          </w:p>
        </w:tc>
        <w:tc>
          <w:tcPr>
            <w:tcW w:type="dxa" w:w="3240"/>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Education and peer support</w:t>
            </w:r>
            <w:r>
              <w:br/>
            </w:r>
            <w:hyperlink r:id="rId17">
              <w:r>
                <w:rPr>
                  <w:rFonts w:ascii="Liberation Sans" w:hAnsi="Liberation Sans"/>
                  <w:color w:val="1A5A96"/>
                  <w:u w:val="single"/>
                  <w:sz w:val="15"/>
                  <w:szCs w:val="15"/>
                </w:rPr>
                <w:t>tripsit.me/</w:t>
              </w:r>
            </w:hyperlink>
          </w:p>
        </w:tc>
        <w:tc>
          <w:tcPr>
            <w:tcW w:type="dxa" w:w="5040"/>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Volunteer harm reduction community with factsheets and a combination chart. The site states that volunteers are not certified professionals. [29]</w:t>
            </w:r>
          </w:p>
        </w:tc>
      </w:tr>
      <w:tr>
        <w:trPr>
          <w:cantSplit w:val="true"/>
        </w:trPr>
        <w:tc>
          <w:tcPr>
            <w:tcW w:type="dxa" w:w="172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WEDINOS</w:t>
            </w:r>
          </w:p>
        </w:tc>
        <w:tc>
          <w:tcPr>
            <w:tcW w:type="dxa" w:w="3240"/>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Anonymous laboratory testing</w:t>
            </w:r>
            <w:r>
              <w:br/>
            </w:r>
            <w:hyperlink r:id="rId18">
              <w:r>
                <w:rPr>
                  <w:rFonts w:ascii="Liberation Sans" w:hAnsi="Liberation Sans"/>
                  <w:color w:val="1A5A96"/>
                  <w:u w:val="single"/>
                  <w:sz w:val="15"/>
                  <w:szCs w:val="15"/>
                </w:rPr>
                <w:t>wedinos.wales/</w:t>
              </w:r>
            </w:hyperlink>
          </w:p>
        </w:tc>
        <w:tc>
          <w:tcPr>
            <w:tcW w:type="dxa" w:w="5040"/>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Tests submitted substances and publishes results. Stronger for identity than a story, but a submitted sample does not describe the whole market. [22]</w:t>
            </w:r>
          </w:p>
        </w:tc>
      </w:tr>
      <w:tr>
        <w:trPr>
          <w:cantSplit w:val="true"/>
        </w:trPr>
        <w:tc>
          <w:tcPr>
            <w:tcW w:type="dxa" w:w="172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Release</w:t>
            </w:r>
          </w:p>
        </w:tc>
        <w:tc>
          <w:tcPr>
            <w:tcW w:type="dxa" w:w="3240"/>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Law and harm reduction</w:t>
            </w:r>
            <w:r>
              <w:br/>
            </w:r>
            <w:hyperlink r:id="rId19">
              <w:r>
                <w:rPr>
                  <w:rFonts w:ascii="Liberation Sans" w:hAnsi="Liberation Sans"/>
                  <w:color w:val="1A5A96"/>
                  <w:u w:val="single"/>
                  <w:sz w:val="15"/>
                  <w:szCs w:val="15"/>
                </w:rPr>
                <w:t>www.release.org.uk/</w:t>
              </w:r>
            </w:hyperlink>
          </w:p>
        </w:tc>
        <w:tc>
          <w:tcPr>
            <w:tcW w:type="dxa" w:w="5040"/>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UK charity providing drug law information, policy analysis and confidential legal advice. It has an explicit human rights and reform perspective. [30]</w:t>
            </w:r>
          </w:p>
        </w:tc>
      </w:tr>
      <w:tr>
        <w:trPr>
          <w:cantSplit w:val="true"/>
        </w:trPr>
        <w:tc>
          <w:tcPr>
            <w:tcW w:type="dxa" w:w="172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Transform</w:t>
            </w:r>
          </w:p>
        </w:tc>
        <w:tc>
          <w:tcPr>
            <w:tcW w:type="dxa" w:w="3240"/>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Drug policy reform</w:t>
            </w:r>
            <w:r>
              <w:br/>
            </w:r>
            <w:hyperlink r:id="rId20">
              <w:r>
                <w:rPr>
                  <w:rFonts w:ascii="Liberation Sans" w:hAnsi="Liberation Sans"/>
                  <w:color w:val="1A5A96"/>
                  <w:u w:val="single"/>
                  <w:sz w:val="15"/>
                  <w:szCs w:val="15"/>
                </w:rPr>
                <w:t>transformdrugs.org/</w:t>
              </w:r>
            </w:hyperlink>
          </w:p>
        </w:tc>
        <w:tc>
          <w:tcPr>
            <w:tcW w:type="dxa" w:w="5040"/>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Develops arguments and models for legal regulation. Useful advocacy analysis, not a neutral evaluator of prohibition. [31]</w:t>
            </w:r>
          </w:p>
        </w:tc>
      </w:tr>
      <w:tr>
        <w:trPr>
          <w:cantSplit w:val="true"/>
        </w:trPr>
        <w:tc>
          <w:tcPr>
            <w:tcW w:type="dxa" w:w="172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Drug Science</w:t>
            </w:r>
          </w:p>
        </w:tc>
        <w:tc>
          <w:tcPr>
            <w:tcW w:type="dxa" w:w="3240"/>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Independent research and commentary</w:t>
            </w:r>
            <w:r>
              <w:br/>
            </w:r>
            <w:hyperlink r:id="rId21">
              <w:r>
                <w:rPr>
                  <w:rFonts w:ascii="Liberation Sans" w:hAnsi="Liberation Sans"/>
                  <w:color w:val="1A5A96"/>
                  <w:u w:val="single"/>
                  <w:sz w:val="15"/>
                  <w:szCs w:val="15"/>
                </w:rPr>
                <w:t>www.drugscience.org.uk/</w:t>
              </w:r>
            </w:hyperlink>
          </w:p>
        </w:tc>
        <w:tc>
          <w:tcPr>
            <w:tcW w:type="dxa" w:w="5040"/>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Scientific charity covering harms, psychedelics and medical cannabis. It openly supports reform and should be read alongside contrary evidence. [32]</w:t>
            </w:r>
          </w:p>
        </w:tc>
      </w:tr>
      <w:tr>
        <w:trPr>
          <w:cantSplit w:val="true"/>
        </w:trPr>
        <w:tc>
          <w:tcPr>
            <w:tcW w:type="dxa" w:w="172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Patient Communities</w:t>
            </w:r>
          </w:p>
        </w:tc>
        <w:tc>
          <w:tcPr>
            <w:tcW w:type="dxa" w:w="3240"/>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Medicine experiences</w:t>
            </w:r>
            <w:r>
              <w:br/>
            </w:r>
            <w:hyperlink r:id="rId22">
              <w:r>
                <w:rPr>
                  <w:rFonts w:ascii="Liberation Sans" w:hAnsi="Liberation Sans"/>
                  <w:color w:val="1A5A96"/>
                  <w:u w:val="single"/>
                  <w:sz w:val="15"/>
                  <w:szCs w:val="15"/>
                </w:rPr>
                <w:t>community.patient.info/</w:t>
              </w:r>
            </w:hyperlink>
          </w:p>
        </w:tc>
        <w:tc>
          <w:tcPr>
            <w:tcW w:type="dxa" w:w="5040"/>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Patient and carer discussions about side effects, withdrawal and care. Useful for possible signals and language, not causal findings. [33]</w:t>
            </w:r>
          </w:p>
        </w:tc>
      </w:tr>
      <w:tr>
        <w:trPr>
          <w:cantSplit w:val="true"/>
        </w:trPr>
        <w:tc>
          <w:tcPr>
            <w:tcW w:type="dxa" w:w="172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ParamedicsUK</w:t>
            </w:r>
          </w:p>
        </w:tc>
        <w:tc>
          <w:tcPr>
            <w:tcW w:type="dxa" w:w="3240"/>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Public frontline discussion</w:t>
            </w:r>
            <w:r>
              <w:br/>
            </w:r>
            <w:hyperlink r:id="rId23">
              <w:r>
                <w:rPr>
                  <w:rFonts w:ascii="Liberation Sans" w:hAnsi="Liberation Sans"/>
                  <w:color w:val="1A5A96"/>
                  <w:u w:val="single"/>
                  <w:sz w:val="15"/>
                  <w:szCs w:val="15"/>
                </w:rPr>
                <w:t>www.reddit.com/r/ParamedicsUK/</w:t>
              </w:r>
            </w:hyperlink>
          </w:p>
        </w:tc>
        <w:tc>
          <w:tcPr>
            <w:tcW w:type="dxa" w:w="5040"/>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UK focused public forum where professional identity is not guaranteed and patient identifying details are prohibited. [34]</w:t>
            </w:r>
          </w:p>
        </w:tc>
      </w:tr>
      <w:tr>
        <w:trPr>
          <w:cantSplit w:val="true"/>
        </w:trPr>
        <w:tc>
          <w:tcPr>
            <w:tcW w:type="dxa" w:w="172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Prevention of Future Deaths</w:t>
            </w:r>
          </w:p>
        </w:tc>
        <w:tc>
          <w:tcPr>
            <w:tcW w:type="dxa" w:w="3240"/>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Coroner reports</w:t>
            </w:r>
            <w:r>
              <w:br/>
            </w:r>
            <w:hyperlink r:id="rId24">
              <w:r>
                <w:rPr>
                  <w:rFonts w:ascii="Liberation Sans" w:hAnsi="Liberation Sans"/>
                  <w:color w:val="1A5A96"/>
                  <w:u w:val="single"/>
                  <w:sz w:val="15"/>
                  <w:szCs w:val="15"/>
                </w:rPr>
                <w:t>www.judiciary.uk/prevention-of-future-death-reports/</w:t>
              </w:r>
            </w:hyperlink>
          </w:p>
        </w:tc>
        <w:tc>
          <w:tcPr>
            <w:tcW w:type="dxa" w:w="5040"/>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Named legal reports on risks that may cause further deaths, with responses from organisations. More accountable than anonymous claims but limited to selected deaths. [36]</w:t>
            </w:r>
          </w:p>
        </w:tc>
      </w:tr>
      <w:tr>
        <w:trPr>
          <w:cantSplit w:val="true"/>
        </w:trPr>
        <w:tc>
          <w:tcPr>
            <w:tcW w:type="dxa" w:w="172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MHRA Yellow Card</w:t>
            </w:r>
          </w:p>
        </w:tc>
        <w:tc>
          <w:tcPr>
            <w:tcW w:type="dxa" w:w="3240"/>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Suspected adverse effects</w:t>
            </w:r>
            <w:r>
              <w:br/>
            </w:r>
            <w:hyperlink r:id="rId25">
              <w:r>
                <w:rPr>
                  <w:rFonts w:ascii="Liberation Sans" w:hAnsi="Liberation Sans"/>
                  <w:color w:val="1A5A96"/>
                  <w:u w:val="single"/>
                  <w:sz w:val="15"/>
                  <w:szCs w:val="15"/>
                </w:rPr>
                <w:t>yellowcard.mhra.gov.uk/</w:t>
              </w:r>
            </w:hyperlink>
          </w:p>
        </w:tc>
        <w:tc>
          <w:tcPr>
            <w:tcW w:type="dxa" w:w="5040"/>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Official route for patients and professionals to report suspected medicine harms. A report is a safety signal, not proof by itself. [37]</w:t>
            </w:r>
          </w:p>
        </w:tc>
      </w:tr>
    </w:tbl>
    <w:p>
      <w:pPr>
        <w:keepLines w:val="0"/>
        <w:widowControl/>
        <w:spacing w:before="0" w:after="40" w:line="278" w:lineRule="auto"/>
      </w:pPr>
    </w:p>
    <w:p>
      <w:pPr>
        <w:keepLines w:val="0"/>
        <w:widowControl/>
        <w:spacing w:before="0" w:after="140" w:line="278" w:lineRule="auto"/>
      </w:pPr>
      <w:r>
        <w:rPr>
          <w:rFonts w:ascii="Liberation Sans" w:hAnsi="Liberation Sans"/>
        </w:rPr>
        <w:t>The likely source name behind Narcnaught is PsychonautWiki. Its name comes from psychonaut, a person who explores altered states. The website address is psychonautwiki.org. It is useful as a community reference, but its entries should be checked against current pharmacology, toxicology and official alerts.</w:t>
      </w:r>
    </w:p>
    <w:p>
      <w:pPr>
        <w:pStyle w:val="Heading1"/>
        <w:keepNext/>
        <w:keepLines w:val="0"/>
        <w:widowControl/>
        <w:spacing w:before="0" w:after="140" w:line="278" w:lineRule="auto"/>
      </w:pPr>
      <w:r>
        <w:rPr>
          <w:rFonts w:ascii="Liberation Sans" w:hAnsi="Liberation Sans"/>
        </w:rPr>
        <w:t>14 Reading experience reports responsibly</w:t>
      </w:r>
    </w:p>
    <w:p>
      <w:pPr>
        <w:keepLines w:val="0"/>
        <w:widowControl/>
        <w:spacing w:before="0" w:after="140" w:line="278" w:lineRule="auto"/>
      </w:pPr>
      <w:r>
        <w:rPr>
          <w:rFonts w:ascii="Liberation Sans" w:hAnsi="Liberation Sans"/>
        </w:rPr>
        <w:t>An experience report should be read as a case narrative. It can answer what this person noticed and what questions the story raises. It cannot answer how likely the result is for another person without broader data.</w:t>
      </w:r>
    </w:p>
    <w:p>
      <w:pPr>
        <w:pStyle w:val="ListBullet"/>
        <w:keepLines w:val="0"/>
        <w:widowControl/>
        <w:spacing w:before="0" w:after="80" w:line="269" w:lineRule="auto"/>
      </w:pPr>
      <w:r>
        <w:rPr>
          <w:rFonts w:ascii="Liberation Sans" w:hAnsi="Liberation Sans"/>
        </w:rPr>
        <w:t>Identity  Was the substance laboratory tested, prescribed, in original packaging or merely sold under a name</w:t>
      </w:r>
    </w:p>
    <w:p>
      <w:pPr>
        <w:pStyle w:val="ListBullet"/>
        <w:keepLines w:val="0"/>
        <w:widowControl/>
        <w:spacing w:before="0" w:after="80" w:line="269" w:lineRule="auto"/>
      </w:pPr>
      <w:r>
        <w:rPr>
          <w:rFonts w:ascii="Liberation Sans" w:hAnsi="Liberation Sans"/>
        </w:rPr>
        <w:t>Amount and route  Is the amount known and is the route clear without treating remembered precision as certainty</w:t>
      </w:r>
    </w:p>
    <w:p>
      <w:pPr>
        <w:pStyle w:val="ListBullet"/>
        <w:keepLines w:val="0"/>
        <w:widowControl/>
        <w:spacing w:before="0" w:after="80" w:line="269" w:lineRule="auto"/>
      </w:pPr>
      <w:r>
        <w:rPr>
          <w:rFonts w:ascii="Liberation Sans" w:hAnsi="Liberation Sans"/>
        </w:rPr>
        <w:t>Timing  Did the effect begin and end in a pattern consistent with the substance and route</w:t>
      </w:r>
    </w:p>
    <w:p>
      <w:pPr>
        <w:pStyle w:val="ListBullet"/>
        <w:keepLines w:val="0"/>
        <w:widowControl/>
        <w:spacing w:before="0" w:after="80" w:line="269" w:lineRule="auto"/>
      </w:pPr>
      <w:r>
        <w:rPr>
          <w:rFonts w:ascii="Liberation Sans" w:hAnsi="Liberation Sans"/>
        </w:rPr>
        <w:t>Combinations  Were alcohol, medicines, supplements or other drugs also present</w:t>
      </w:r>
    </w:p>
    <w:p>
      <w:pPr>
        <w:pStyle w:val="ListBullet"/>
        <w:keepLines w:val="0"/>
        <w:widowControl/>
        <w:spacing w:before="0" w:after="80" w:line="269" w:lineRule="auto"/>
      </w:pPr>
      <w:r>
        <w:rPr>
          <w:rFonts w:ascii="Liberation Sans" w:hAnsi="Liberation Sans"/>
        </w:rPr>
        <w:t>Baseline  What pain, illness, sleep loss, diet, hydration, tolerance and mental state existed first</w:t>
      </w:r>
    </w:p>
    <w:p>
      <w:pPr>
        <w:pStyle w:val="ListBullet"/>
        <w:keepLines w:val="0"/>
        <w:widowControl/>
        <w:spacing w:before="0" w:after="80" w:line="269" w:lineRule="auto"/>
      </w:pPr>
      <w:r>
        <w:rPr>
          <w:rFonts w:ascii="Liberation Sans" w:hAnsi="Liberation Sans"/>
        </w:rPr>
        <w:t>Setting  Who was present and were heat, exertion, fear, music, conflict or expectation important</w:t>
      </w:r>
    </w:p>
    <w:p>
      <w:pPr>
        <w:pStyle w:val="ListBullet"/>
        <w:keepLines w:val="0"/>
        <w:widowControl/>
        <w:spacing w:before="0" w:after="80" w:line="269" w:lineRule="auto"/>
      </w:pPr>
      <w:r>
        <w:rPr>
          <w:rFonts w:ascii="Liberation Sans" w:hAnsi="Liberation Sans"/>
        </w:rPr>
        <w:t>Outcome  Was there objective evidence such as toxicology, blood tests, diagnosis or a clinical record</w:t>
      </w:r>
    </w:p>
    <w:p>
      <w:pPr>
        <w:pStyle w:val="ListBullet"/>
        <w:keepLines w:val="0"/>
        <w:widowControl/>
        <w:spacing w:before="0" w:after="80" w:line="269" w:lineRule="auto"/>
      </w:pPr>
      <w:r>
        <w:rPr>
          <w:rFonts w:ascii="Liberation Sans" w:hAnsi="Liberation Sans"/>
        </w:rPr>
        <w:t>Selection  Are dramatic positive and negative reports more likely to be submitted than ordinary experiences</w:t>
      </w:r>
    </w:p>
    <w:p>
      <w:pPr>
        <w:pStyle w:val="ListBullet"/>
        <w:keepLines w:val="0"/>
        <w:widowControl/>
        <w:spacing w:before="0" w:after="80" w:line="269" w:lineRule="auto"/>
      </w:pPr>
      <w:r>
        <w:rPr>
          <w:rFonts w:ascii="Liberation Sans" w:hAnsi="Liberation Sans"/>
        </w:rPr>
        <w:t>Alternatives  Could illness, adulteration, withdrawal, interaction or coincidence better explain the event</w:t>
      </w:r>
    </w:p>
    <w:p>
      <w:pPr>
        <w:pStyle w:val="ListBullet"/>
        <w:keepLines w:val="0"/>
        <w:widowControl/>
        <w:spacing w:before="0" w:after="80" w:line="269" w:lineRule="auto"/>
      </w:pPr>
      <w:r>
        <w:rPr>
          <w:rFonts w:ascii="Liberation Sans" w:hAnsi="Liberation Sans"/>
        </w:rPr>
        <w:t>Transferability  What is specific to this person and what appears repeatedly across independent sources</w:t>
      </w:r>
    </w:p>
    <w:p>
      <w:pPr>
        <w:keepLines w:val="0"/>
        <w:widowControl/>
        <w:spacing w:before="0" w:after="140" w:line="278" w:lineRule="auto"/>
      </w:pPr>
      <w:r>
        <w:rPr>
          <w:rFonts w:ascii="Liberation Sans" w:hAnsi="Liberation Sans"/>
        </w:rPr>
        <w:t>Competent reports may contain detailed chemistry and biology. Readers should learn enough to understand basic pharmacology, metabolism, interactions and uncertainty. Technical language is not proof of accuracy, but refusing to learn it leaves decision making to whoever controls access.</w:t>
      </w:r>
    </w:p>
    <w:p>
      <w:pPr>
        <w:pStyle w:val="Heading1"/>
        <w:keepNext/>
        <w:keepLines w:val="0"/>
        <w:widowControl/>
        <w:spacing w:before="0" w:after="140" w:line="278" w:lineRule="auto"/>
      </w:pPr>
      <w:r>
        <w:rPr>
          <w:rFonts w:ascii="Liberation Sans" w:hAnsi="Liberation Sans"/>
        </w:rPr>
        <w:t>15 Principles for humane drug policy</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939"/>
        <w:gridCol w:w="4939"/>
      </w:tblGrid>
      <w:tr>
        <w:trPr>
          <w:tblHeader w:val="true"/>
          <w:cantSplit w:val="true"/>
        </w:trPr>
        <w:tc>
          <w:tcPr>
            <w:tcW w:type="dxa" w:w="2232"/>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7"/>
              </w:rPr>
              <w:t>Principle</w:t>
            </w:r>
          </w:p>
        </w:tc>
        <w:tc>
          <w:tcPr>
            <w:tcW w:type="dxa" w:w="7632"/>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7"/>
              </w:rPr>
              <w:t>Practical meaning</w:t>
            </w:r>
          </w:p>
        </w:tc>
      </w:tr>
      <w:tr>
        <w:trPr>
          <w:cantSplit w:val="true"/>
        </w:trPr>
        <w:tc>
          <w:tcPr>
            <w:tcW w:type="dxa" w:w="223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Bodily autonomy</w:t>
            </w:r>
          </w:p>
        </w:tc>
        <w:tc>
          <w:tcPr>
            <w:tcW w:type="dxa" w:w="763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Adults with capacity should control consent to treatment and be able to express informed refusal without punishment or loss of unrelated care.</w:t>
            </w:r>
          </w:p>
        </w:tc>
      </w:tr>
      <w:tr>
        <w:trPr>
          <w:cantSplit w:val="true"/>
        </w:trPr>
        <w:tc>
          <w:tcPr>
            <w:tcW w:type="dxa" w:w="2232"/>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Honest risk</w:t>
            </w:r>
          </w:p>
        </w:tc>
        <w:tc>
          <w:tcPr>
            <w:tcW w:type="dxa" w:w="7632"/>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Legal status must not substitute for pharmacology. Information should state benefits harms uncertainty dependence and withdrawal in comparable language.</w:t>
            </w:r>
          </w:p>
        </w:tc>
      </w:tr>
      <w:tr>
        <w:trPr>
          <w:cantSplit w:val="true"/>
        </w:trPr>
        <w:tc>
          <w:tcPr>
            <w:tcW w:type="dxa" w:w="223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Care before stigma</w:t>
            </w:r>
          </w:p>
        </w:tc>
        <w:tc>
          <w:tcPr>
            <w:tcW w:type="dxa" w:w="763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Pain relief dependence experimentation and addiction require different responses. Language should describe behaviour and need rather than condemn identity.</w:t>
            </w:r>
          </w:p>
        </w:tc>
      </w:tr>
      <w:tr>
        <w:trPr>
          <w:cantSplit w:val="true"/>
        </w:trPr>
        <w:tc>
          <w:tcPr>
            <w:tcW w:type="dxa" w:w="2232"/>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Quality control</w:t>
            </w:r>
          </w:p>
        </w:tc>
        <w:tc>
          <w:tcPr>
            <w:tcW w:type="dxa" w:w="7632"/>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Where use occurs policy should reduce unknown strength contamination substitution and dangerous packaging through testing standards and alerts.</w:t>
            </w:r>
          </w:p>
        </w:tc>
      </w:tr>
      <w:tr>
        <w:trPr>
          <w:cantSplit w:val="true"/>
        </w:trPr>
        <w:tc>
          <w:tcPr>
            <w:tcW w:type="dxa" w:w="223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Harm reduction</w:t>
            </w:r>
          </w:p>
        </w:tc>
        <w:tc>
          <w:tcPr>
            <w:tcW w:type="dxa" w:w="763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Drug checking naloxone sterile supplies supervised facilities and rapid medical care should be assessed as health interventions rather than moral rewards.</w:t>
            </w:r>
          </w:p>
        </w:tc>
      </w:tr>
      <w:tr>
        <w:trPr>
          <w:cantSplit w:val="true"/>
        </w:trPr>
        <w:tc>
          <w:tcPr>
            <w:tcW w:type="dxa" w:w="2232"/>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Supported choice</w:t>
            </w:r>
          </w:p>
        </w:tc>
        <w:tc>
          <w:tcPr>
            <w:tcW w:type="dxa" w:w="7632"/>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Patients should receive reasonable alternatives and individual stopping plans. No one should be abandoned because they decline the first offer.</w:t>
            </w:r>
          </w:p>
        </w:tc>
      </w:tr>
      <w:tr>
        <w:trPr>
          <w:cantSplit w:val="true"/>
        </w:trPr>
        <w:tc>
          <w:tcPr>
            <w:tcW w:type="dxa" w:w="223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Transparent money</w:t>
            </w:r>
          </w:p>
        </w:tc>
        <w:tc>
          <w:tcPr>
            <w:tcW w:type="dxa" w:w="763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Ownership prices discounts payments lobbying research funding and prescribing interests should be visible in forms that patients can understand.</w:t>
            </w:r>
          </w:p>
        </w:tc>
      </w:tr>
      <w:tr>
        <w:trPr>
          <w:cantSplit w:val="true"/>
        </w:trPr>
        <w:tc>
          <w:tcPr>
            <w:tcW w:type="dxa" w:w="2232"/>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Shared evidence</w:t>
            </w:r>
          </w:p>
        </w:tc>
        <w:tc>
          <w:tcPr>
            <w:tcW w:type="dxa" w:w="7632"/>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Research should combine trials population data toxicology adverse event systems qualitative work and lived experience while preserving the limits of each.</w:t>
            </w:r>
          </w:p>
        </w:tc>
      </w:tr>
      <w:tr>
        <w:trPr>
          <w:cantSplit w:val="true"/>
        </w:trPr>
        <w:tc>
          <w:tcPr>
            <w:tcW w:type="dxa" w:w="223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Frontline learning</w:t>
            </w:r>
          </w:p>
        </w:tc>
        <w:tc>
          <w:tcPr>
            <w:tcW w:type="dxa" w:w="763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Paramedics pharmacists nurses peers and patients should have protected routes to report patterns without breaching confidentiality or risking retaliation.</w:t>
            </w:r>
          </w:p>
        </w:tc>
      </w:tr>
      <w:tr>
        <w:trPr>
          <w:cantSplit w:val="true"/>
        </w:trPr>
        <w:tc>
          <w:tcPr>
            <w:tcW w:type="dxa" w:w="2232"/>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Measured accountability</w:t>
            </w:r>
          </w:p>
        </w:tc>
        <w:tc>
          <w:tcPr>
            <w:tcW w:type="dxa" w:w="7632"/>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Claims of corruption negligence or benefit should be tied to records methods and evidence so that they can be investigated and corrected.</w:t>
            </w:r>
          </w:p>
        </w:tc>
      </w:tr>
      <w:tr>
        <w:trPr>
          <w:cantSplit w:val="true"/>
        </w:trPr>
        <w:tc>
          <w:tcPr>
            <w:tcW w:type="dxa" w:w="223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Confidential care</w:t>
            </w:r>
          </w:p>
        </w:tc>
        <w:tc>
          <w:tcPr>
            <w:tcW w:type="dxa" w:w="763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7"/>
              </w:rPr>
              <w:t>Personal health information should not become a police register. Share identifiable information with consent or a clear legal and proportionate justification.</w:t>
            </w:r>
          </w:p>
        </w:tc>
      </w:tr>
      <w:tr>
        <w:trPr>
          <w:cantSplit w:val="true"/>
        </w:trPr>
        <w:tc>
          <w:tcPr>
            <w:tcW w:type="dxa" w:w="2232"/>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Auditable resources</w:t>
            </w:r>
          </w:p>
        </w:tc>
        <w:tc>
          <w:tcPr>
            <w:tcW w:type="dxa" w:w="7632"/>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7"/>
              </w:rPr>
              <w:t>Publish police hours prison capacity clinical workload service costs market capture and revenue assumptions so that policy claims can be challenged.</w:t>
            </w:r>
          </w:p>
        </w:tc>
      </w:tr>
    </w:tbl>
    <w:p>
      <w:pPr>
        <w:keepLines w:val="0"/>
        <w:widowControl/>
        <w:spacing w:before="0" w:after="40" w:line="278" w:lineRule="auto"/>
      </w:pPr>
    </w:p>
    <w:p>
      <w:pPr>
        <w:pStyle w:val="Heading2"/>
        <w:keepNext/>
        <w:keepLines w:val="0"/>
        <w:pageBreakBefore/>
        <w:widowControl/>
        <w:spacing w:before="0" w:after="140" w:line="278" w:lineRule="auto"/>
      </w:pPr>
      <w:r>
        <w:rPr>
          <w:rFonts w:ascii="Liberation Sans" w:hAnsi="Liberation Sans"/>
        </w:rPr>
        <w:t>The choice before us</w:t>
      </w:r>
    </w:p>
    <w:p>
      <w:pPr>
        <w:keepLines w:val="0"/>
        <w:widowControl/>
        <w:spacing w:before="0" w:after="140" w:line="278" w:lineRule="auto"/>
      </w:pPr>
      <w:r>
        <w:rPr>
          <w:rFonts w:ascii="Liberation Sans" w:hAnsi="Liberation Sans"/>
        </w:rPr>
        <w:t>This is the situation the paper can see: people will continue to seek relief, pleasure, connection, energy, sleep, altered consciousness and escape; prescribed and prohibited drugs can both help and harm; lived experience is often rich but cannot calculate population risk; science is indispensable but unfinished; and the illegal market remains resilient even while public money is spent trying to suppress it. The evidence does not require us to accept that arrangement as permanent.</w:t>
      </w:r>
    </w:p>
    <w:p>
      <w:pPr>
        <w:keepLines w:val="0"/>
        <w:widowControl/>
        <w:spacing w:before="0" w:after="140" w:line="278" w:lineRule="auto"/>
      </w:pPr>
      <w:r>
        <w:rPr>
          <w:rFonts w:ascii="Liberation Sans" w:hAnsi="Liberation Sans"/>
        </w:rPr>
        <w:t>It could be this way instead: adults ask honest questions without making themselves criminals; clinicians and pharmacists answer with evidence, uncertainty and respect; regulated products have known identity and strength; venues and ambulance teams prepare for foreseeable emergencies; police concentrate on violence, coercion, children, dangerous driving and fraudulent supply; patient reports become research signals; and every pound claimed as a saving or public contribution appears in an auditable ledger. That is transformation, not abolition. The tools remain—law, medicine, regulation, policing and public finance—but perspective changes their purpose.</w:t>
      </w:r>
    </w:p>
    <w:p>
      <w:pPr>
        <w:keepLines/>
        <w:widowControl/>
        <w:spacing w:before="0" w:after="40" w:line="278" w:lineRule="auto"/>
      </w:pPr>
      <w:r>
        <w:rPr>
          <w:rFonts w:ascii="Liberation Sans" w:hAnsi="Liberation Sans"/>
        </w:rPr>
        <w:t>The most defensible demand is not that medicine surrender evidence or that government approve every requested product. It is that authority stop substituting for consent and that prohibition stop pretending to be a complete safety policy. Listen when a person says a medicine is harming them. Explain rather than command. Offer reasonable alternatives. Record uncertainty. Investigate patterns. Help when help is requested. A person should be able to say no with knowledge and, within a lawful framework that protects other people, to say yes with knowledge. That is the freedom this paper asks society to test: civilised care in place of avoidable fear and punishment.</w:t>
      </w:r>
    </w:p>
    <w:p>
      <w:pPr>
        <w:pStyle w:val="Heading1"/>
        <w:keepNext/>
        <w:keepLines w:val="0"/>
        <w:pageBreakBefore/>
        <w:widowControl/>
        <w:spacing w:before="0" w:after="140" w:line="278" w:lineRule="auto"/>
      </w:pPr>
      <w:r>
        <w:rPr>
          <w:rFonts w:ascii="Liberation Sans" w:hAnsi="Liberation Sans"/>
        </w:rPr>
        <w:t>References</w:t>
      </w:r>
    </w:p>
    <w:p>
      <w:pPr>
        <w:keepLines w:val="0"/>
        <w:widowControl/>
        <w:spacing w:before="0" w:after="180" w:line="278" w:lineRule="auto"/>
      </w:pPr>
      <w:r>
        <w:rPr>
          <w:rFonts w:ascii="Liberation Sans" w:hAnsi="Liberation Sans"/>
        </w:rPr>
        <w:t>Web pages were checked on 11 September 2026. Guidance and law can change.</w:t>
      </w:r>
    </w:p>
    <w:p>
      <w:pPr>
        <w:keepLines w:val="0"/>
        <w:widowControl/>
        <w:spacing w:before="0" w:after="100" w:line="252" w:lineRule="auto"/>
        <w:ind w:left="403" w:hanging="403"/>
      </w:pPr>
      <w:r>
        <w:rPr>
          <w:rFonts w:ascii="Liberation Sans" w:hAnsi="Liberation Sans"/>
          <w:sz w:val="17"/>
        </w:rPr>
        <w:t xml:space="preserve">1. NHS. Consent to treatment. </w:t>
      </w:r>
      <w:hyperlink r:id="rId26">
        <w:r>
          <w:rPr>
            <w:rFonts w:ascii="Liberation Sans" w:hAnsi="Liberation Sans"/>
            <w:color w:val="1A5A96"/>
            <w:u w:val="single"/>
            <w:sz w:val="17"/>
            <w:szCs w:val="17"/>
          </w:rPr>
          <w:t>https://www.nhs.uk/tests-and-treatments/consent-to-treatment/</w:t>
        </w:r>
      </w:hyperlink>
    </w:p>
    <w:p>
      <w:pPr>
        <w:keepLines w:val="0"/>
        <w:widowControl/>
        <w:spacing w:before="0" w:after="100" w:line="252" w:lineRule="auto"/>
        <w:ind w:left="403" w:hanging="403"/>
      </w:pPr>
      <w:r>
        <w:rPr>
          <w:rFonts w:ascii="Liberation Sans" w:hAnsi="Liberation Sans"/>
          <w:sz w:val="17"/>
        </w:rPr>
        <w:t xml:space="preserve">2. General Medical Council. Decision making and consent. </w:t>
      </w:r>
      <w:hyperlink r:id="rId27">
        <w:r>
          <w:rPr>
            <w:rFonts w:ascii="Liberation Sans" w:hAnsi="Liberation Sans"/>
            <w:color w:val="1A5A96"/>
            <w:u w:val="single"/>
            <w:sz w:val="17"/>
            <w:szCs w:val="17"/>
          </w:rPr>
          <w:t>https://www.gmc-uk.org/professional-standards/the-professional-standards/decision-making-and-consent</w:t>
        </w:r>
      </w:hyperlink>
    </w:p>
    <w:p>
      <w:pPr>
        <w:keepLines w:val="0"/>
        <w:widowControl/>
        <w:spacing w:before="0" w:after="100" w:line="252" w:lineRule="auto"/>
        <w:ind w:left="403" w:hanging="403"/>
      </w:pPr>
      <w:r>
        <w:rPr>
          <w:rFonts w:ascii="Liberation Sans" w:hAnsi="Liberation Sans"/>
          <w:sz w:val="17"/>
        </w:rPr>
        <w:t xml:space="preserve">3. Department of Health and Social Care. The NHS Constitution for England. </w:t>
      </w:r>
      <w:hyperlink r:id="rId28">
        <w:r>
          <w:rPr>
            <w:rFonts w:ascii="Liberation Sans" w:hAnsi="Liberation Sans"/>
            <w:color w:val="1A5A96"/>
            <w:u w:val="single"/>
            <w:sz w:val="17"/>
            <w:szCs w:val="17"/>
          </w:rPr>
          <w:t>https://www.gov.uk/government/publications/the-nhs-constitution-for-england/the-nhs-constitution-for-england</w:t>
        </w:r>
      </w:hyperlink>
    </w:p>
    <w:p>
      <w:pPr>
        <w:keepLines w:val="0"/>
        <w:widowControl/>
        <w:spacing w:before="0" w:after="100" w:line="252" w:lineRule="auto"/>
        <w:ind w:left="403" w:hanging="403"/>
      </w:pPr>
      <w:r>
        <w:rPr>
          <w:rFonts w:ascii="Liberation Sans" w:hAnsi="Liberation Sans"/>
          <w:sz w:val="17"/>
        </w:rPr>
        <w:t xml:space="preserve">4. Public Health England. Prescribed medicines review summary. </w:t>
      </w:r>
      <w:hyperlink r:id="rId29">
        <w:r>
          <w:rPr>
            <w:rFonts w:ascii="Liberation Sans" w:hAnsi="Liberation Sans"/>
            <w:color w:val="1A5A96"/>
            <w:u w:val="single"/>
            <w:sz w:val="17"/>
            <w:szCs w:val="17"/>
          </w:rPr>
          <w:t>https://www.gov.uk/government/publications/prescribed-medicines-review-report/prescribed-medicines-review-summary</w:t>
        </w:r>
      </w:hyperlink>
    </w:p>
    <w:p>
      <w:pPr>
        <w:keepLines w:val="0"/>
        <w:widowControl/>
        <w:spacing w:before="0" w:after="100" w:line="252" w:lineRule="auto"/>
        <w:ind w:left="403" w:hanging="403"/>
      </w:pPr>
      <w:r>
        <w:rPr>
          <w:rFonts w:ascii="Liberation Sans" w:hAnsi="Liberation Sans"/>
          <w:sz w:val="17"/>
        </w:rPr>
        <w:t xml:space="preserve">5. Medicines and Healthcare products Regulatory Agency. Improving information supplied with gabapentinoids benzodiazepines and Z drugs. 8 January 2026. </w:t>
      </w:r>
      <w:hyperlink r:id="rId30">
        <w:r>
          <w:rPr>
            <w:rFonts w:ascii="Liberation Sans" w:hAnsi="Liberation Sans"/>
            <w:color w:val="1A5A96"/>
            <w:u w:val="single"/>
            <w:sz w:val="17"/>
            <w:szCs w:val="17"/>
          </w:rPr>
          <w:t>https://www.gov.uk/drug-safety-update/improving-information-supplied-with-gabapentinoids-pregabalin-slash-gabapentin-benzodiazepines-and-z-drugs</w:t>
        </w:r>
      </w:hyperlink>
    </w:p>
    <w:p>
      <w:pPr>
        <w:keepLines w:val="0"/>
        <w:widowControl/>
        <w:spacing w:before="0" w:after="100" w:line="252" w:lineRule="auto"/>
        <w:ind w:left="403" w:hanging="403"/>
      </w:pPr>
      <w:r>
        <w:rPr>
          <w:rFonts w:ascii="Liberation Sans" w:hAnsi="Liberation Sans"/>
          <w:sz w:val="17"/>
        </w:rPr>
        <w:t xml:space="preserve">6. NHS. Codeine. </w:t>
      </w:r>
      <w:hyperlink r:id="rId31">
        <w:r>
          <w:rPr>
            <w:rFonts w:ascii="Liberation Sans" w:hAnsi="Liberation Sans"/>
            <w:color w:val="1A5A96"/>
            <w:u w:val="single"/>
            <w:sz w:val="17"/>
            <w:szCs w:val="17"/>
          </w:rPr>
          <w:t>https://www.nhs.uk/medicines/codeine/</w:t>
        </w:r>
      </w:hyperlink>
    </w:p>
    <w:p>
      <w:pPr>
        <w:keepLines w:val="0"/>
        <w:widowControl/>
        <w:spacing w:before="0" w:after="100" w:line="252" w:lineRule="auto"/>
        <w:ind w:left="403" w:hanging="403"/>
      </w:pPr>
      <w:r>
        <w:rPr>
          <w:rFonts w:ascii="Liberation Sans" w:hAnsi="Liberation Sans"/>
          <w:sz w:val="17"/>
        </w:rPr>
        <w:t xml:space="preserve">7. NHS. Naproxen. </w:t>
      </w:r>
      <w:hyperlink r:id="rId32">
        <w:r>
          <w:rPr>
            <w:rFonts w:ascii="Liberation Sans" w:hAnsi="Liberation Sans"/>
            <w:color w:val="1A5A96"/>
            <w:u w:val="single"/>
            <w:sz w:val="17"/>
            <w:szCs w:val="17"/>
          </w:rPr>
          <w:t>https://www.nhs.uk/medicines/naproxen/</w:t>
        </w:r>
      </w:hyperlink>
    </w:p>
    <w:p>
      <w:pPr>
        <w:keepLines w:val="0"/>
        <w:widowControl/>
        <w:spacing w:before="0" w:after="100" w:line="252" w:lineRule="auto"/>
        <w:ind w:left="403" w:hanging="403"/>
      </w:pPr>
      <w:r>
        <w:rPr>
          <w:rFonts w:ascii="Liberation Sans" w:hAnsi="Liberation Sans"/>
          <w:sz w:val="17"/>
        </w:rPr>
        <w:t xml:space="preserve">8. NHS. Ibuprofen for adults. </w:t>
      </w:r>
      <w:hyperlink r:id="rId33">
        <w:r>
          <w:rPr>
            <w:rFonts w:ascii="Liberation Sans" w:hAnsi="Liberation Sans"/>
            <w:color w:val="1A5A96"/>
            <w:u w:val="single"/>
            <w:sz w:val="17"/>
            <w:szCs w:val="17"/>
          </w:rPr>
          <w:t>https://www.nhs.uk/medicines/ibuprofen-for-adults/</w:t>
        </w:r>
      </w:hyperlink>
    </w:p>
    <w:p>
      <w:pPr>
        <w:keepLines w:val="0"/>
        <w:widowControl/>
        <w:spacing w:before="0" w:after="100" w:line="252" w:lineRule="auto"/>
        <w:ind w:left="403" w:hanging="403"/>
      </w:pPr>
      <w:r>
        <w:rPr>
          <w:rFonts w:ascii="Liberation Sans" w:hAnsi="Liberation Sans"/>
          <w:sz w:val="17"/>
        </w:rPr>
        <w:t xml:space="preserve">9. Medicines and Healthcare products Regulatory Agency. Pregabalin reports of severe respiratory depression. </w:t>
      </w:r>
      <w:hyperlink r:id="rId34">
        <w:r>
          <w:rPr>
            <w:rFonts w:ascii="Liberation Sans" w:hAnsi="Liberation Sans"/>
            <w:color w:val="1A5A96"/>
            <w:u w:val="single"/>
            <w:sz w:val="17"/>
            <w:szCs w:val="17"/>
          </w:rPr>
          <w:t>https://www.gov.uk/drug-safety-update/pregabalin-lyrica-reports-of-severe-respiratory-depression</w:t>
        </w:r>
      </w:hyperlink>
    </w:p>
    <w:p>
      <w:pPr>
        <w:keepLines w:val="0"/>
        <w:widowControl/>
        <w:spacing w:before="0" w:after="100" w:line="252" w:lineRule="auto"/>
        <w:ind w:left="403" w:hanging="403"/>
      </w:pPr>
      <w:r>
        <w:rPr>
          <w:rFonts w:ascii="Liberation Sans" w:hAnsi="Liberation Sans"/>
          <w:sz w:val="17"/>
        </w:rPr>
        <w:t xml:space="preserve">10. NHS. Pregabalin. </w:t>
      </w:r>
      <w:hyperlink r:id="rId35">
        <w:r>
          <w:rPr>
            <w:rFonts w:ascii="Liberation Sans" w:hAnsi="Liberation Sans"/>
            <w:color w:val="1A5A96"/>
            <w:u w:val="single"/>
            <w:sz w:val="17"/>
            <w:szCs w:val="17"/>
          </w:rPr>
          <w:t>https://www.nhs.uk/medicines/pregabalin/about-pregabalin/</w:t>
        </w:r>
      </w:hyperlink>
    </w:p>
    <w:p>
      <w:pPr>
        <w:keepLines w:val="0"/>
        <w:widowControl/>
        <w:spacing w:before="0" w:after="100" w:line="252" w:lineRule="auto"/>
        <w:ind w:left="403" w:hanging="403"/>
      </w:pPr>
      <w:r>
        <w:rPr>
          <w:rFonts w:ascii="Liberation Sans" w:hAnsi="Liberation Sans"/>
          <w:sz w:val="17"/>
        </w:rPr>
        <w:t xml:space="preserve">11. House of Commons Library. Deciding which medicines are used in the NHS. 19 June 2026. </w:t>
      </w:r>
      <w:hyperlink r:id="rId36">
        <w:r>
          <w:rPr>
            <w:rFonts w:ascii="Liberation Sans" w:hAnsi="Liberation Sans"/>
            <w:color w:val="1A5A96"/>
            <w:u w:val="single"/>
            <w:sz w:val="17"/>
            <w:szCs w:val="17"/>
          </w:rPr>
          <w:t>https://commonslibrary.parliament.uk/research-briefings/cbp-10326/</w:t>
        </w:r>
      </w:hyperlink>
    </w:p>
    <w:p>
      <w:pPr>
        <w:keepLines w:val="0"/>
        <w:widowControl/>
        <w:spacing w:before="0" w:after="100" w:line="252" w:lineRule="auto"/>
        <w:ind w:left="403" w:hanging="403"/>
      </w:pPr>
      <w:r>
        <w:rPr>
          <w:rFonts w:ascii="Liberation Sans" w:hAnsi="Liberation Sans"/>
          <w:sz w:val="17"/>
        </w:rPr>
        <w:t xml:space="preserve">12. House of Commons Library. How are medicines prices set in the UK. 25 June 2026. </w:t>
      </w:r>
      <w:hyperlink r:id="rId37">
        <w:r>
          <w:rPr>
            <w:rFonts w:ascii="Liberation Sans" w:hAnsi="Liberation Sans"/>
            <w:color w:val="1A5A96"/>
            <w:u w:val="single"/>
            <w:sz w:val="17"/>
            <w:szCs w:val="17"/>
          </w:rPr>
          <w:t>https://commonslibrary.parliament.uk/how-are-medicines-prices-set-in-the-uk/</w:t>
        </w:r>
      </w:hyperlink>
    </w:p>
    <w:p>
      <w:pPr>
        <w:keepLines w:val="0"/>
        <w:widowControl/>
        <w:spacing w:before="0" w:after="100" w:line="252" w:lineRule="auto"/>
        <w:ind w:left="403" w:hanging="403"/>
      </w:pPr>
      <w:r>
        <w:rPr>
          <w:rFonts w:ascii="Liberation Sans" w:hAnsi="Liberation Sans"/>
          <w:sz w:val="17"/>
        </w:rPr>
        <w:t xml:space="preserve">13. NHS Business Services Authority. Drug Tariff. </w:t>
      </w:r>
      <w:hyperlink r:id="rId38">
        <w:r>
          <w:rPr>
            <w:rFonts w:ascii="Liberation Sans" w:hAnsi="Liberation Sans"/>
            <w:color w:val="1A5A96"/>
            <w:u w:val="single"/>
            <w:sz w:val="17"/>
            <w:szCs w:val="17"/>
          </w:rPr>
          <w:t>https://www.nhsbsa.nhs.uk/pharmacies-gp-practices-and-appliance-contractors/drug-tariff</w:t>
        </w:r>
      </w:hyperlink>
    </w:p>
    <w:p>
      <w:pPr>
        <w:keepLines w:val="0"/>
        <w:widowControl/>
        <w:spacing w:before="0" w:after="100" w:line="252" w:lineRule="auto"/>
        <w:ind w:left="403" w:hanging="403"/>
      </w:pPr>
      <w:r>
        <w:rPr>
          <w:rFonts w:ascii="Liberation Sans" w:hAnsi="Liberation Sans"/>
          <w:sz w:val="17"/>
        </w:rPr>
        <w:t xml:space="preserve">14. Medicines and Healthcare products Regulatory Agency. Manufacturer and wholesaler licences. </w:t>
      </w:r>
      <w:hyperlink r:id="rId39">
        <w:r>
          <w:rPr>
            <w:rFonts w:ascii="Liberation Sans" w:hAnsi="Liberation Sans"/>
            <w:color w:val="1A5A96"/>
            <w:u w:val="single"/>
            <w:sz w:val="17"/>
            <w:szCs w:val="17"/>
          </w:rPr>
          <w:t>https://www.gov.uk/guidance/apply-for-manufacturer-or-wholesaler-of-medicines-licences</w:t>
        </w:r>
      </w:hyperlink>
    </w:p>
    <w:p>
      <w:pPr>
        <w:keepLines w:val="0"/>
        <w:widowControl/>
        <w:spacing w:before="0" w:after="100" w:line="252" w:lineRule="auto"/>
        <w:ind w:left="403" w:hanging="403"/>
      </w:pPr>
      <w:r>
        <w:rPr>
          <w:rFonts w:ascii="Liberation Sans" w:hAnsi="Liberation Sans"/>
          <w:sz w:val="17"/>
        </w:rPr>
        <w:t xml:space="preserve">15. Specialist Pharmacy Service. Prescribing by generic or brand name. </w:t>
      </w:r>
      <w:hyperlink r:id="rId40">
        <w:r>
          <w:rPr>
            <w:rFonts w:ascii="Liberation Sans" w:hAnsi="Liberation Sans"/>
            <w:color w:val="1A5A96"/>
            <w:u w:val="single"/>
            <w:sz w:val="17"/>
            <w:szCs w:val="17"/>
          </w:rPr>
          <w:t>https://sps.nhs.uk/articles/prescribing-by-generic-or-brand-name/</w:t>
        </w:r>
      </w:hyperlink>
    </w:p>
    <w:p>
      <w:pPr>
        <w:keepLines w:val="0"/>
        <w:widowControl/>
        <w:spacing w:before="0" w:after="100" w:line="252" w:lineRule="auto"/>
        <w:ind w:left="403" w:hanging="403"/>
      </w:pPr>
      <w:r>
        <w:rPr>
          <w:rFonts w:ascii="Liberation Sans" w:hAnsi="Liberation Sans"/>
          <w:sz w:val="17"/>
        </w:rPr>
        <w:t xml:space="preserve">16. NHS. Medical cannabis and cannabis oils. </w:t>
      </w:r>
      <w:hyperlink r:id="rId41">
        <w:r>
          <w:rPr>
            <w:rFonts w:ascii="Liberation Sans" w:hAnsi="Liberation Sans"/>
            <w:color w:val="1A5A96"/>
            <w:u w:val="single"/>
            <w:sz w:val="17"/>
            <w:szCs w:val="17"/>
          </w:rPr>
          <w:t>https://www.nhs.uk/medicines/medical-cannabis/</w:t>
        </w:r>
      </w:hyperlink>
    </w:p>
    <w:p>
      <w:pPr>
        <w:keepLines w:val="0"/>
        <w:widowControl/>
        <w:spacing w:before="0" w:after="100" w:line="252" w:lineRule="auto"/>
        <w:ind w:left="403" w:hanging="403"/>
      </w:pPr>
      <w:r>
        <w:rPr>
          <w:rFonts w:ascii="Liberation Sans" w:hAnsi="Liberation Sans"/>
          <w:sz w:val="17"/>
        </w:rPr>
        <w:t xml:space="preserve">17. National Institute for Health and Care Excellence. Cannabis based medicinal products NG144. </w:t>
      </w:r>
      <w:hyperlink r:id="rId42">
        <w:r>
          <w:rPr>
            <w:rFonts w:ascii="Liberation Sans" w:hAnsi="Liberation Sans"/>
            <w:color w:val="1A5A96"/>
            <w:u w:val="single"/>
            <w:sz w:val="17"/>
            <w:szCs w:val="17"/>
          </w:rPr>
          <w:t>https://www.nice.org.uk/guidance/ng144</w:t>
        </w:r>
      </w:hyperlink>
    </w:p>
    <w:p>
      <w:pPr>
        <w:keepLines w:val="0"/>
        <w:widowControl/>
        <w:spacing w:before="0" w:after="100" w:line="252" w:lineRule="auto"/>
        <w:ind w:left="403" w:hanging="403"/>
      </w:pPr>
      <w:r>
        <w:rPr>
          <w:rFonts w:ascii="Liberation Sans" w:hAnsi="Liberation Sans"/>
          <w:sz w:val="17"/>
        </w:rPr>
        <w:t xml:space="preserve">18. National Institute for Health and Care Excellence. Esketamine nasal spray for treatment resistant depression TA854. </w:t>
      </w:r>
      <w:hyperlink r:id="rId43">
        <w:r>
          <w:rPr>
            <w:rFonts w:ascii="Liberation Sans" w:hAnsi="Liberation Sans"/>
            <w:color w:val="1A5A96"/>
            <w:u w:val="single"/>
            <w:sz w:val="17"/>
            <w:szCs w:val="17"/>
          </w:rPr>
          <w:t>https://www.nice.org.uk/guidance/ta854</w:t>
        </w:r>
      </w:hyperlink>
    </w:p>
    <w:p>
      <w:pPr>
        <w:keepLines w:val="0"/>
        <w:widowControl/>
        <w:spacing w:before="0" w:after="100" w:line="252" w:lineRule="auto"/>
        <w:ind w:left="403" w:hanging="403"/>
      </w:pPr>
      <w:r>
        <w:rPr>
          <w:rFonts w:ascii="Liberation Sans" w:hAnsi="Liberation Sans"/>
          <w:sz w:val="17"/>
        </w:rPr>
        <w:t xml:space="preserve">19. The Guardian. Medicinal cannabis sold by private clinics probably contributed to man's death inquest told. 31 March 2026. </w:t>
      </w:r>
      <w:hyperlink r:id="rId44">
        <w:r>
          <w:rPr>
            <w:rFonts w:ascii="Liberation Sans" w:hAnsi="Liberation Sans"/>
            <w:color w:val="1A5A96"/>
            <w:u w:val="single"/>
            <w:sz w:val="17"/>
            <w:szCs w:val="17"/>
          </w:rPr>
          <w:t>https://www.theguardian.com/society/2026/mar/31/medicinal-cannabis-private-clinics-oliver-robinson-death</w:t>
        </w:r>
      </w:hyperlink>
    </w:p>
    <w:p>
      <w:pPr>
        <w:keepLines w:val="0"/>
        <w:widowControl/>
        <w:spacing w:before="0" w:after="100" w:line="252" w:lineRule="auto"/>
        <w:ind w:left="403" w:hanging="403"/>
      </w:pPr>
      <w:r>
        <w:rPr>
          <w:rFonts w:ascii="Liberation Sans" w:hAnsi="Liberation Sans"/>
          <w:sz w:val="17"/>
        </w:rPr>
        <w:t xml:space="preserve">20. The Guardian. All eyes are on Glasgow as the United Kingdom's first legal drug consumption room prepares to open. 10 January 2025. </w:t>
      </w:r>
      <w:hyperlink r:id="rId45">
        <w:r>
          <w:rPr>
            <w:rFonts w:ascii="Liberation Sans" w:hAnsi="Liberation Sans"/>
            <w:color w:val="1A5A96"/>
            <w:u w:val="single"/>
            <w:sz w:val="17"/>
            <w:szCs w:val="17"/>
          </w:rPr>
          <w:t>https://www.theguardian.com/society/2025/jan/10/all-eyes-are-on-glasgow-uk-first-legal-drug-consumption-room-ready-open</w:t>
        </w:r>
      </w:hyperlink>
    </w:p>
    <w:p>
      <w:pPr>
        <w:keepLines w:val="0"/>
        <w:widowControl/>
        <w:spacing w:before="0" w:after="100" w:line="252" w:lineRule="auto"/>
        <w:ind w:left="403" w:hanging="403"/>
      </w:pPr>
      <w:r>
        <w:rPr>
          <w:rFonts w:ascii="Liberation Sans" w:hAnsi="Liberation Sans"/>
          <w:sz w:val="17"/>
        </w:rPr>
        <w:t xml:space="preserve">21. Levengood TW and others. Supervised Injection Facilities as Harm Reduction A Systematic Review. American Journal of Preventive Medicine. 2021. </w:t>
      </w:r>
      <w:hyperlink r:id="rId46">
        <w:r>
          <w:rPr>
            <w:rFonts w:ascii="Liberation Sans" w:hAnsi="Liberation Sans"/>
            <w:color w:val="1A5A96"/>
            <w:u w:val="single"/>
            <w:sz w:val="17"/>
            <w:szCs w:val="17"/>
          </w:rPr>
          <w:t>https://doi.org/10.1016/j.amepre.2021.04.017</w:t>
        </w:r>
      </w:hyperlink>
    </w:p>
    <w:p>
      <w:pPr>
        <w:keepLines w:val="0"/>
        <w:widowControl/>
        <w:spacing w:before="0" w:after="100" w:line="252" w:lineRule="auto"/>
        <w:ind w:left="403" w:hanging="403"/>
      </w:pPr>
      <w:r>
        <w:rPr>
          <w:rFonts w:ascii="Liberation Sans" w:hAnsi="Liberation Sans"/>
          <w:sz w:val="17"/>
        </w:rPr>
        <w:t xml:space="preserve">22. WEDINOS Welsh Emerging Drugs and Identification of Novel Substances. </w:t>
      </w:r>
      <w:hyperlink r:id="rId18">
        <w:r>
          <w:rPr>
            <w:rFonts w:ascii="Liberation Sans" w:hAnsi="Liberation Sans"/>
            <w:color w:val="1A5A96"/>
            <w:u w:val="single"/>
            <w:sz w:val="17"/>
            <w:szCs w:val="17"/>
          </w:rPr>
          <w:t>https://wedinos.wales/</w:t>
        </w:r>
      </w:hyperlink>
    </w:p>
    <w:p>
      <w:pPr>
        <w:keepLines w:val="0"/>
        <w:widowControl/>
        <w:spacing w:before="0" w:after="100" w:line="252" w:lineRule="auto"/>
        <w:ind w:left="403" w:hanging="403"/>
      </w:pPr>
      <w:r>
        <w:rPr>
          <w:rFonts w:ascii="Liberation Sans" w:hAnsi="Liberation Sans"/>
          <w:sz w:val="17"/>
        </w:rPr>
        <w:t xml:space="preserve">23. Erowid. </w:t>
      </w:r>
      <w:hyperlink r:id="rId11">
        <w:r>
          <w:rPr>
            <w:rFonts w:ascii="Liberation Sans" w:hAnsi="Liberation Sans"/>
            <w:color w:val="1A5A96"/>
            <w:u w:val="single"/>
            <w:sz w:val="17"/>
            <w:szCs w:val="17"/>
          </w:rPr>
          <w:t>https://erowid.org/</w:t>
        </w:r>
      </w:hyperlink>
    </w:p>
    <w:p>
      <w:pPr>
        <w:keepLines w:val="0"/>
        <w:widowControl/>
        <w:spacing w:before="0" w:after="100" w:line="252" w:lineRule="auto"/>
        <w:ind w:left="403" w:hanging="403"/>
      </w:pPr>
      <w:r>
        <w:rPr>
          <w:rFonts w:ascii="Liberation Sans" w:hAnsi="Liberation Sans"/>
          <w:sz w:val="17"/>
        </w:rPr>
        <w:t xml:space="preserve">24. Erowid Experience Vaults. </w:t>
      </w:r>
      <w:hyperlink r:id="rId12">
        <w:r>
          <w:rPr>
            <w:rFonts w:ascii="Liberation Sans" w:hAnsi="Liberation Sans"/>
            <w:color w:val="1A5A96"/>
            <w:u w:val="single"/>
            <w:sz w:val="17"/>
            <w:szCs w:val="17"/>
          </w:rPr>
          <w:t>https://www.erowid.org/experiences/</w:t>
        </w:r>
      </w:hyperlink>
    </w:p>
    <w:p>
      <w:pPr>
        <w:keepLines w:val="0"/>
        <w:widowControl/>
        <w:spacing w:before="0" w:after="100" w:line="252" w:lineRule="auto"/>
        <w:ind w:left="403" w:hanging="403"/>
      </w:pPr>
      <w:r>
        <w:rPr>
          <w:rFonts w:ascii="Liberation Sans" w:hAnsi="Liberation Sans"/>
          <w:sz w:val="17"/>
        </w:rPr>
        <w:t xml:space="preserve">25. Erowid Psychoactive Chemical Vaults. </w:t>
      </w:r>
      <w:hyperlink r:id="rId13">
        <w:r>
          <w:rPr>
            <w:rFonts w:ascii="Liberation Sans" w:hAnsi="Liberation Sans"/>
            <w:color w:val="1A5A96"/>
            <w:u w:val="single"/>
            <w:sz w:val="17"/>
            <w:szCs w:val="17"/>
          </w:rPr>
          <w:t>https://www.erowid.org/chemicals/</w:t>
        </w:r>
      </w:hyperlink>
    </w:p>
    <w:p>
      <w:pPr>
        <w:keepLines w:val="0"/>
        <w:widowControl/>
        <w:spacing w:before="0" w:after="100" w:line="252" w:lineRule="auto"/>
        <w:ind w:left="403" w:hanging="403"/>
      </w:pPr>
      <w:r>
        <w:rPr>
          <w:rFonts w:ascii="Liberation Sans" w:hAnsi="Liberation Sans"/>
          <w:sz w:val="17"/>
        </w:rPr>
        <w:t xml:space="preserve">26. PsychonautWiki. </w:t>
      </w:r>
      <w:hyperlink r:id="rId14">
        <w:r>
          <w:rPr>
            <w:rFonts w:ascii="Liberation Sans" w:hAnsi="Liberation Sans"/>
            <w:color w:val="1A5A96"/>
            <w:u w:val="single"/>
            <w:sz w:val="17"/>
            <w:szCs w:val="17"/>
          </w:rPr>
          <w:t>https://psychonautwiki.org/</w:t>
        </w:r>
      </w:hyperlink>
    </w:p>
    <w:p>
      <w:pPr>
        <w:keepLines w:val="0"/>
        <w:widowControl/>
        <w:spacing w:before="0" w:after="100" w:line="252" w:lineRule="auto"/>
        <w:ind w:left="403" w:hanging="403"/>
      </w:pPr>
      <w:r>
        <w:rPr>
          <w:rFonts w:ascii="Liberation Sans" w:hAnsi="Liberation Sans"/>
          <w:sz w:val="17"/>
        </w:rPr>
        <w:t xml:space="preserve">27. Bluelight community. </w:t>
      </w:r>
      <w:hyperlink r:id="rId15">
        <w:r>
          <w:rPr>
            <w:rFonts w:ascii="Liberation Sans" w:hAnsi="Liberation Sans"/>
            <w:color w:val="1A5A96"/>
            <w:u w:val="single"/>
            <w:sz w:val="17"/>
            <w:szCs w:val="17"/>
          </w:rPr>
          <w:t>https://www.bluelight.org/community/</w:t>
        </w:r>
      </w:hyperlink>
    </w:p>
    <w:p>
      <w:pPr>
        <w:keepLines w:val="0"/>
        <w:widowControl/>
        <w:spacing w:before="0" w:after="100" w:line="252" w:lineRule="auto"/>
        <w:ind w:left="403" w:hanging="403"/>
      </w:pPr>
      <w:r>
        <w:rPr>
          <w:rFonts w:ascii="Liberation Sans" w:hAnsi="Liberation Sans"/>
          <w:sz w:val="17"/>
        </w:rPr>
        <w:t xml:space="preserve">28. Drugs Forum. </w:t>
      </w:r>
      <w:hyperlink r:id="rId16">
        <w:r>
          <w:rPr>
            <w:rFonts w:ascii="Liberation Sans" w:hAnsi="Liberation Sans"/>
            <w:color w:val="1A5A96"/>
            <w:u w:val="single"/>
            <w:sz w:val="17"/>
            <w:szCs w:val="17"/>
          </w:rPr>
          <w:t>https://drugs-forum.com/</w:t>
        </w:r>
      </w:hyperlink>
    </w:p>
    <w:p>
      <w:pPr>
        <w:keepLines w:val="0"/>
        <w:widowControl/>
        <w:spacing w:before="0" w:after="100" w:line="252" w:lineRule="auto"/>
        <w:ind w:left="403" w:hanging="403"/>
      </w:pPr>
      <w:r>
        <w:rPr>
          <w:rFonts w:ascii="Liberation Sans" w:hAnsi="Liberation Sans"/>
          <w:sz w:val="17"/>
        </w:rPr>
        <w:t xml:space="preserve">29. TripSit. </w:t>
      </w:r>
      <w:hyperlink r:id="rId17">
        <w:r>
          <w:rPr>
            <w:rFonts w:ascii="Liberation Sans" w:hAnsi="Liberation Sans"/>
            <w:color w:val="1A5A96"/>
            <w:u w:val="single"/>
            <w:sz w:val="17"/>
            <w:szCs w:val="17"/>
          </w:rPr>
          <w:t>https://tripsit.me/</w:t>
        </w:r>
      </w:hyperlink>
    </w:p>
    <w:p>
      <w:pPr>
        <w:keepLines w:val="0"/>
        <w:widowControl/>
        <w:spacing w:before="0" w:after="100" w:line="252" w:lineRule="auto"/>
        <w:ind w:left="403" w:hanging="403"/>
      </w:pPr>
      <w:r>
        <w:rPr>
          <w:rFonts w:ascii="Liberation Sans" w:hAnsi="Liberation Sans"/>
          <w:sz w:val="17"/>
        </w:rPr>
        <w:t xml:space="preserve">30. Release Drugs The Law and Human Rights. </w:t>
      </w:r>
      <w:hyperlink r:id="rId19">
        <w:r>
          <w:rPr>
            <w:rFonts w:ascii="Liberation Sans" w:hAnsi="Liberation Sans"/>
            <w:color w:val="1A5A96"/>
            <w:u w:val="single"/>
            <w:sz w:val="17"/>
            <w:szCs w:val="17"/>
          </w:rPr>
          <w:t>https://www.release.org.uk/</w:t>
        </w:r>
      </w:hyperlink>
    </w:p>
    <w:p>
      <w:pPr>
        <w:keepLines w:val="0"/>
        <w:widowControl/>
        <w:spacing w:before="0" w:after="100" w:line="252" w:lineRule="auto"/>
        <w:ind w:left="403" w:hanging="403"/>
      </w:pPr>
      <w:r>
        <w:rPr>
          <w:rFonts w:ascii="Liberation Sans" w:hAnsi="Liberation Sans"/>
          <w:sz w:val="17"/>
        </w:rPr>
        <w:t xml:space="preserve">31. Transform Drug Policy Foundation. </w:t>
      </w:r>
      <w:hyperlink r:id="rId20">
        <w:r>
          <w:rPr>
            <w:rFonts w:ascii="Liberation Sans" w:hAnsi="Liberation Sans"/>
            <w:color w:val="1A5A96"/>
            <w:u w:val="single"/>
            <w:sz w:val="17"/>
            <w:szCs w:val="17"/>
          </w:rPr>
          <w:t>https://transformdrugs.org/</w:t>
        </w:r>
      </w:hyperlink>
    </w:p>
    <w:p>
      <w:pPr>
        <w:keepLines w:val="0"/>
        <w:widowControl/>
        <w:spacing w:before="0" w:after="100" w:line="252" w:lineRule="auto"/>
        <w:ind w:left="403" w:hanging="403"/>
      </w:pPr>
      <w:r>
        <w:rPr>
          <w:rFonts w:ascii="Liberation Sans" w:hAnsi="Liberation Sans"/>
          <w:sz w:val="17"/>
        </w:rPr>
        <w:t xml:space="preserve">32. Drug Science. </w:t>
      </w:r>
      <w:hyperlink r:id="rId21">
        <w:r>
          <w:rPr>
            <w:rFonts w:ascii="Liberation Sans" w:hAnsi="Liberation Sans"/>
            <w:color w:val="1A5A96"/>
            <w:u w:val="single"/>
            <w:sz w:val="17"/>
            <w:szCs w:val="17"/>
          </w:rPr>
          <w:t>https://www.drugscience.org.uk/</w:t>
        </w:r>
      </w:hyperlink>
    </w:p>
    <w:p>
      <w:pPr>
        <w:keepLines w:val="0"/>
        <w:widowControl/>
        <w:spacing w:before="0" w:after="100" w:line="252" w:lineRule="auto"/>
        <w:ind w:left="403" w:hanging="403"/>
      </w:pPr>
      <w:r>
        <w:rPr>
          <w:rFonts w:ascii="Liberation Sans" w:hAnsi="Liberation Sans"/>
          <w:sz w:val="17"/>
        </w:rPr>
        <w:t xml:space="preserve">33. Patient Communities. </w:t>
      </w:r>
      <w:hyperlink r:id="rId22">
        <w:r>
          <w:rPr>
            <w:rFonts w:ascii="Liberation Sans" w:hAnsi="Liberation Sans"/>
            <w:color w:val="1A5A96"/>
            <w:u w:val="single"/>
            <w:sz w:val="17"/>
            <w:szCs w:val="17"/>
          </w:rPr>
          <w:t>https://community.patient.info/</w:t>
        </w:r>
      </w:hyperlink>
    </w:p>
    <w:p>
      <w:pPr>
        <w:keepLines w:val="0"/>
        <w:widowControl/>
        <w:spacing w:before="0" w:after="100" w:line="252" w:lineRule="auto"/>
        <w:ind w:left="403" w:hanging="403"/>
      </w:pPr>
      <w:r>
        <w:rPr>
          <w:rFonts w:ascii="Liberation Sans" w:hAnsi="Liberation Sans"/>
          <w:sz w:val="17"/>
        </w:rPr>
        <w:t xml:space="preserve">34. Reddit. ParamedicsUK. </w:t>
      </w:r>
      <w:hyperlink r:id="rId23">
        <w:r>
          <w:rPr>
            <w:rFonts w:ascii="Liberation Sans" w:hAnsi="Liberation Sans"/>
            <w:color w:val="1A5A96"/>
            <w:u w:val="single"/>
            <w:sz w:val="17"/>
            <w:szCs w:val="17"/>
          </w:rPr>
          <w:t>https://www.reddit.com/r/ParamedicsUK/</w:t>
        </w:r>
      </w:hyperlink>
    </w:p>
    <w:p>
      <w:pPr>
        <w:keepLines w:val="0"/>
        <w:widowControl/>
        <w:spacing w:before="0" w:after="100" w:line="252" w:lineRule="auto"/>
        <w:ind w:left="403" w:hanging="403"/>
      </w:pPr>
      <w:r>
        <w:rPr>
          <w:rFonts w:ascii="Liberation Sans" w:hAnsi="Liberation Sans"/>
          <w:sz w:val="17"/>
        </w:rPr>
        <w:t xml:space="preserve">35. Reddit. Paramedics. </w:t>
      </w:r>
      <w:hyperlink r:id="rId47">
        <w:r>
          <w:rPr>
            <w:rFonts w:ascii="Liberation Sans" w:hAnsi="Liberation Sans"/>
            <w:color w:val="1A5A96"/>
            <w:u w:val="single"/>
            <w:sz w:val="17"/>
            <w:szCs w:val="17"/>
          </w:rPr>
          <w:t>https://www.reddit.com/r/Paramedics/</w:t>
        </w:r>
      </w:hyperlink>
    </w:p>
    <w:p>
      <w:pPr>
        <w:keepLines w:val="0"/>
        <w:widowControl/>
        <w:spacing w:before="0" w:after="100" w:line="252" w:lineRule="auto"/>
        <w:ind w:left="403" w:hanging="403"/>
      </w:pPr>
      <w:r>
        <w:rPr>
          <w:rFonts w:ascii="Liberation Sans" w:hAnsi="Liberation Sans"/>
          <w:sz w:val="17"/>
        </w:rPr>
        <w:t xml:space="preserve">36. Courts and Tribunals Judiciary. Prevention of Future Deaths reports. </w:t>
      </w:r>
      <w:hyperlink r:id="rId24">
        <w:r>
          <w:rPr>
            <w:rFonts w:ascii="Liberation Sans" w:hAnsi="Liberation Sans"/>
            <w:color w:val="1A5A96"/>
            <w:u w:val="single"/>
            <w:sz w:val="17"/>
            <w:szCs w:val="17"/>
          </w:rPr>
          <w:t>https://www.judiciary.uk/prevention-of-future-death-reports/</w:t>
        </w:r>
      </w:hyperlink>
    </w:p>
    <w:p>
      <w:pPr>
        <w:keepLines w:val="0"/>
        <w:widowControl/>
        <w:spacing w:before="0" w:after="100" w:line="252" w:lineRule="auto"/>
        <w:ind w:left="403" w:hanging="403"/>
      </w:pPr>
      <w:r>
        <w:rPr>
          <w:rFonts w:ascii="Liberation Sans" w:hAnsi="Liberation Sans"/>
          <w:sz w:val="17"/>
        </w:rPr>
        <w:t xml:space="preserve">37. Medicines and Healthcare products Regulatory Agency. Yellow Card. </w:t>
      </w:r>
      <w:hyperlink r:id="rId25">
        <w:r>
          <w:rPr>
            <w:rFonts w:ascii="Liberation Sans" w:hAnsi="Liberation Sans"/>
            <w:color w:val="1A5A96"/>
            <w:u w:val="single"/>
            <w:sz w:val="17"/>
            <w:szCs w:val="17"/>
          </w:rPr>
          <w:t>https://yellowcard.mhra.gov.uk/</w:t>
        </w:r>
      </w:hyperlink>
    </w:p>
    <w:p>
      <w:pPr>
        <w:keepLines w:val="0"/>
        <w:widowControl/>
        <w:spacing w:before="0" w:after="100" w:line="252" w:lineRule="auto"/>
        <w:ind w:left="403" w:hanging="403"/>
      </w:pPr>
      <w:r>
        <w:rPr>
          <w:rFonts w:ascii="Liberation Sans" w:hAnsi="Liberation Sans"/>
          <w:sz w:val="17"/>
        </w:rPr>
        <w:t xml:space="preserve">38. Uenoyama R and others. The characteristic response of domestic cats to plant iridoids allows them to gain chemical defense against mosquitoes. Science Advances. 2021. </w:t>
      </w:r>
      <w:hyperlink r:id="rId48">
        <w:r>
          <w:rPr>
            <w:rFonts w:ascii="Liberation Sans" w:hAnsi="Liberation Sans"/>
            <w:color w:val="1A5A96"/>
            <w:u w:val="single"/>
            <w:sz w:val="17"/>
            <w:szCs w:val="17"/>
          </w:rPr>
          <w:t>https://pmc.ncbi.nlm.nih.gov/articles/PMC7817105/</w:t>
        </w:r>
      </w:hyperlink>
    </w:p>
    <w:p>
      <w:pPr>
        <w:keepLines w:val="0"/>
        <w:widowControl/>
        <w:spacing w:before="0" w:after="100" w:line="252" w:lineRule="auto"/>
        <w:ind w:left="403" w:hanging="403"/>
      </w:pPr>
      <w:r>
        <w:rPr>
          <w:rFonts w:ascii="Liberation Sans" w:hAnsi="Liberation Sans"/>
          <w:sz w:val="17"/>
        </w:rPr>
        <w:t xml:space="preserve">39. Singer MS Mace KC and Bernays EA. Self Medication as Adaptive Plasticity. PLOS ONE. 2009. </w:t>
      </w:r>
      <w:hyperlink r:id="rId49">
        <w:r>
          <w:rPr>
            <w:rFonts w:ascii="Liberation Sans" w:hAnsi="Liberation Sans"/>
            <w:color w:val="1A5A96"/>
            <w:u w:val="single"/>
            <w:sz w:val="17"/>
            <w:szCs w:val="17"/>
          </w:rPr>
          <w:t>https://journals.plos.org/plosone/article?id=10.1371/journal.pone.0004796</w:t>
        </w:r>
      </w:hyperlink>
    </w:p>
    <w:p>
      <w:pPr>
        <w:keepLines w:val="0"/>
        <w:widowControl/>
        <w:spacing w:before="0" w:after="100" w:line="252" w:lineRule="auto"/>
        <w:ind w:left="403" w:hanging="403"/>
      </w:pPr>
      <w:r>
        <w:rPr>
          <w:rFonts w:ascii="Liberation Sans" w:hAnsi="Liberation Sans"/>
          <w:sz w:val="17"/>
        </w:rPr>
        <w:t xml:space="preserve">40. Milan NF Kacsoh BZ and Schlenke TA. Alcohol Consumption as Self Medication against Blood Borne Parasites in the Fruit Fly. Current Biology. 2012. </w:t>
      </w:r>
      <w:hyperlink r:id="rId50">
        <w:r>
          <w:rPr>
            <w:rFonts w:ascii="Liberation Sans" w:hAnsi="Liberation Sans"/>
            <w:color w:val="1A5A96"/>
            <w:u w:val="single"/>
            <w:sz w:val="17"/>
            <w:szCs w:val="17"/>
          </w:rPr>
          <w:t>https://doi.org/10.1016/j.cub.2012.01.045</w:t>
        </w:r>
      </w:hyperlink>
    </w:p>
    <w:p>
      <w:pPr>
        <w:keepLines w:val="0"/>
        <w:widowControl/>
        <w:spacing w:before="0" w:after="100" w:line="252" w:lineRule="auto"/>
        <w:ind w:left="403" w:hanging="403"/>
      </w:pPr>
      <w:r>
        <w:rPr>
          <w:rFonts w:ascii="Liberation Sans" w:hAnsi="Liberation Sans"/>
          <w:sz w:val="17"/>
        </w:rPr>
        <w:t xml:space="preserve">41. The Guardian. Paging Dr Chimp. 25 March 2025. </w:t>
      </w:r>
      <w:hyperlink r:id="rId51">
        <w:r>
          <w:rPr>
            <w:rFonts w:ascii="Liberation Sans" w:hAnsi="Liberation Sans"/>
            <w:color w:val="1A5A96"/>
            <w:u w:val="single"/>
            <w:sz w:val="17"/>
            <w:szCs w:val="17"/>
          </w:rPr>
          <w:t>https://www.theguardian.com/science/2025/mar/25/medical-secrets-wildlife-wisdom</w:t>
        </w:r>
      </w:hyperlink>
    </w:p>
    <w:p>
      <w:pPr>
        <w:keepLines w:val="0"/>
        <w:widowControl/>
        <w:spacing w:before="0" w:after="100" w:line="252" w:lineRule="auto"/>
        <w:ind w:left="403" w:hanging="403"/>
      </w:pPr>
      <w:r>
        <w:rPr>
          <w:rFonts w:ascii="Liberation Sans" w:hAnsi="Liberation Sans"/>
          <w:sz w:val="17"/>
        </w:rPr>
        <w:t xml:space="preserve">42. Laumer IB and others. Active self treatment of a facial wound with a biologically active plant by a male Sumatran orangutan. Scientific Reports. 2024. </w:t>
      </w:r>
      <w:hyperlink r:id="rId52">
        <w:r>
          <w:rPr>
            <w:rFonts w:ascii="Liberation Sans" w:hAnsi="Liberation Sans"/>
            <w:color w:val="1A5A96"/>
            <w:u w:val="single"/>
            <w:sz w:val="17"/>
            <w:szCs w:val="17"/>
          </w:rPr>
          <w:t>https://www.nature.com/articles/s41598-024-58988-7</w:t>
        </w:r>
      </w:hyperlink>
    </w:p>
    <w:p>
      <w:pPr>
        <w:keepLines w:val="0"/>
        <w:widowControl/>
        <w:spacing w:before="0" w:after="100" w:line="252" w:lineRule="auto"/>
        <w:ind w:left="403" w:hanging="403"/>
      </w:pPr>
      <w:r>
        <w:rPr>
          <w:rFonts w:ascii="Liberation Sans" w:hAnsi="Liberation Sans"/>
          <w:sz w:val="17"/>
        </w:rPr>
        <w:t xml:space="preserve">43. Office for National Statistics. Crime in England and Wales appendix tables year ending March 2026. Table A5a. </w:t>
      </w:r>
      <w:hyperlink r:id="rId53">
        <w:r>
          <w:rPr>
            <w:rFonts w:ascii="Liberation Sans" w:hAnsi="Liberation Sans"/>
            <w:color w:val="1A5A96"/>
            <w:u w:val="single"/>
            <w:sz w:val="17"/>
            <w:szCs w:val="17"/>
          </w:rPr>
          <w:t>https://www.ons.gov.uk/peoplepopulationandcommunity/crimeandjustice/datasets/crimeinenglandandwalesappendixtables</w:t>
        </w:r>
      </w:hyperlink>
    </w:p>
    <w:p>
      <w:pPr>
        <w:keepLines w:val="0"/>
        <w:widowControl/>
        <w:spacing w:before="0" w:after="100" w:line="252" w:lineRule="auto"/>
        <w:ind w:left="403" w:hanging="403"/>
      </w:pPr>
      <w:r>
        <w:rPr>
          <w:rFonts w:ascii="Liberation Sans" w:hAnsi="Liberation Sans"/>
          <w:sz w:val="17"/>
        </w:rPr>
        <w:t xml:space="preserve">44. Home Office. Police powers and procedures Stop and search arrests and mental health detentions England and Wales year ending 31 March 2025. </w:t>
      </w:r>
      <w:hyperlink r:id="rId54">
        <w:r>
          <w:rPr>
            <w:rFonts w:ascii="Liberation Sans" w:hAnsi="Liberation Sans"/>
            <w:color w:val="1A5A96"/>
            <w:u w:val="single"/>
            <w:sz w:val="17"/>
            <w:szCs w:val="17"/>
          </w:rPr>
          <w:t>https://www.gov.uk/government/statistics/stop-and-search-arrests-and-mental-health-detentions-march-2025/police-powers-and-procedures-stop-and-search-arrests-and-mental-health-detentions-england-and-wales-year-ending-31-march-2025</w:t>
        </w:r>
      </w:hyperlink>
    </w:p>
    <w:p>
      <w:pPr>
        <w:keepLines w:val="0"/>
        <w:widowControl/>
        <w:spacing w:before="0" w:after="100" w:line="252" w:lineRule="auto"/>
        <w:ind w:left="403" w:hanging="403"/>
      </w:pPr>
      <w:r>
        <w:rPr>
          <w:rFonts w:ascii="Liberation Sans" w:hAnsi="Liberation Sans"/>
          <w:sz w:val="17"/>
        </w:rPr>
        <w:t xml:space="preserve">45. Dame Carol Black. Review of drugs phase one summary. February 2020. </w:t>
      </w:r>
      <w:hyperlink r:id="rId55">
        <w:r>
          <w:rPr>
            <w:rFonts w:ascii="Liberation Sans" w:hAnsi="Liberation Sans"/>
            <w:color w:val="1A5A96"/>
            <w:u w:val="single"/>
            <w:sz w:val="17"/>
            <w:szCs w:val="17"/>
          </w:rPr>
          <w:t>https://www.gov.uk/government/publications/review-of-drugs-phase-one-report/review-of-drugs-summary</w:t>
        </w:r>
      </w:hyperlink>
    </w:p>
    <w:p>
      <w:pPr>
        <w:keepLines w:val="0"/>
        <w:widowControl/>
        <w:spacing w:before="0" w:after="100" w:line="252" w:lineRule="auto"/>
        <w:ind w:left="403" w:hanging="403"/>
      </w:pPr>
      <w:r>
        <w:rPr>
          <w:rFonts w:ascii="Liberation Sans" w:hAnsi="Liberation Sans"/>
          <w:sz w:val="17"/>
        </w:rPr>
        <w:t xml:space="preserve">46. HM Government. From harm to hope A 10 year drugs plan to cut crime and save lives. Updated April 2022. </w:t>
      </w:r>
      <w:hyperlink r:id="rId56">
        <w:r>
          <w:rPr>
            <w:rFonts w:ascii="Liberation Sans" w:hAnsi="Liberation Sans"/>
            <w:color w:val="1A5A96"/>
            <w:u w:val="single"/>
            <w:sz w:val="17"/>
            <w:szCs w:val="17"/>
          </w:rPr>
          <w:t>https://www.gov.uk/government/publications/from-harm-to-hope-a-10-year-drugs-plan-to-cut-crime-and-save-lives/from-harm-to-hope-a-10-year-drugs-plan-to-cut-crime-and-save-lives</w:t>
        </w:r>
      </w:hyperlink>
    </w:p>
    <w:p>
      <w:pPr>
        <w:keepLines w:val="0"/>
        <w:widowControl/>
        <w:spacing w:before="0" w:after="100" w:line="252" w:lineRule="auto"/>
        <w:ind w:left="403" w:hanging="403"/>
      </w:pPr>
      <w:r>
        <w:rPr>
          <w:rFonts w:ascii="Liberation Sans" w:hAnsi="Liberation Sans"/>
          <w:sz w:val="17"/>
        </w:rPr>
        <w:t xml:space="preserve">47. Ministry of Justice. Offender management statistics quarterly January to March 2026. Prison population at 30 June 2026. </w:t>
      </w:r>
      <w:hyperlink r:id="rId57">
        <w:r>
          <w:rPr>
            <w:rFonts w:ascii="Liberation Sans" w:hAnsi="Liberation Sans"/>
            <w:color w:val="1A5A96"/>
            <w:u w:val="single"/>
            <w:sz w:val="17"/>
            <w:szCs w:val="17"/>
          </w:rPr>
          <w:t>https://www.gov.uk/government/statistics/offender-management-statistics-quarterly-january-to-march-2026/offender-management-statistics-quarterly-january-to-march-2026</w:t>
        </w:r>
      </w:hyperlink>
    </w:p>
    <w:p>
      <w:pPr>
        <w:keepLines w:val="0"/>
        <w:widowControl/>
        <w:spacing w:before="0" w:after="100" w:line="252" w:lineRule="auto"/>
        <w:ind w:left="403" w:hanging="403"/>
      </w:pPr>
      <w:r>
        <w:rPr>
          <w:rFonts w:ascii="Liberation Sans" w:hAnsi="Liberation Sans"/>
          <w:sz w:val="17"/>
        </w:rPr>
        <w:t xml:space="preserve">48. Ministry of Justice and HM Prison and Probation Service. Costs per prison place and costs per prisoner 2023 to 2024 summary. </w:t>
      </w:r>
      <w:hyperlink r:id="rId58">
        <w:r>
          <w:rPr>
            <w:rFonts w:ascii="Liberation Sans" w:hAnsi="Liberation Sans"/>
            <w:color w:val="1A5A96"/>
            <w:u w:val="single"/>
            <w:sz w:val="17"/>
            <w:szCs w:val="17"/>
          </w:rPr>
          <w:t>https://www.gov.uk/government/publications/prison-performance-data-2023-to-2024</w:t>
        </w:r>
      </w:hyperlink>
    </w:p>
    <w:p>
      <w:pPr>
        <w:keepLines w:val="0"/>
        <w:widowControl/>
        <w:spacing w:before="0" w:after="100" w:line="252" w:lineRule="auto"/>
        <w:ind w:left="403" w:hanging="403"/>
      </w:pPr>
      <w:r>
        <w:rPr>
          <w:rFonts w:ascii="Liberation Sans" w:hAnsi="Liberation Sans"/>
          <w:sz w:val="17"/>
        </w:rPr>
        <w:t xml:space="preserve">49. General Medical Council. Disclosing patients personal information a framework. </w:t>
      </w:r>
      <w:hyperlink r:id="rId59">
        <w:r>
          <w:rPr>
            <w:rFonts w:ascii="Liberation Sans" w:hAnsi="Liberation Sans"/>
            <w:color w:val="1A5A96"/>
            <w:u w:val="single"/>
            <w:sz w:val="17"/>
            <w:szCs w:val="17"/>
          </w:rPr>
          <w:t>https://www.gmc-uk.org/professional-standards/the-professional-standards/confidentiality/disclosing-patients-personal-information-a-framework</w:t>
        </w:r>
      </w:hyperlink>
    </w:p>
    <w:p>
      <w:pPr>
        <w:keepLines w:val="0"/>
        <w:widowControl/>
        <w:spacing w:before="0" w:after="100" w:line="252" w:lineRule="auto"/>
        <w:ind w:left="403" w:hanging="403"/>
      </w:pPr>
      <w:r>
        <w:rPr>
          <w:rFonts w:ascii="Liberation Sans" w:hAnsi="Liberation Sans"/>
          <w:sz w:val="17"/>
        </w:rPr>
        <w:t xml:space="preserve">50. GOV.UK. Drugs and driving the law. </w:t>
      </w:r>
      <w:hyperlink r:id="rId60">
        <w:r>
          <w:rPr>
            <w:rFonts w:ascii="Liberation Sans" w:hAnsi="Liberation Sans"/>
            <w:color w:val="1A5A96"/>
            <w:u w:val="single"/>
            <w:sz w:val="17"/>
            <w:szCs w:val="17"/>
          </w:rPr>
          <w:t>https://www.gov.uk/drug-driving-law</w:t>
        </w:r>
      </w:hyperlink>
    </w:p>
    <w:p>
      <w:pPr>
        <w:keepLines w:val="0"/>
        <w:widowControl/>
        <w:spacing w:before="0" w:after="100" w:line="252" w:lineRule="auto"/>
        <w:ind w:left="403" w:hanging="403"/>
      </w:pPr>
      <w:r>
        <w:rPr>
          <w:rFonts w:ascii="Liberation Sans" w:hAnsi="Liberation Sans"/>
          <w:sz w:val="17"/>
        </w:rPr>
        <w:t xml:space="preserve">51. Home Office. List of most commonly encountered drugs currently controlled under the misuse of drugs legislation. Updated April 2025. </w:t>
      </w:r>
      <w:hyperlink r:id="rId61">
        <w:r>
          <w:rPr>
            <w:rFonts w:ascii="Liberation Sans" w:hAnsi="Liberation Sans"/>
            <w:color w:val="1A5A96"/>
            <w:u w:val="single"/>
            <w:sz w:val="17"/>
            <w:szCs w:val="17"/>
          </w:rPr>
          <w:t>https://www.gov.uk/government/publications/controlled-drugs-list--2/list-of-most-commonly-encountered-drugs-currently-controlled-under-the-misuse-of-drugs-legislation</w:t>
        </w:r>
      </w:hyperlink>
    </w:p>
    <w:p>
      <w:pPr>
        <w:pStyle w:val="Heading1"/>
        <w:keepNext/>
        <w:keepLines w:val="0"/>
        <w:pageBreakBefore/>
        <w:widowControl/>
        <w:spacing w:before="0" w:after="140" w:line="278" w:lineRule="auto"/>
      </w:pPr>
      <w:r>
        <w:rPr>
          <w:rFonts w:ascii="Liberation Sans" w:hAnsi="Liberation Sans"/>
        </w:rPr>
        <w:t>Appendix A Patient experience threads</w:t>
      </w:r>
    </w:p>
    <w:p>
      <w:pPr>
        <w:keepLines w:val="0"/>
        <w:widowControl/>
        <w:spacing w:before="0" w:after="140" w:line="278" w:lineRule="auto"/>
      </w:pPr>
      <w:r>
        <w:rPr>
          <w:rFonts w:ascii="Liberation Sans" w:hAnsi="Liberation Sans"/>
        </w:rPr>
        <w:t>The twenty public threads below report possible adverse effects, withdrawal, dependence or difficulty obtaining support involving naproxen, pregabalin, gabapentin, codeine and ibuprofen. They were selected to show what lived experience can sound like. They are anonymous or pseudonymous accounts, not verified diagnoses or findings that a clinician caused harm or death. Read them as signals and questions, then compare them with official safety information and professional advice.</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293"/>
        <w:gridCol w:w="3293"/>
        <w:gridCol w:w="3293"/>
      </w:tblGrid>
      <w:tr>
        <w:trPr>
          <w:tblHeader w:val="true"/>
          <w:cantSplit w:val="true"/>
        </w:trPr>
        <w:tc>
          <w:tcPr>
            <w:tcW w:type="dxa" w:w="792"/>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5"/>
              </w:rPr>
              <w:t>Number</w:t>
            </w:r>
          </w:p>
        </w:tc>
        <w:tc>
          <w:tcPr>
            <w:tcW w:type="dxa" w:w="1728"/>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5"/>
              </w:rPr>
              <w:t>Medicine</w:t>
            </w:r>
          </w:p>
        </w:tc>
        <w:tc>
          <w:tcPr>
            <w:tcW w:type="dxa" w:w="7344"/>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5"/>
              </w:rPr>
              <w:t>Thread and address</w:t>
            </w:r>
          </w:p>
        </w:tc>
      </w:tr>
      <w:tr>
        <w:trPr>
          <w:cantSplit w:val="true"/>
        </w:trPr>
        <w:tc>
          <w:tcPr>
            <w:tcW w:type="dxa" w:w="79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1</w:t>
            </w:r>
          </w:p>
        </w:tc>
        <w:tc>
          <w:tcPr>
            <w:tcW w:type="dxa" w:w="172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Naproxen</w:t>
            </w:r>
          </w:p>
        </w:tc>
        <w:tc>
          <w:tcPr>
            <w:tcW w:type="dxa" w:w="734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Naproxen 500 mg</w:t>
            </w:r>
            <w:r>
              <w:br/>
            </w:r>
            <w:hyperlink r:id="rId62">
              <w:r>
                <w:rPr>
                  <w:rFonts w:ascii="Liberation Sans" w:hAnsi="Liberation Sans"/>
                  <w:color w:val="1A5A96"/>
                  <w:u w:val="single"/>
                  <w:sz w:val="15"/>
                  <w:szCs w:val="15"/>
                </w:rPr>
                <w:t>community.patient.info/t/naproxen-500mg/671872/2</w:t>
              </w:r>
            </w:hyperlink>
          </w:p>
        </w:tc>
      </w:tr>
      <w:tr>
        <w:trPr>
          <w:cantSplit w:val="true"/>
        </w:trPr>
        <w:tc>
          <w:tcPr>
            <w:tcW w:type="dxa" w:w="792"/>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2</w:t>
            </w:r>
          </w:p>
        </w:tc>
        <w:tc>
          <w:tcPr>
            <w:tcW w:type="dxa" w:w="172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Naproxen</w:t>
            </w:r>
          </w:p>
        </w:tc>
        <w:tc>
          <w:tcPr>
            <w:tcW w:type="dxa" w:w="7344"/>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Naproxen side effects</w:t>
            </w:r>
            <w:r>
              <w:br/>
            </w:r>
            <w:hyperlink r:id="rId63">
              <w:r>
                <w:rPr>
                  <w:rFonts w:ascii="Liberation Sans" w:hAnsi="Liberation Sans"/>
                  <w:color w:val="1A5A96"/>
                  <w:u w:val="single"/>
                  <w:sz w:val="15"/>
                  <w:szCs w:val="15"/>
                </w:rPr>
                <w:t>community.patient.info/t/naproxen-side-effects/532326/2</w:t>
              </w:r>
            </w:hyperlink>
          </w:p>
        </w:tc>
      </w:tr>
      <w:tr>
        <w:trPr>
          <w:cantSplit w:val="true"/>
        </w:trPr>
        <w:tc>
          <w:tcPr>
            <w:tcW w:type="dxa" w:w="79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3</w:t>
            </w:r>
          </w:p>
        </w:tc>
        <w:tc>
          <w:tcPr>
            <w:tcW w:type="dxa" w:w="172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Naproxen</w:t>
            </w:r>
          </w:p>
        </w:tc>
        <w:tc>
          <w:tcPr>
            <w:tcW w:type="dxa" w:w="734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Naproxen messed up my stomach</w:t>
            </w:r>
            <w:r>
              <w:br/>
            </w:r>
            <w:hyperlink r:id="rId64">
              <w:r>
                <w:rPr>
                  <w:rFonts w:ascii="Liberation Sans" w:hAnsi="Liberation Sans"/>
                  <w:color w:val="1A5A96"/>
                  <w:u w:val="single"/>
                  <w:sz w:val="15"/>
                  <w:szCs w:val="15"/>
                </w:rPr>
                <w:t>community.patient.info/t/naproxen-messed-up-my-stomach/619331/2</w:t>
              </w:r>
            </w:hyperlink>
          </w:p>
        </w:tc>
      </w:tr>
      <w:tr>
        <w:trPr>
          <w:cantSplit w:val="true"/>
        </w:trPr>
        <w:tc>
          <w:tcPr>
            <w:tcW w:type="dxa" w:w="792"/>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4</w:t>
            </w:r>
          </w:p>
        </w:tc>
        <w:tc>
          <w:tcPr>
            <w:tcW w:type="dxa" w:w="172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Pregabalin</w:t>
            </w:r>
          </w:p>
        </w:tc>
        <w:tc>
          <w:tcPr>
            <w:tcW w:type="dxa" w:w="7344"/>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Generic pregabalin feels different to Lyrica</w:t>
            </w:r>
            <w:r>
              <w:br/>
            </w:r>
            <w:hyperlink r:id="rId65">
              <w:r>
                <w:rPr>
                  <w:rFonts w:ascii="Liberation Sans" w:hAnsi="Liberation Sans"/>
                  <w:color w:val="1A5A96"/>
                  <w:u w:val="single"/>
                  <w:sz w:val="15"/>
                  <w:szCs w:val="15"/>
                </w:rPr>
                <w:t>community.patient.info/t/genric-pregabalin-feels-very-different-to-lyrica/680399/2</w:t>
              </w:r>
            </w:hyperlink>
          </w:p>
        </w:tc>
      </w:tr>
      <w:tr>
        <w:trPr>
          <w:cantSplit w:val="true"/>
        </w:trPr>
        <w:tc>
          <w:tcPr>
            <w:tcW w:type="dxa" w:w="79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5</w:t>
            </w:r>
          </w:p>
        </w:tc>
        <w:tc>
          <w:tcPr>
            <w:tcW w:type="dxa" w:w="172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Pregabalin</w:t>
            </w:r>
          </w:p>
        </w:tc>
        <w:tc>
          <w:tcPr>
            <w:tcW w:type="dxa" w:w="734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Pregabalin</w:t>
            </w:r>
            <w:r>
              <w:br/>
            </w:r>
            <w:hyperlink r:id="rId66">
              <w:r>
                <w:rPr>
                  <w:rFonts w:ascii="Liberation Sans" w:hAnsi="Liberation Sans"/>
                  <w:color w:val="1A5A96"/>
                  <w:u w:val="single"/>
                  <w:sz w:val="15"/>
                  <w:szCs w:val="15"/>
                </w:rPr>
                <w:t>community.patient.info/t/pregabalin/690666/2</w:t>
              </w:r>
            </w:hyperlink>
          </w:p>
        </w:tc>
      </w:tr>
      <w:tr>
        <w:trPr>
          <w:cantSplit w:val="true"/>
        </w:trPr>
        <w:tc>
          <w:tcPr>
            <w:tcW w:type="dxa" w:w="792"/>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6</w:t>
            </w:r>
          </w:p>
        </w:tc>
        <w:tc>
          <w:tcPr>
            <w:tcW w:type="dxa" w:w="172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Pregabalin</w:t>
            </w:r>
          </w:p>
        </w:tc>
        <w:tc>
          <w:tcPr>
            <w:tcW w:type="dxa" w:w="7344"/>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Pregabalin two months on advice needed</w:t>
            </w:r>
            <w:r>
              <w:br/>
            </w:r>
            <w:hyperlink r:id="rId67">
              <w:r>
                <w:rPr>
                  <w:rFonts w:ascii="Liberation Sans" w:hAnsi="Liberation Sans"/>
                  <w:color w:val="1A5A96"/>
                  <w:u w:val="single"/>
                  <w:sz w:val="15"/>
                  <w:szCs w:val="15"/>
                </w:rPr>
                <w:t>community.patient.info/t/pregabalin-2-months-on-it-so-far-advice-needed-and-my-background/656366/2</w:t>
              </w:r>
            </w:hyperlink>
          </w:p>
        </w:tc>
      </w:tr>
      <w:tr>
        <w:trPr>
          <w:cantSplit w:val="true"/>
        </w:trPr>
        <w:tc>
          <w:tcPr>
            <w:tcW w:type="dxa" w:w="79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7</w:t>
            </w:r>
          </w:p>
        </w:tc>
        <w:tc>
          <w:tcPr>
            <w:tcW w:type="dxa" w:w="172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Pregabalin</w:t>
            </w:r>
          </w:p>
        </w:tc>
        <w:tc>
          <w:tcPr>
            <w:tcW w:type="dxa" w:w="734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Pregabalin and gabapentin</w:t>
            </w:r>
            <w:r>
              <w:br/>
            </w:r>
            <w:hyperlink r:id="rId68">
              <w:r>
                <w:rPr>
                  <w:rFonts w:ascii="Liberation Sans" w:hAnsi="Liberation Sans"/>
                  <w:color w:val="1A5A96"/>
                  <w:u w:val="single"/>
                  <w:sz w:val="15"/>
                  <w:szCs w:val="15"/>
                </w:rPr>
                <w:t>community.patient.info/t/pregabalin-and-gabapentin/771300/2</w:t>
              </w:r>
            </w:hyperlink>
          </w:p>
        </w:tc>
      </w:tr>
      <w:tr>
        <w:trPr>
          <w:cantSplit w:val="true"/>
        </w:trPr>
        <w:tc>
          <w:tcPr>
            <w:tcW w:type="dxa" w:w="792"/>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8</w:t>
            </w:r>
          </w:p>
        </w:tc>
        <w:tc>
          <w:tcPr>
            <w:tcW w:type="dxa" w:w="172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Pregabalin</w:t>
            </w:r>
          </w:p>
        </w:tc>
        <w:tc>
          <w:tcPr>
            <w:tcW w:type="dxa" w:w="7344"/>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Losing the pregabalin weight</w:t>
            </w:r>
            <w:r>
              <w:br/>
            </w:r>
            <w:hyperlink r:id="rId69">
              <w:r>
                <w:rPr>
                  <w:rFonts w:ascii="Liberation Sans" w:hAnsi="Liberation Sans"/>
                  <w:color w:val="1A5A96"/>
                  <w:u w:val="single"/>
                  <w:sz w:val="15"/>
                  <w:szCs w:val="15"/>
                </w:rPr>
                <w:t>community.patient.info/t/losing-the-pregabalin-weight/738464/2</w:t>
              </w:r>
            </w:hyperlink>
          </w:p>
        </w:tc>
      </w:tr>
      <w:tr>
        <w:trPr>
          <w:cantSplit w:val="true"/>
        </w:trPr>
        <w:tc>
          <w:tcPr>
            <w:tcW w:type="dxa" w:w="79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9</w:t>
            </w:r>
          </w:p>
        </w:tc>
        <w:tc>
          <w:tcPr>
            <w:tcW w:type="dxa" w:w="172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Gabapentin</w:t>
            </w:r>
          </w:p>
        </w:tc>
        <w:tc>
          <w:tcPr>
            <w:tcW w:type="dxa" w:w="734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Gabapentin for foot neuropathy</w:t>
            </w:r>
            <w:r>
              <w:br/>
            </w:r>
            <w:hyperlink r:id="rId70">
              <w:r>
                <w:rPr>
                  <w:rFonts w:ascii="Liberation Sans" w:hAnsi="Liberation Sans"/>
                  <w:color w:val="1A5A96"/>
                  <w:u w:val="single"/>
                  <w:sz w:val="15"/>
                  <w:szCs w:val="15"/>
                </w:rPr>
                <w:t>community.patient.info/t/taking-gabapentin-for-neuropathy-in-feet-hardly-any-relief-now-having-muscle-and-joint-pain/642086/2</w:t>
              </w:r>
            </w:hyperlink>
          </w:p>
        </w:tc>
      </w:tr>
      <w:tr>
        <w:trPr>
          <w:cantSplit w:val="true"/>
        </w:trPr>
        <w:tc>
          <w:tcPr>
            <w:tcW w:type="dxa" w:w="792"/>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10</w:t>
            </w:r>
          </w:p>
        </w:tc>
        <w:tc>
          <w:tcPr>
            <w:tcW w:type="dxa" w:w="172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Gabapentin</w:t>
            </w:r>
          </w:p>
        </w:tc>
        <w:tc>
          <w:tcPr>
            <w:tcW w:type="dxa" w:w="7344"/>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Gabapentin and mirtazapine</w:t>
            </w:r>
            <w:r>
              <w:br/>
            </w:r>
            <w:hyperlink r:id="rId71">
              <w:r>
                <w:rPr>
                  <w:rFonts w:ascii="Liberation Sans" w:hAnsi="Liberation Sans"/>
                  <w:color w:val="1A5A96"/>
                  <w:u w:val="single"/>
                  <w:sz w:val="15"/>
                  <w:szCs w:val="15"/>
                </w:rPr>
                <w:t>community.patient.info/t/gabapentin-and-mirtazapine/510400/2</w:t>
              </w:r>
            </w:hyperlink>
          </w:p>
        </w:tc>
      </w:tr>
      <w:tr>
        <w:trPr>
          <w:cantSplit w:val="true"/>
        </w:trPr>
        <w:tc>
          <w:tcPr>
            <w:tcW w:type="dxa" w:w="79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11</w:t>
            </w:r>
          </w:p>
        </w:tc>
        <w:tc>
          <w:tcPr>
            <w:tcW w:type="dxa" w:w="172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Gabapentin</w:t>
            </w:r>
          </w:p>
        </w:tc>
        <w:tc>
          <w:tcPr>
            <w:tcW w:type="dxa" w:w="734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Gabapentin withdrawal continues</w:t>
            </w:r>
            <w:r>
              <w:br/>
            </w:r>
            <w:hyperlink r:id="rId72">
              <w:r>
                <w:rPr>
                  <w:rFonts w:ascii="Liberation Sans" w:hAnsi="Liberation Sans"/>
                  <w:color w:val="1A5A96"/>
                  <w:u w:val="single"/>
                  <w:sz w:val="15"/>
                  <w:szCs w:val="15"/>
                </w:rPr>
                <w:t>community.patient.info/t/gabapentin-withdrawal-horror-continues/789181/2</w:t>
              </w:r>
            </w:hyperlink>
          </w:p>
        </w:tc>
      </w:tr>
      <w:tr>
        <w:trPr>
          <w:cantSplit w:val="true"/>
        </w:trPr>
        <w:tc>
          <w:tcPr>
            <w:tcW w:type="dxa" w:w="792"/>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12</w:t>
            </w:r>
          </w:p>
        </w:tc>
        <w:tc>
          <w:tcPr>
            <w:tcW w:type="dxa" w:w="172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Gabapentin</w:t>
            </w:r>
          </w:p>
        </w:tc>
        <w:tc>
          <w:tcPr>
            <w:tcW w:type="dxa" w:w="7344"/>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Gabapentin for nerve pain</w:t>
            </w:r>
            <w:r>
              <w:br/>
            </w:r>
            <w:hyperlink r:id="rId73">
              <w:r>
                <w:rPr>
                  <w:rFonts w:ascii="Liberation Sans" w:hAnsi="Liberation Sans"/>
                  <w:color w:val="1A5A96"/>
                  <w:u w:val="single"/>
                  <w:sz w:val="15"/>
                  <w:szCs w:val="15"/>
                </w:rPr>
                <w:t>community.patient.info/t/gabapentin-for-genital-herpes-nerve-pain/690569/2</w:t>
              </w:r>
            </w:hyperlink>
          </w:p>
        </w:tc>
      </w:tr>
      <w:tr>
        <w:trPr>
          <w:cantSplit w:val="true"/>
        </w:trPr>
        <w:tc>
          <w:tcPr>
            <w:tcW w:type="dxa" w:w="79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13</w:t>
            </w:r>
          </w:p>
        </w:tc>
        <w:tc>
          <w:tcPr>
            <w:tcW w:type="dxa" w:w="172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Gabapentin</w:t>
            </w:r>
          </w:p>
        </w:tc>
        <w:tc>
          <w:tcPr>
            <w:tcW w:type="dxa" w:w="734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Gabapentin and the FDA</w:t>
            </w:r>
            <w:r>
              <w:br/>
            </w:r>
            <w:hyperlink r:id="rId74">
              <w:r>
                <w:rPr>
                  <w:rFonts w:ascii="Liberation Sans" w:hAnsi="Liberation Sans"/>
                  <w:color w:val="1A5A96"/>
                  <w:u w:val="single"/>
                  <w:sz w:val="15"/>
                  <w:szCs w:val="15"/>
                </w:rPr>
                <w:t>community.patient.info/t/gabapentin-what-the-fda-needs-to-know/649956/2</w:t>
              </w:r>
            </w:hyperlink>
          </w:p>
        </w:tc>
      </w:tr>
      <w:tr>
        <w:trPr>
          <w:cantSplit w:val="true"/>
        </w:trPr>
        <w:tc>
          <w:tcPr>
            <w:tcW w:type="dxa" w:w="792"/>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14</w:t>
            </w:r>
          </w:p>
        </w:tc>
        <w:tc>
          <w:tcPr>
            <w:tcW w:type="dxa" w:w="172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Codeine</w:t>
            </w:r>
          </w:p>
        </w:tc>
        <w:tc>
          <w:tcPr>
            <w:tcW w:type="dxa" w:w="7344"/>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Buprenorphine for codeine dependence</w:t>
            </w:r>
            <w:r>
              <w:br/>
            </w:r>
            <w:hyperlink r:id="rId75">
              <w:r>
                <w:rPr>
                  <w:rFonts w:ascii="Liberation Sans" w:hAnsi="Liberation Sans"/>
                  <w:color w:val="1A5A96"/>
                  <w:u w:val="single"/>
                  <w:sz w:val="15"/>
                  <w:szCs w:val="15"/>
                </w:rPr>
                <w:t>community.patient.info/t/buprenorphine-for-codeine-addiction/665416/2</w:t>
              </w:r>
            </w:hyperlink>
          </w:p>
        </w:tc>
      </w:tr>
      <w:tr>
        <w:trPr>
          <w:cantSplit w:val="true"/>
        </w:trPr>
        <w:tc>
          <w:tcPr>
            <w:tcW w:type="dxa" w:w="79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15</w:t>
            </w:r>
          </w:p>
        </w:tc>
        <w:tc>
          <w:tcPr>
            <w:tcW w:type="dxa" w:w="172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Codeine</w:t>
            </w:r>
          </w:p>
        </w:tc>
        <w:tc>
          <w:tcPr>
            <w:tcW w:type="dxa" w:w="734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Unexpected codeine withdrawal</w:t>
            </w:r>
            <w:r>
              <w:br/>
            </w:r>
            <w:hyperlink r:id="rId76">
              <w:r>
                <w:rPr>
                  <w:rFonts w:ascii="Liberation Sans" w:hAnsi="Liberation Sans"/>
                  <w:color w:val="1A5A96"/>
                  <w:u w:val="single"/>
                  <w:sz w:val="15"/>
                  <w:szCs w:val="15"/>
                </w:rPr>
                <w:t>community.patient.info/t/unexpected-codeine-withdrawals-please-need-some-advice/584793/2</w:t>
              </w:r>
            </w:hyperlink>
          </w:p>
        </w:tc>
      </w:tr>
      <w:tr>
        <w:trPr>
          <w:cantSplit w:val="true"/>
        </w:trPr>
        <w:tc>
          <w:tcPr>
            <w:tcW w:type="dxa" w:w="792"/>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16</w:t>
            </w:r>
          </w:p>
        </w:tc>
        <w:tc>
          <w:tcPr>
            <w:tcW w:type="dxa" w:w="172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Codeine</w:t>
            </w:r>
          </w:p>
        </w:tc>
        <w:tc>
          <w:tcPr>
            <w:tcW w:type="dxa" w:w="7344"/>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Help with codeine dependence</w:t>
            </w:r>
            <w:r>
              <w:br/>
            </w:r>
            <w:hyperlink r:id="rId77">
              <w:r>
                <w:rPr>
                  <w:rFonts w:ascii="Liberation Sans" w:hAnsi="Liberation Sans"/>
                  <w:color w:val="1A5A96"/>
                  <w:u w:val="single"/>
                  <w:sz w:val="15"/>
                  <w:szCs w:val="15"/>
                </w:rPr>
                <w:t>community.patient.info/t/need-help-with-codeine-addiction/618533/2</w:t>
              </w:r>
            </w:hyperlink>
          </w:p>
        </w:tc>
      </w:tr>
      <w:tr>
        <w:trPr>
          <w:cantSplit w:val="true"/>
        </w:trPr>
        <w:tc>
          <w:tcPr>
            <w:tcW w:type="dxa" w:w="79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17</w:t>
            </w:r>
          </w:p>
        </w:tc>
        <w:tc>
          <w:tcPr>
            <w:tcW w:type="dxa" w:w="172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Codeine</w:t>
            </w:r>
          </w:p>
        </w:tc>
        <w:tc>
          <w:tcPr>
            <w:tcW w:type="dxa" w:w="734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Codeine withdrawals</w:t>
            </w:r>
            <w:r>
              <w:br/>
            </w:r>
            <w:hyperlink r:id="rId78">
              <w:r>
                <w:rPr>
                  <w:rFonts w:ascii="Liberation Sans" w:hAnsi="Liberation Sans"/>
                  <w:color w:val="1A5A96"/>
                  <w:u w:val="single"/>
                  <w:sz w:val="15"/>
                  <w:szCs w:val="15"/>
                </w:rPr>
                <w:t>community.patient.info/t/codeine-withdrawals/504776/2</w:t>
              </w:r>
            </w:hyperlink>
          </w:p>
        </w:tc>
      </w:tr>
      <w:tr>
        <w:trPr>
          <w:cantSplit w:val="true"/>
        </w:trPr>
        <w:tc>
          <w:tcPr>
            <w:tcW w:type="dxa" w:w="792"/>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18</w:t>
            </w:r>
          </w:p>
        </w:tc>
        <w:tc>
          <w:tcPr>
            <w:tcW w:type="dxa" w:w="172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Codeine</w:t>
            </w:r>
          </w:p>
        </w:tc>
        <w:tc>
          <w:tcPr>
            <w:tcW w:type="dxa" w:w="7344"/>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Nurofen Plus and codeine dependence</w:t>
            </w:r>
            <w:r>
              <w:br/>
            </w:r>
            <w:hyperlink r:id="rId79">
              <w:r>
                <w:rPr>
                  <w:rFonts w:ascii="Liberation Sans" w:hAnsi="Liberation Sans"/>
                  <w:color w:val="1A5A96"/>
                  <w:u w:val="single"/>
                  <w:sz w:val="15"/>
                  <w:szCs w:val="15"/>
                </w:rPr>
                <w:t>community.patient.info/t/nurofen-codeine-addiction/528192/2</w:t>
              </w:r>
            </w:hyperlink>
          </w:p>
        </w:tc>
      </w:tr>
      <w:tr>
        <w:trPr>
          <w:cantSplit w:val="true"/>
        </w:trPr>
        <w:tc>
          <w:tcPr>
            <w:tcW w:type="dxa" w:w="79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19</w:t>
            </w:r>
          </w:p>
        </w:tc>
        <w:tc>
          <w:tcPr>
            <w:tcW w:type="dxa" w:w="172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Ibuprofen</w:t>
            </w:r>
          </w:p>
        </w:tc>
        <w:tc>
          <w:tcPr>
            <w:tcW w:type="dxa" w:w="734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5"/>
              </w:rPr>
              <w:t>Ibuprofen tablets and gel</w:t>
            </w:r>
            <w:r>
              <w:br/>
            </w:r>
            <w:hyperlink r:id="rId80">
              <w:r>
                <w:rPr>
                  <w:rFonts w:ascii="Liberation Sans" w:hAnsi="Liberation Sans"/>
                  <w:color w:val="1A5A96"/>
                  <w:u w:val="single"/>
                  <w:sz w:val="15"/>
                  <w:szCs w:val="15"/>
                </w:rPr>
                <w:t>community.patient.info/t/ibuprofen-tablets-and-ibuprofen-gel/548680/2</w:t>
              </w:r>
            </w:hyperlink>
          </w:p>
        </w:tc>
      </w:tr>
      <w:tr>
        <w:trPr>
          <w:cantSplit w:val="true"/>
        </w:trPr>
        <w:tc>
          <w:tcPr>
            <w:tcW w:type="dxa" w:w="792"/>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20</w:t>
            </w:r>
          </w:p>
        </w:tc>
        <w:tc>
          <w:tcPr>
            <w:tcW w:type="dxa" w:w="172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Ibuprofen</w:t>
            </w:r>
          </w:p>
        </w:tc>
        <w:tc>
          <w:tcPr>
            <w:tcW w:type="dxa" w:w="7344"/>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5"/>
              </w:rPr>
              <w:t>Side effects of ibuprofen gel</w:t>
            </w:r>
            <w:r>
              <w:br/>
            </w:r>
            <w:hyperlink r:id="rId81">
              <w:r>
                <w:rPr>
                  <w:rFonts w:ascii="Liberation Sans" w:hAnsi="Liberation Sans"/>
                  <w:color w:val="1A5A96"/>
                  <w:u w:val="single"/>
                  <w:sz w:val="15"/>
                  <w:szCs w:val="15"/>
                </w:rPr>
                <w:t>community.patient.info/t/sides-effects-of-ibuprofen-gel/553023/2</w:t>
              </w:r>
            </w:hyperlink>
          </w:p>
        </w:tc>
      </w:tr>
    </w:tbl>
    <w:p>
      <w:pPr>
        <w:keepLines w:val="0"/>
        <w:widowControl/>
        <w:spacing w:before="0" w:after="40" w:line="278" w:lineRule="auto"/>
      </w:pPr>
    </w:p>
    <w:p>
      <w:pPr>
        <w:keepLines w:val="0"/>
        <w:widowControl/>
        <w:spacing w:before="0" w:after="140" w:line="278" w:lineRule="auto"/>
      </w:pPr>
      <w:r>
        <w:rPr>
          <w:rFonts w:ascii="Liberation Sans" w:hAnsi="Liberation Sans"/>
        </w:rPr>
        <w:t>A stronger evidence trail begins when a report is dated, the product and manufacturer are identified, the medicine list and time course are recorded, an adverse event is reported through Yellow Card, and relevant records or test results are preserved. Even then, causation may remain uncertain. The purpose is to make investigation possible.</w:t>
      </w:r>
    </w:p>
    <w:p>
      <w:pPr>
        <w:pStyle w:val="Heading1"/>
        <w:keepNext/>
        <w:keepLines w:val="0"/>
        <w:pageBreakBefore/>
        <w:widowControl/>
        <w:spacing w:before="0" w:after="140" w:line="278" w:lineRule="auto"/>
      </w:pPr>
      <w:r>
        <w:rPr>
          <w:rFonts w:ascii="Liberation Sans" w:hAnsi="Liberation Sans"/>
        </w:rPr>
        <w:t>Appendix B Animal use of bioactive substances</w:t>
      </w:r>
    </w:p>
    <w:p>
      <w:pPr>
        <w:keepLines w:val="0"/>
        <w:widowControl/>
        <w:spacing w:before="0" w:after="140" w:line="278" w:lineRule="auto"/>
      </w:pPr>
      <w:r>
        <w:rPr>
          <w:rFonts w:ascii="Liberation Sans" w:hAnsi="Liberation Sans"/>
        </w:rPr>
        <w:t>Drug related behaviour is not uniquely human. Animals encounter and sometimes select biologically active substances. The examples below involve self medication, parasite defence or exposure to naturally fermented foods. They do not prove that animals endorse human recreational drug use, and they do not establish that domestic cats safely seek cannabis. Veterinary reports of cannabis poisoning are a reason to keep it away from pets. The narrower point is that biology contains tradeoffs in which a toxic compound can have a useful effect in a particular context.</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293"/>
        <w:gridCol w:w="3293"/>
        <w:gridCol w:w="3293"/>
      </w:tblGrid>
      <w:tr>
        <w:trPr>
          <w:tblHeader w:val="true"/>
          <w:cantSplit w:val="true"/>
        </w:trPr>
        <w:tc>
          <w:tcPr>
            <w:tcW w:type="dxa" w:w="1944"/>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6"/>
              </w:rPr>
              <w:t>Animal</w:t>
            </w:r>
          </w:p>
        </w:tc>
        <w:tc>
          <w:tcPr>
            <w:tcW w:type="dxa" w:w="3888"/>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6"/>
              </w:rPr>
              <w:t>Observed behaviour</w:t>
            </w:r>
          </w:p>
        </w:tc>
        <w:tc>
          <w:tcPr>
            <w:tcW w:type="dxa" w:w="4032"/>
            <w:vAlign w:val="center"/>
            <w:tcMar>
              <w:top w:w="90" w:type="dxa"/>
              <w:start w:w="105" w:type="dxa"/>
              <w:bottom w:w="90" w:type="dxa"/>
              <w:end w:w="105" w:type="dxa"/>
            </w:tcMar>
            <w:shd w:fill="183A5A"/>
          </w:tcPr>
          <w:p>
            <w:pPr>
              <w:keepLines w:val="0"/>
              <w:spacing w:before="0" w:after="0" w:line="252" w:lineRule="auto"/>
              <w:jc w:val="left"/>
            </w:pPr>
            <w:r>
              <w:rPr>
                <w:rFonts w:ascii="Liberation Sans" w:hAnsi="Liberation Sans"/>
                <w:b/>
                <w:color w:val="FFFFFF"/>
                <w:sz w:val="16"/>
              </w:rPr>
              <w:t>What the evidence supports</w:t>
            </w:r>
          </w:p>
        </w:tc>
      </w:tr>
      <w:tr>
        <w:trPr>
          <w:cantSplit w:val="true"/>
        </w:trPr>
        <w:tc>
          <w:tcPr>
            <w:tcW w:type="dxa" w:w="194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Domestic cats</w:t>
            </w:r>
          </w:p>
        </w:tc>
        <w:tc>
          <w:tcPr>
            <w:tcW w:type="dxa" w:w="388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Rub and roll on catnip or silver vine iridoids</w:t>
            </w:r>
          </w:p>
        </w:tc>
        <w:tc>
          <w:tcPr>
            <w:tcW w:type="dxa" w:w="403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Experiments found transfer to fur and mosquito repellence. [38]</w:t>
            </w:r>
          </w:p>
        </w:tc>
      </w:tr>
      <w:tr>
        <w:trPr>
          <w:cantSplit w:val="true"/>
        </w:trPr>
        <w:tc>
          <w:tcPr>
            <w:tcW w:type="dxa" w:w="1944"/>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Woolly bear caterpillars</w:t>
            </w:r>
          </w:p>
        </w:tc>
        <w:tc>
          <w:tcPr>
            <w:tcW w:type="dxa" w:w="388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Increase ingestion of pyrrolizidine alkaloids when parasitised</w:t>
            </w:r>
          </w:p>
        </w:tc>
        <w:tc>
          <w:tcPr>
            <w:tcW w:type="dxa" w:w="4032"/>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The plant toxins improved survival of parasitised caterpillars but harmed unparasitised ones. [39]</w:t>
            </w:r>
          </w:p>
        </w:tc>
      </w:tr>
      <w:tr>
        <w:trPr>
          <w:cantSplit w:val="true"/>
        </w:trPr>
        <w:tc>
          <w:tcPr>
            <w:tcW w:type="dxa" w:w="194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Fruit fly larvae</w:t>
            </w:r>
          </w:p>
        </w:tc>
        <w:tc>
          <w:tcPr>
            <w:tcW w:type="dxa" w:w="388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Consume ethanol in response to parasitoid infection</w:t>
            </w:r>
          </w:p>
        </w:tc>
        <w:tc>
          <w:tcPr>
            <w:tcW w:type="dxa" w:w="403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Experimental work found ethanol could protect larvae against blood borne parasitoids. [40]</w:t>
            </w:r>
          </w:p>
        </w:tc>
      </w:tr>
      <w:tr>
        <w:trPr>
          <w:cantSplit w:val="true"/>
        </w:trPr>
        <w:tc>
          <w:tcPr>
            <w:tcW w:type="dxa" w:w="1944"/>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Monarch butterflies</w:t>
            </w:r>
          </w:p>
        </w:tc>
        <w:tc>
          <w:tcPr>
            <w:tcW w:type="dxa" w:w="388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Use milkweed with defensive cardenolides</w:t>
            </w:r>
          </w:p>
        </w:tc>
        <w:tc>
          <w:tcPr>
            <w:tcW w:type="dxa" w:w="4032"/>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Experiments and field work link some milkweeds with reduced parasite burden and maternal selection. [41]</w:t>
            </w:r>
          </w:p>
        </w:tc>
      </w:tr>
      <w:tr>
        <w:trPr>
          <w:cantSplit w:val="true"/>
        </w:trPr>
        <w:tc>
          <w:tcPr>
            <w:tcW w:type="dxa" w:w="194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Chimpanzees</w:t>
            </w:r>
          </w:p>
        </w:tc>
        <w:tc>
          <w:tcPr>
            <w:tcW w:type="dxa" w:w="388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Swallow rough leaves and chew bitter plant material</w:t>
            </w:r>
          </w:p>
        </w:tc>
        <w:tc>
          <w:tcPr>
            <w:tcW w:type="dxa" w:w="403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Observed behaviours are associated with intestinal parasite removal or bioactive compounds. [39, 41]</w:t>
            </w:r>
          </w:p>
        </w:tc>
      </w:tr>
      <w:tr>
        <w:trPr>
          <w:cantSplit w:val="true"/>
        </w:trPr>
        <w:tc>
          <w:tcPr>
            <w:tcW w:type="dxa" w:w="1944"/>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Sumatran orangutan</w:t>
            </w:r>
          </w:p>
        </w:tc>
        <w:tc>
          <w:tcPr>
            <w:tcW w:type="dxa" w:w="388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Applied chewed medicinal plant to a facial wound</w:t>
            </w:r>
          </w:p>
        </w:tc>
        <w:tc>
          <w:tcPr>
            <w:tcW w:type="dxa" w:w="4032"/>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A 2024 case report documented targeted application followed by healing. [42]</w:t>
            </w:r>
          </w:p>
        </w:tc>
      </w:tr>
      <w:tr>
        <w:trPr>
          <w:cantSplit w:val="true"/>
        </w:trPr>
        <w:tc>
          <w:tcPr>
            <w:tcW w:type="dxa" w:w="194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House finches and sparrows</w:t>
            </w:r>
          </w:p>
        </w:tc>
        <w:tc>
          <w:tcPr>
            <w:tcW w:type="dxa" w:w="388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Add cigarette fibres containing nicotine to nests</w:t>
            </w:r>
          </w:p>
        </w:tc>
        <w:tc>
          <w:tcPr>
            <w:tcW w:type="dxa" w:w="403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Experiments reported reduced ectoparasites, although toxic exposure also carries costs. [41]</w:t>
            </w:r>
          </w:p>
        </w:tc>
      </w:tr>
      <w:tr>
        <w:trPr>
          <w:cantSplit w:val="true"/>
        </w:trPr>
        <w:tc>
          <w:tcPr>
            <w:tcW w:type="dxa" w:w="1944"/>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Honeybees</w:t>
            </w:r>
          </w:p>
        </w:tc>
        <w:tc>
          <w:tcPr>
            <w:tcW w:type="dxa" w:w="388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Collect and incorporate antimicrobial plant resin as propolis</w:t>
            </w:r>
          </w:p>
        </w:tc>
        <w:tc>
          <w:tcPr>
            <w:tcW w:type="dxa" w:w="4032"/>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Colonies increase resin collection under some parasite or pathogen challenges. [41]</w:t>
            </w:r>
          </w:p>
        </w:tc>
      </w:tr>
      <w:tr>
        <w:trPr>
          <w:cantSplit w:val="true"/>
        </w:trPr>
        <w:tc>
          <w:tcPr>
            <w:tcW w:type="dxa" w:w="1944"/>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Wood ants</w:t>
            </w:r>
          </w:p>
        </w:tc>
        <w:tc>
          <w:tcPr>
            <w:tcW w:type="dxa" w:w="3888"/>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Bring antimicrobial resin into nests</w:t>
            </w:r>
          </w:p>
        </w:tc>
        <w:tc>
          <w:tcPr>
            <w:tcW w:type="dxa" w:w="4032"/>
            <w:vAlign w:val="center"/>
            <w:tcMar>
              <w:top w:w="90" w:type="dxa"/>
              <w:start w:w="105" w:type="dxa"/>
              <w:bottom w:w="90" w:type="dxa"/>
              <w:end w:w="105" w:type="dxa"/>
            </w:tcMar>
            <w:shd w:fill="FFFFFF"/>
          </w:tcPr>
          <w:p>
            <w:pPr>
              <w:keepLines w:val="0"/>
              <w:spacing w:before="0" w:after="0" w:line="259" w:lineRule="auto"/>
            </w:pPr>
            <w:r>
              <w:rPr>
                <w:rFonts w:ascii="Liberation Sans" w:hAnsi="Liberation Sans"/>
                <w:sz w:val="16"/>
              </w:rPr>
              <w:t>Experimental literature describes colony level protection against pathogens. [39, 41]</w:t>
            </w:r>
          </w:p>
        </w:tc>
      </w:tr>
      <w:tr>
        <w:trPr>
          <w:cantSplit w:val="true"/>
        </w:trPr>
        <w:tc>
          <w:tcPr>
            <w:tcW w:type="dxa" w:w="1944"/>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Grazing livestock</w:t>
            </w:r>
          </w:p>
        </w:tc>
        <w:tc>
          <w:tcPr>
            <w:tcW w:type="dxa" w:w="3888"/>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Select tannin rich plants or other compounds under parasite pressure</w:t>
            </w:r>
          </w:p>
        </w:tc>
        <w:tc>
          <w:tcPr>
            <w:tcW w:type="dxa" w:w="4032"/>
            <w:vAlign w:val="center"/>
            <w:tcMar>
              <w:top w:w="90" w:type="dxa"/>
              <w:start w:w="105" w:type="dxa"/>
              <w:bottom w:w="90" w:type="dxa"/>
              <w:end w:w="105" w:type="dxa"/>
            </w:tcMar>
            <w:shd w:fill="EAF1F7"/>
          </w:tcPr>
          <w:p>
            <w:pPr>
              <w:keepLines w:val="0"/>
              <w:spacing w:before="0" w:after="0" w:line="259" w:lineRule="auto"/>
            </w:pPr>
            <w:r>
              <w:rPr>
                <w:rFonts w:ascii="Liberation Sans" w:hAnsi="Liberation Sans"/>
                <w:sz w:val="16"/>
              </w:rPr>
              <w:t>Controlled and field observations support context dependent self selection. [39, 41]</w:t>
            </w:r>
          </w:p>
        </w:tc>
      </w:tr>
    </w:tbl>
    <w:p>
      <w:pPr>
        <w:keepLines w:val="0"/>
        <w:widowControl/>
        <w:spacing w:before="0" w:after="40" w:line="278" w:lineRule="auto"/>
      </w:pPr>
    </w:p>
    <w:p>
      <w:pPr>
        <w:keepLines w:val="0"/>
        <w:widowControl/>
        <w:spacing w:before="0" w:after="140" w:line="278" w:lineRule="auto"/>
      </w:pPr>
      <w:r>
        <w:rPr>
          <w:rFonts w:ascii="Liberation Sans" w:hAnsi="Liberation Sans"/>
        </w:rPr>
        <w:t>The caterpillar result is particularly instructive. A toxin improved survival when parasites were present and reduced survival when they were absent. [39] The effect of a drug cannot be separated from dose, condition and context. That lesson supports careful human research, not automatic imitation of animals.</w:t>
      </w:r>
    </w:p>
    <w:sectPr w:rsidR="00FC693F" w:rsidRPr="0006063C" w:rsidSect="00034616">
      <w:headerReference w:type="default" r:id="rId9"/>
      <w:footerReference w:type="default" r:id="rId10"/>
      <w:pgSz w:w="12240" w:h="15840"/>
      <w:pgMar w:top="1123" w:right="1181" w:bottom="1008" w:left="1181" w:header="461"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iberation Sans" w:hAnsi="Liberation Sans"/>
        <w:color w:val="666666"/>
        <w:sz w:val="17"/>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Liberation Sans" w:hAnsi="Liberation Sans"/>
        <w:color w:val="666666"/>
        <w:sz w:val="16"/>
      </w:rPr>
      <w:t>Drug Knowledge Body Autonomy and Patient Choice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8" w:lineRule="auto"/>
    </w:pPr>
    <w:rPr>
      <w:rFonts w:ascii="Liberation Sans" w:hAnsi="Liberation San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Liberation Sans" w:hAnsi="Liberation Sans"/>
      <w:b/>
      <w:bCs/>
      <w:color w:val="000000"/>
      <w:sz w:val="33"/>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Liberation Sans" w:hAnsi="Liberation San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Liberation Sans" w:hAnsi="Liberation Sans"/>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Liberation Sans" w:hAnsi="Liberation Sans"/>
      <w:sz w:val="20"/>
    </w:rPr>
  </w:style>
  <w:style w:type="paragraph" w:styleId="ListBullet2">
    <w:name w:val="List Bullet 2"/>
    <w:basedOn w:val="Normal"/>
    <w:uiPriority w:val="99"/>
    <w:unhideWhenUsed/>
    <w:rsid w:val="00326F90"/>
    <w:pPr>
      <w:numPr>
        <w:numId w:val="2"/>
      </w:numPr>
      <w:contextualSpacing/>
    </w:pPr>
    <w:rPr>
      <w:rFonts w:ascii="Liberation Sans" w:hAnsi="Liberation Sans"/>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Liberation Sans" w:hAnsi="Liberation Sans"/>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erowid.org/" TargetMode="External"/><Relationship Id="rId12" Type="http://schemas.openxmlformats.org/officeDocument/2006/relationships/hyperlink" Target="https://www.erowid.org/experiences/" TargetMode="External"/><Relationship Id="rId13" Type="http://schemas.openxmlformats.org/officeDocument/2006/relationships/hyperlink" Target="https://www.erowid.org/chemicals/" TargetMode="External"/><Relationship Id="rId14" Type="http://schemas.openxmlformats.org/officeDocument/2006/relationships/hyperlink" Target="https://psychonautwiki.org/" TargetMode="External"/><Relationship Id="rId15" Type="http://schemas.openxmlformats.org/officeDocument/2006/relationships/hyperlink" Target="https://www.bluelight.org/community/" TargetMode="External"/><Relationship Id="rId16" Type="http://schemas.openxmlformats.org/officeDocument/2006/relationships/hyperlink" Target="https://drugs-forum.com/" TargetMode="External"/><Relationship Id="rId17" Type="http://schemas.openxmlformats.org/officeDocument/2006/relationships/hyperlink" Target="https://tripsit.me/" TargetMode="External"/><Relationship Id="rId18" Type="http://schemas.openxmlformats.org/officeDocument/2006/relationships/hyperlink" Target="https://wedinos.wales/" TargetMode="External"/><Relationship Id="rId19" Type="http://schemas.openxmlformats.org/officeDocument/2006/relationships/hyperlink" Target="https://www.release.org.uk/" TargetMode="External"/><Relationship Id="rId20" Type="http://schemas.openxmlformats.org/officeDocument/2006/relationships/hyperlink" Target="https://transformdrugs.org/" TargetMode="External"/><Relationship Id="rId21" Type="http://schemas.openxmlformats.org/officeDocument/2006/relationships/hyperlink" Target="https://www.drugscience.org.uk/" TargetMode="External"/><Relationship Id="rId22" Type="http://schemas.openxmlformats.org/officeDocument/2006/relationships/hyperlink" Target="https://community.patient.info/" TargetMode="External"/><Relationship Id="rId23" Type="http://schemas.openxmlformats.org/officeDocument/2006/relationships/hyperlink" Target="https://www.reddit.com/r/ParamedicsUK/" TargetMode="External"/><Relationship Id="rId24" Type="http://schemas.openxmlformats.org/officeDocument/2006/relationships/hyperlink" Target="https://www.judiciary.uk/prevention-of-future-death-reports/" TargetMode="External"/><Relationship Id="rId25" Type="http://schemas.openxmlformats.org/officeDocument/2006/relationships/hyperlink" Target="https://yellowcard.mhra.gov.uk/" TargetMode="External"/><Relationship Id="rId26" Type="http://schemas.openxmlformats.org/officeDocument/2006/relationships/hyperlink" Target="https://www.nhs.uk/tests-and-treatments/consent-to-treatment/" TargetMode="External"/><Relationship Id="rId27" Type="http://schemas.openxmlformats.org/officeDocument/2006/relationships/hyperlink" Target="https://www.gmc-uk.org/professional-standards/the-professional-standards/decision-making-and-consent" TargetMode="External"/><Relationship Id="rId28" Type="http://schemas.openxmlformats.org/officeDocument/2006/relationships/hyperlink" Target="https://www.gov.uk/government/publications/the-nhs-constitution-for-england/the-nhs-constitution-for-england" TargetMode="External"/><Relationship Id="rId29" Type="http://schemas.openxmlformats.org/officeDocument/2006/relationships/hyperlink" Target="https://www.gov.uk/government/publications/prescribed-medicines-review-report/prescribed-medicines-review-summary" TargetMode="External"/><Relationship Id="rId30" Type="http://schemas.openxmlformats.org/officeDocument/2006/relationships/hyperlink" Target="https://www.gov.uk/drug-safety-update/improving-information-supplied-with-gabapentinoids-pregabalin-slash-gabapentin-benzodiazepines-and-z-drugs" TargetMode="External"/><Relationship Id="rId31" Type="http://schemas.openxmlformats.org/officeDocument/2006/relationships/hyperlink" Target="https://www.nhs.uk/medicines/codeine/" TargetMode="External"/><Relationship Id="rId32" Type="http://schemas.openxmlformats.org/officeDocument/2006/relationships/hyperlink" Target="https://www.nhs.uk/medicines/naproxen/" TargetMode="External"/><Relationship Id="rId33" Type="http://schemas.openxmlformats.org/officeDocument/2006/relationships/hyperlink" Target="https://www.nhs.uk/medicines/ibuprofen-for-adults/" TargetMode="External"/><Relationship Id="rId34" Type="http://schemas.openxmlformats.org/officeDocument/2006/relationships/hyperlink" Target="https://www.gov.uk/drug-safety-update/pregabalin-lyrica-reports-of-severe-respiratory-depression" TargetMode="External"/><Relationship Id="rId35" Type="http://schemas.openxmlformats.org/officeDocument/2006/relationships/hyperlink" Target="https://www.nhs.uk/medicines/pregabalin/about-pregabalin/" TargetMode="External"/><Relationship Id="rId36" Type="http://schemas.openxmlformats.org/officeDocument/2006/relationships/hyperlink" Target="https://commonslibrary.parliament.uk/research-briefings/cbp-10326/" TargetMode="External"/><Relationship Id="rId37" Type="http://schemas.openxmlformats.org/officeDocument/2006/relationships/hyperlink" Target="https://commonslibrary.parliament.uk/how-are-medicines-prices-set-in-the-uk/" TargetMode="External"/><Relationship Id="rId38" Type="http://schemas.openxmlformats.org/officeDocument/2006/relationships/hyperlink" Target="https://www.nhsbsa.nhs.uk/pharmacies-gp-practices-and-appliance-contractors/drug-tariff" TargetMode="External"/><Relationship Id="rId39" Type="http://schemas.openxmlformats.org/officeDocument/2006/relationships/hyperlink" Target="https://www.gov.uk/guidance/apply-for-manufacturer-or-wholesaler-of-medicines-licences" TargetMode="External"/><Relationship Id="rId40" Type="http://schemas.openxmlformats.org/officeDocument/2006/relationships/hyperlink" Target="https://sps.nhs.uk/articles/prescribing-by-generic-or-brand-name/" TargetMode="External"/><Relationship Id="rId41" Type="http://schemas.openxmlformats.org/officeDocument/2006/relationships/hyperlink" Target="https://www.nhs.uk/medicines/medical-cannabis/" TargetMode="External"/><Relationship Id="rId42" Type="http://schemas.openxmlformats.org/officeDocument/2006/relationships/hyperlink" Target="https://www.nice.org.uk/guidance/ng144" TargetMode="External"/><Relationship Id="rId43" Type="http://schemas.openxmlformats.org/officeDocument/2006/relationships/hyperlink" Target="https://www.nice.org.uk/guidance/ta854" TargetMode="External"/><Relationship Id="rId44" Type="http://schemas.openxmlformats.org/officeDocument/2006/relationships/hyperlink" Target="https://www.theguardian.com/society/2026/mar/31/medicinal-cannabis-private-clinics-oliver-robinson-death" TargetMode="External"/><Relationship Id="rId45" Type="http://schemas.openxmlformats.org/officeDocument/2006/relationships/hyperlink" Target="https://www.theguardian.com/society/2025/jan/10/all-eyes-are-on-glasgow-uk-first-legal-drug-consumption-room-ready-open" TargetMode="External"/><Relationship Id="rId46" Type="http://schemas.openxmlformats.org/officeDocument/2006/relationships/hyperlink" Target="https://doi.org/10.1016/j.amepre.2021.04.017" TargetMode="External"/><Relationship Id="rId47" Type="http://schemas.openxmlformats.org/officeDocument/2006/relationships/hyperlink" Target="https://www.reddit.com/r/Paramedics/" TargetMode="External"/><Relationship Id="rId48" Type="http://schemas.openxmlformats.org/officeDocument/2006/relationships/hyperlink" Target="https://pmc.ncbi.nlm.nih.gov/articles/PMC7817105/" TargetMode="External"/><Relationship Id="rId49" Type="http://schemas.openxmlformats.org/officeDocument/2006/relationships/hyperlink" Target="https://journals.plos.org/plosone/article?id=10.1371/journal.pone.0004796" TargetMode="External"/><Relationship Id="rId50" Type="http://schemas.openxmlformats.org/officeDocument/2006/relationships/hyperlink" Target="https://doi.org/10.1016/j.cub.2012.01.045" TargetMode="External"/><Relationship Id="rId51" Type="http://schemas.openxmlformats.org/officeDocument/2006/relationships/hyperlink" Target="https://www.theguardian.com/science/2025/mar/25/medical-secrets-wildlife-wisdom" TargetMode="External"/><Relationship Id="rId52" Type="http://schemas.openxmlformats.org/officeDocument/2006/relationships/hyperlink" Target="https://www.nature.com/articles/s41598-024-58988-7" TargetMode="External"/><Relationship Id="rId53" Type="http://schemas.openxmlformats.org/officeDocument/2006/relationships/hyperlink" Target="https://www.ons.gov.uk/peoplepopulationandcommunity/crimeandjustice/datasets/crimeinenglandandwalesappendixtables" TargetMode="External"/><Relationship Id="rId54" Type="http://schemas.openxmlformats.org/officeDocument/2006/relationships/hyperlink" Target="https://www.gov.uk/government/statistics/stop-and-search-arrests-and-mental-health-detentions-march-2025/police-powers-and-procedures-stop-and-search-arrests-and-mental-health-detentions-england-and-wales-year-ending-31-march-2025" TargetMode="External"/><Relationship Id="rId55" Type="http://schemas.openxmlformats.org/officeDocument/2006/relationships/hyperlink" Target="https://www.gov.uk/government/publications/review-of-drugs-phase-one-report/review-of-drugs-summary" TargetMode="External"/><Relationship Id="rId56" Type="http://schemas.openxmlformats.org/officeDocument/2006/relationships/hyperlink" Target="https://www.gov.uk/government/publications/from-harm-to-hope-a-10-year-drugs-plan-to-cut-crime-and-save-lives/from-harm-to-hope-a-10-year-drugs-plan-to-cut-crime-and-save-lives" TargetMode="External"/><Relationship Id="rId57" Type="http://schemas.openxmlformats.org/officeDocument/2006/relationships/hyperlink" Target="https://www.gov.uk/government/statistics/offender-management-statistics-quarterly-january-to-march-2026/offender-management-statistics-quarterly-january-to-march-2026" TargetMode="External"/><Relationship Id="rId58" Type="http://schemas.openxmlformats.org/officeDocument/2006/relationships/hyperlink" Target="https://www.gov.uk/government/publications/prison-performance-data-2023-to-2024" TargetMode="External"/><Relationship Id="rId59" Type="http://schemas.openxmlformats.org/officeDocument/2006/relationships/hyperlink" Target="https://www.gmc-uk.org/professional-standards/the-professional-standards/confidentiality/disclosing-patients-personal-information-a-framework" TargetMode="External"/><Relationship Id="rId60" Type="http://schemas.openxmlformats.org/officeDocument/2006/relationships/hyperlink" Target="https://www.gov.uk/drug-driving-law" TargetMode="External"/><Relationship Id="rId61" Type="http://schemas.openxmlformats.org/officeDocument/2006/relationships/hyperlink" Target="https://www.gov.uk/government/publications/controlled-drugs-list--2/list-of-most-commonly-encountered-drugs-currently-controlled-under-the-misuse-of-drugs-legislation" TargetMode="External"/><Relationship Id="rId62" Type="http://schemas.openxmlformats.org/officeDocument/2006/relationships/hyperlink" Target="https://community.patient.info/t/naproxen-500mg/671872/2" TargetMode="External"/><Relationship Id="rId63" Type="http://schemas.openxmlformats.org/officeDocument/2006/relationships/hyperlink" Target="https://community.patient.info/t/naproxen-side-effects/532326/2" TargetMode="External"/><Relationship Id="rId64" Type="http://schemas.openxmlformats.org/officeDocument/2006/relationships/hyperlink" Target="https://community.patient.info/t/naproxen-messed-up-my-stomach/619331/2" TargetMode="External"/><Relationship Id="rId65" Type="http://schemas.openxmlformats.org/officeDocument/2006/relationships/hyperlink" Target="https://community.patient.info/t/genric-pregabalin-feels-very-different-to-lyrica/680399/2" TargetMode="External"/><Relationship Id="rId66" Type="http://schemas.openxmlformats.org/officeDocument/2006/relationships/hyperlink" Target="https://community.patient.info/t/pregabalin/690666/2" TargetMode="External"/><Relationship Id="rId67" Type="http://schemas.openxmlformats.org/officeDocument/2006/relationships/hyperlink" Target="https://community.patient.info/t/pregabalin-2-months-on-it-so-far-advice-needed-and-my-background/656366/2" TargetMode="External"/><Relationship Id="rId68" Type="http://schemas.openxmlformats.org/officeDocument/2006/relationships/hyperlink" Target="https://community.patient.info/t/pregabalin-and-gabapentin/771300/2" TargetMode="External"/><Relationship Id="rId69" Type="http://schemas.openxmlformats.org/officeDocument/2006/relationships/hyperlink" Target="https://community.patient.info/t/losing-the-pregabalin-weight/738464/2" TargetMode="External"/><Relationship Id="rId70" Type="http://schemas.openxmlformats.org/officeDocument/2006/relationships/hyperlink" Target="https://community.patient.info/t/taking-gabapentin-for-neuropathy-in-feet-hardly-any-relief-now-having-muscle-and-joint-pain/642086/2" TargetMode="External"/><Relationship Id="rId71" Type="http://schemas.openxmlformats.org/officeDocument/2006/relationships/hyperlink" Target="https://community.patient.info/t/gabapentin-and-mirtazapine/510400/2" TargetMode="External"/><Relationship Id="rId72" Type="http://schemas.openxmlformats.org/officeDocument/2006/relationships/hyperlink" Target="https://community.patient.info/t/gabapentin-withdrawal-horror-continues/789181/2" TargetMode="External"/><Relationship Id="rId73" Type="http://schemas.openxmlformats.org/officeDocument/2006/relationships/hyperlink" Target="https://community.patient.info/t/gabapentin-for-genital-herpes-nerve-pain/690569/2" TargetMode="External"/><Relationship Id="rId74" Type="http://schemas.openxmlformats.org/officeDocument/2006/relationships/hyperlink" Target="https://community.patient.info/t/gabapentin-what-the-fda-needs-to-know/649956/2" TargetMode="External"/><Relationship Id="rId75" Type="http://schemas.openxmlformats.org/officeDocument/2006/relationships/hyperlink" Target="https://community.patient.info/t/buprenorphine-for-codeine-addiction/665416/2" TargetMode="External"/><Relationship Id="rId76" Type="http://schemas.openxmlformats.org/officeDocument/2006/relationships/hyperlink" Target="https://community.patient.info/t/unexpected-codeine-withdrawals-please-need-some-advice/584793/2" TargetMode="External"/><Relationship Id="rId77" Type="http://schemas.openxmlformats.org/officeDocument/2006/relationships/hyperlink" Target="https://community.patient.info/t/need-help-with-codeine-addiction/618533/2" TargetMode="External"/><Relationship Id="rId78" Type="http://schemas.openxmlformats.org/officeDocument/2006/relationships/hyperlink" Target="https://community.patient.info/t/codeine-withdrawals/504776/2" TargetMode="External"/><Relationship Id="rId79" Type="http://schemas.openxmlformats.org/officeDocument/2006/relationships/hyperlink" Target="https://community.patient.info/t/nurofen-codeine-addiction/528192/2" TargetMode="External"/><Relationship Id="rId80" Type="http://schemas.openxmlformats.org/officeDocument/2006/relationships/hyperlink" Target="https://community.patient.info/t/ibuprofen-tablets-and-ibuprofen-gel/548680/2" TargetMode="External"/><Relationship Id="rId81" Type="http://schemas.openxmlformats.org/officeDocument/2006/relationships/hyperlink" Target="https://community.patient.info/t/sides-effects-of-ibuprofen-gel/55302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Knowledge, Body Autonomy and Patient Choice</dc:title>
  <dc:subject>From punishment to care: lived experience, informed consent, harm reduction and accountable medicine</dc:subject>
  <dc:creator>Prepared for public discussion</dc:creator>
  <cp:keywords>drug policy, bodily autonomy, informed consent, harm reduction, patient experience</cp:keywords>
  <dc:description>generated by python-docx</dc:description>
  <cp:lastModifiedBy/>
  <cp:revision>1</cp:revision>
  <dcterms:created xsi:type="dcterms:W3CDTF">2013-12-23T23:15:00Z</dcterms:created>
  <dcterms:modified xsi:type="dcterms:W3CDTF">2013-12-23T23:15:00Z</dcterms:modified>
  <cp:category/>
</cp:coreProperties>
</file>