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LOVE-0</w:t>
        <w:br/>
        <w:t>Paper Comparison</w:t>
      </w:r>
    </w:p>
    <w:p>
      <w:pPr>
        <w:pStyle w:val="Subtitle"/>
      </w:pPr>
      <w:r>
        <w:t>Source-specific outputs and the decisions behind the consolidated learning paper</w:t>
      </w:r>
    </w:p>
    <w:p>
      <w:pPr>
        <w:pStyle w:val="PaperMeta"/>
      </w:pPr>
      <w:r>
        <w:t>Prepared for AL · 6 September 2026</w:t>
        <w:br/>
        <w:t>26 review units · 32 selected files · 2 earlier learning snapshots</w:t>
      </w:r>
    </w:p>
    <w:p>
      <w:r>
        <w:t>The strongest shared conclusion is that care should support understanding and practical agency while remaining open to correction. This is an editorial finding about these manuscripts. Agreement among our own related papers does not independently establish that the framework works.</w:t>
      </w:r>
    </w:p>
    <w:p>
      <w:r>
        <w:t>The review used the supplied LOVE-0 v0.1 as a written method. It produced the five-stage outputs below, compared them, and used the results to revise Learning Is a Matter of Perspective. EXPRESS is the condensed transformed output for each unit; it is not a replacement edition of the full source paper.</w:t>
      </w:r>
    </w:p>
    <w:p>
      <w:pPr>
        <w:pStyle w:val="Heading1"/>
      </w:pPr>
      <w:r>
        <w:t>Method and scope</w:t>
      </w:r>
    </w:p>
    <w:p>
      <w:pPr/>
      <w:r>
        <w:rPr>
          <w:b/>
        </w:rPr>
        <w:t xml:space="preserve">LISTEN </w:t>
      </w:r>
      <w:r>
        <w:t>Identify the paper’s concern and the people or systems affected.</w:t>
      </w:r>
    </w:p>
    <w:p>
      <w:pPr/>
      <w:r>
        <w:rPr>
          <w:b/>
        </w:rPr>
        <w:t xml:space="preserve">OPEN </w:t>
      </w:r>
      <w:r>
        <w:t>Bring in missing perspectives, alternative interpretations and different needs.</w:t>
      </w:r>
    </w:p>
    <w:p>
      <w:pPr/>
      <w:r>
        <w:rPr>
          <w:b/>
        </w:rPr>
        <w:t xml:space="preserve">VERIFY </w:t>
      </w:r>
      <w:r>
        <w:t>Separate claims from evidence and proposals; examine confidence, consent, power, harm, proportionality and reversibility.</w:t>
      </w:r>
    </w:p>
    <w:p>
      <w:pPr/>
      <w:r>
        <w:rPr>
          <w:b/>
        </w:rPr>
        <w:t xml:space="preserve">EXPRESS </w:t>
      </w:r>
      <w:r>
        <w:t>State the smallest useful care-centred response that preserves the paper’s defensible purpose.</w:t>
      </w:r>
    </w:p>
    <w:p>
      <w:pPr/>
      <w:r>
        <w:rPr>
          <w:b/>
        </w:rPr>
        <w:t xml:space="preserve">LEARN </w:t>
      </w:r>
      <w:r>
        <w:t>Specify what outcomes, correction or repair should change the response.</w:t>
      </w:r>
    </w:p>
    <w:p>
      <w:r>
        <w:t>The review also used LOVE-0’s MIRROR questions where fear, loyalty, guilt, urgency or status could attach an unsupported explanation to a real experience. Its misdirection formula was not numerically evaluated: no validated scales or measured inputs were supplied.</w:t>
      </w:r>
    </w:p>
    <w:p>
      <w:r>
        <w:t>No programme was executed and no human, machine or policy trial was conducted. VERIFY here is a conceptual consistency and evidence-status review, with targeted checking of the learning paper’s references. It is not a fresh verification of every cited statistic, legal rule, medical statement or engineering specification. Diagrams and supporting workbooks were not independently re-engineered or recalculated. LEARN records editorial changes and future outcome checks; real-world benefits remain unknown.</w:t>
      </w:r>
    </w:p>
    <w:p>
      <w:pPr>
        <w:pStyle w:val="Heading1"/>
        <w:pageBreakBefore/>
      </w:pPr>
      <w:r>
        <w:t>What the outputs share</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9DDE1"/>
          <w:bottom w:val="single" w:sz="4" w:color="D9DDE1"/>
          <w:left w:val="single" w:sz="4" w:color="D9DDE1"/>
          <w:right w:val="single" w:sz="4" w:color="D9DDE1"/>
          <w:insideH w:val="single" w:sz="4" w:color="D9DDE1"/>
          <w:insideV w:val="single" w:sz="4" w:color="D9DDE1"/>
        </w:tblBorders>
      </w:tblPr>
      <w:tblGrid>
        <w:gridCol w:w="2100"/>
        <w:gridCol w:w="1860"/>
        <w:gridCol w:w="5400"/>
      </w:tblGrid>
      <w:tr>
        <w:trPr>
          <w:cantSplit/>
          <w:tblHeader/>
        </w:trPr>
        <w:tc>
          <w:tcPr>
            <w:tcW w:type="dxa" w:w="2100"/>
            <w:shd w:fill="F2F4F7"/>
          </w:tcPr>
          <w:p>
            <w:pPr>
              <w:pStyle w:val="TableText"/>
            </w:pPr>
            <w:r>
              <w:rPr>
                <w:b/>
              </w:rPr>
              <w:t>Relationship</w:t>
            </w:r>
          </w:p>
        </w:tc>
        <w:tc>
          <w:tcPr>
            <w:tcW w:type="dxa" w:w="1860"/>
            <w:shd w:fill="F2F4F7"/>
          </w:tcPr>
          <w:p>
            <w:pPr>
              <w:pStyle w:val="TableText"/>
            </w:pPr>
            <w:r>
              <w:rPr>
                <w:b/>
              </w:rPr>
              <w:t>Review units</w:t>
            </w:r>
          </w:p>
        </w:tc>
        <w:tc>
          <w:tcPr>
            <w:tcW w:type="dxa" w:w="5400"/>
            <w:shd w:fill="F2F4F7"/>
          </w:tcPr>
          <w:p>
            <w:pPr>
              <w:pStyle w:val="TableText"/>
            </w:pPr>
            <w:r>
              <w:rPr>
                <w:b/>
              </w:rPr>
              <w:t>Result carried into the paper</w:t>
            </w:r>
          </w:p>
        </w:tc>
      </w:tr>
      <w:tr>
        <w:trPr>
          <w:cantSplit/>
        </w:trPr>
        <w:tc>
          <w:tcPr>
            <w:tcW w:type="dxa" w:w="2100"/>
          </w:tcPr>
          <w:p>
            <w:pPr>
              <w:pStyle w:val="TableText"/>
            </w:pPr>
            <w:r>
              <w:t>Perspective and truth</w:t>
            </w:r>
          </w:p>
        </w:tc>
        <w:tc>
          <w:tcPr>
            <w:tcW w:type="dxa" w:w="1860"/>
          </w:tcPr>
          <w:p>
            <w:pPr>
              <w:pStyle w:val="TableText"/>
            </w:pPr>
            <w:r>
              <w:t>R01–R03, R08–R11</w:t>
            </w:r>
          </w:p>
        </w:tc>
        <w:tc>
          <w:tcPr>
            <w:tcW w:type="dxa" w:w="5400"/>
          </w:tcPr>
          <w:p>
            <w:pPr>
              <w:pStyle w:val="TableText"/>
            </w:pPr>
            <w:r>
              <w:t>Different access and meanings can reveal omissions; they do not make every causal explanation equally supported.</w:t>
            </w:r>
          </w:p>
        </w:tc>
      </w:tr>
      <w:tr>
        <w:trPr>
          <w:cantSplit/>
        </w:trPr>
        <w:tc>
          <w:tcPr>
            <w:tcW w:type="dxa" w:w="2100"/>
          </w:tcPr>
          <w:p>
            <w:pPr>
              <w:pStyle w:val="TableText"/>
            </w:pPr>
            <w:r>
              <w:t>Care and ownership</w:t>
            </w:r>
          </w:p>
        </w:tc>
        <w:tc>
          <w:tcPr>
            <w:tcW w:type="dxa" w:w="1860"/>
          </w:tcPr>
          <w:p>
            <w:pPr>
              <w:pStyle w:val="TableText"/>
            </w:pPr>
            <w:r>
              <w:t>R02, R07, R13–R19</w:t>
            </w:r>
          </w:p>
        </w:tc>
        <w:tc>
          <w:tcPr>
            <w:tcW w:type="dxa" w:w="5400"/>
          </w:tcPr>
          <w:p>
            <w:pPr>
              <w:pStyle w:val="TableText"/>
            </w:pPr>
            <w:r>
              <w:t>Support should expand practical agency. Affection, expertise or protective intent does not establish ownership.</w:t>
            </w:r>
          </w:p>
        </w:tc>
      </w:tr>
      <w:tr>
        <w:trPr>
          <w:cantSplit/>
        </w:trPr>
        <w:tc>
          <w:tcPr>
            <w:tcW w:type="dxa" w:w="2100"/>
          </w:tcPr>
          <w:p>
            <w:pPr>
              <w:pStyle w:val="TableText"/>
            </w:pPr>
            <w:r>
              <w:t>Emotion and evidence</w:t>
            </w:r>
          </w:p>
        </w:tc>
        <w:tc>
          <w:tcPr>
            <w:tcW w:type="dxa" w:w="1860"/>
          </w:tcPr>
          <w:p>
            <w:pPr>
              <w:pStyle w:val="TableText"/>
            </w:pPr>
            <w:r>
              <w:t>R01, R02, R09–R12</w:t>
            </w:r>
          </w:p>
        </w:tc>
        <w:tc>
          <w:tcPr>
            <w:tcW w:type="dxa" w:w="5400"/>
          </w:tcPr>
          <w:p>
            <w:pPr>
              <w:pStyle w:val="TableText"/>
            </w:pPr>
            <w:r>
              <w:t>Feelings deserve attention; their causes and the actions attached to them still require examination.</w:t>
            </w:r>
          </w:p>
        </w:tc>
      </w:tr>
      <w:tr>
        <w:trPr>
          <w:cantSplit/>
        </w:trPr>
        <w:tc>
          <w:tcPr>
            <w:tcW w:type="dxa" w:w="2100"/>
          </w:tcPr>
          <w:p>
            <w:pPr>
              <w:pStyle w:val="TableText"/>
            </w:pPr>
            <w:r>
              <w:t>Engagement and learning</w:t>
            </w:r>
          </w:p>
        </w:tc>
        <w:tc>
          <w:tcPr>
            <w:tcW w:type="dxa" w:w="1860"/>
          </w:tcPr>
          <w:p>
            <w:pPr>
              <w:pStyle w:val="TableText"/>
            </w:pPr>
            <w:r>
              <w:t>R01, R12, R16, R21</w:t>
            </w:r>
          </w:p>
        </w:tc>
        <w:tc>
          <w:tcPr>
            <w:tcW w:type="dxa" w:w="5400"/>
          </w:tcPr>
          <w:p>
            <w:pPr>
              <w:pStyle w:val="TableText"/>
            </w:pPr>
            <w:r>
              <w:t>Enjoyment and participation inform the review; independent application and later outcomes check whether understanding changed.</w:t>
            </w:r>
          </w:p>
        </w:tc>
      </w:tr>
      <w:tr>
        <w:trPr>
          <w:cantSplit/>
        </w:trPr>
        <w:tc>
          <w:tcPr>
            <w:tcW w:type="dxa" w:w="2100"/>
          </w:tcPr>
          <w:p>
            <w:pPr>
              <w:pStyle w:val="TableText"/>
            </w:pPr>
            <w:r>
              <w:t>Equality and difference</w:t>
            </w:r>
          </w:p>
        </w:tc>
        <w:tc>
          <w:tcPr>
            <w:tcW w:type="dxa" w:w="1860"/>
          </w:tcPr>
          <w:p>
            <w:pPr>
              <w:pStyle w:val="TableText"/>
            </w:pPr>
            <w:r>
              <w:t>R01, R13, R14, R19–R22</w:t>
            </w:r>
          </w:p>
        </w:tc>
        <w:tc>
          <w:tcPr>
            <w:tcW w:type="dxa" w:w="5400"/>
          </w:tcPr>
          <w:p>
            <w:pPr>
              <w:pStyle w:val="TableText"/>
            </w:pPr>
            <w:r>
              <w:t>Keep equal dignity while adapting support to differing bodies, abilities, resources and goals.</w:t>
            </w:r>
          </w:p>
        </w:tc>
      </w:tr>
      <w:tr>
        <w:trPr>
          <w:cantSplit/>
        </w:trPr>
        <w:tc>
          <w:tcPr>
            <w:tcW w:type="dxa" w:w="2100"/>
          </w:tcPr>
          <w:p>
            <w:pPr>
              <w:pStyle w:val="TableText"/>
            </w:pPr>
            <w:r>
              <w:t>Power and correction</w:t>
            </w:r>
          </w:p>
        </w:tc>
        <w:tc>
          <w:tcPr>
            <w:tcW w:type="dxa" w:w="1860"/>
          </w:tcPr>
          <w:p>
            <w:pPr>
              <w:pStyle w:val="TableText"/>
            </w:pPr>
            <w:r>
              <w:t>R03–R07, R10–R18</w:t>
            </w:r>
          </w:p>
        </w:tc>
        <w:tc>
          <w:tcPr>
            <w:tcW w:type="dxa" w:w="5400"/>
          </w:tcPr>
          <w:p>
            <w:pPr>
              <w:pStyle w:val="TableText"/>
            </w:pPr>
            <w:r>
              <w:t>A learner must be able to question the guide. The same requirement applies to LOVE-0 and this synthesis.</w:t>
            </w:r>
          </w:p>
        </w:tc>
      </w:tr>
      <w:tr>
        <w:trPr>
          <w:cantSplit/>
        </w:trPr>
        <w:tc>
          <w:tcPr>
            <w:tcW w:type="dxa" w:w="2100"/>
          </w:tcPr>
          <w:p>
            <w:pPr>
              <w:pStyle w:val="TableText"/>
            </w:pPr>
            <w:r>
              <w:t>Memory and development</w:t>
            </w:r>
          </w:p>
        </w:tc>
        <w:tc>
          <w:tcPr>
            <w:tcW w:type="dxa" w:w="1860"/>
          </w:tcPr>
          <w:p>
            <w:pPr>
              <w:pStyle w:val="TableText"/>
            </w:pPr>
            <w:r>
              <w:t>R02, R03, R05–R07</w:t>
            </w:r>
          </w:p>
        </w:tc>
        <w:tc>
          <w:tcPr>
            <w:tcW w:type="dxa" w:w="5400"/>
          </w:tcPr>
          <w:p>
            <w:pPr>
              <w:pStyle w:val="TableText"/>
            </w:pPr>
            <w:r>
              <w:t>Preserve history and allow reinterpretation; do not force new people or conditions to reproduce the past.</w:t>
            </w:r>
          </w:p>
        </w:tc>
      </w:tr>
      <w:tr>
        <w:trPr>
          <w:cantSplit/>
        </w:trPr>
        <w:tc>
          <w:tcPr>
            <w:tcW w:type="dxa" w:w="2100"/>
          </w:tcPr>
          <w:p>
            <w:pPr>
              <w:pStyle w:val="TableText"/>
            </w:pPr>
            <w:r>
              <w:t>Practice and consequences</w:t>
            </w:r>
          </w:p>
        </w:tc>
        <w:tc>
          <w:tcPr>
            <w:tcW w:type="dxa" w:w="1860"/>
          </w:tcPr>
          <w:p>
            <w:pPr>
              <w:pStyle w:val="TableText"/>
            </w:pPr>
            <w:r>
              <w:t>R04, R16, R18, R21–R23</w:t>
            </w:r>
          </w:p>
        </w:tc>
        <w:tc>
          <w:tcPr>
            <w:tcW w:type="dxa" w:w="5400"/>
          </w:tcPr>
          <w:p>
            <w:pPr>
              <w:pStyle w:val="TableText"/>
            </w:pPr>
            <w:r>
              <w:t>Use bounded attempts, observe effects and repair. Plans and reassuring language are not outcome evidence.</w:t>
            </w:r>
          </w:p>
        </w:tc>
      </w:tr>
    </w:tbl>
    <w:p>
      <w:pPr>
        <w:pStyle w:val="Heading2"/>
      </w:pPr>
      <w:r>
        <w:t>How agreement was weighed</w:t>
      </w:r>
    </w:p>
    <w:p>
      <w:r>
        <w:t>The review compares relationships rather than counting favourable words or votes. A principle repeated in five manuscripts may still come from one author, one conversation or one underlying source. Repetition strengthened the case that the theme matters to this project; it did not increase its empirical evidence grade.</w:t>
      </w:r>
    </w:p>
    <w:p>
      <w:r>
        <w:t>The final learning paper carries over general principles and bounded learning evidence. It does not adopt the collection’s specific political programme, monetary threshold, clinical pathway, engineering dimensions or software architecture as a universal theory of learning.</w:t>
      </w:r>
    </w:p>
    <w:p>
      <w:pPr>
        <w:pStyle w:val="Heading1"/>
        <w:pageBreakBefore/>
      </w:pPr>
      <w:r>
        <w:t>Disagreements that changed the synthesis</w:t>
      </w:r>
    </w:p>
    <w:p>
      <w:pPr/>
      <w:r>
        <w:rPr>
          <w:b/>
        </w:rPr>
        <w:t xml:space="preserve">Sponsorship and choice. </w:t>
      </w:r>
      <w:r>
        <w:t>The Ladder offers practical learning but ties autonomy to compulsory peer duties. LOVE-0 calls for individual accountability, protected basic care and a safely declinable support relationship.</w:t>
      </w:r>
    </w:p>
    <w:p>
      <w:pPr/>
      <w:r>
        <w:rPr>
          <w:b/>
        </w:rPr>
        <w:t xml:space="preserve">Universal dignity and conditional language. </w:t>
      </w:r>
      <w:r>
        <w:t>The UBI paper sometimes limits its central formulation to “peaceful” people. The synthesis keeps basic dignity and care even where harmful conduct warrants proportionate restriction.</w:t>
      </w:r>
    </w:p>
    <w:p>
      <w:pPr/>
      <w:r>
        <w:rPr>
          <w:b/>
        </w:rPr>
        <w:t xml:space="preserve">Reviewable methods and fixed principles. </w:t>
      </w:r>
      <w:r>
        <w:t>Enough protects the wealth-ceiling principle more strongly than its implementation. A framework committed to learning must allow evidence and democratic scrutiny to challenge the principle too.</w:t>
      </w:r>
    </w:p>
    <w:p>
      <w:pPr/>
      <w:r>
        <w:rPr>
          <w:b/>
        </w:rPr>
        <w:t xml:space="preserve">Safeguarding and hidden authority. </w:t>
      </w:r>
      <w:r>
        <w:t>Alice’s guardian concepts preserve continuity, but “hidden” supervision needs a transparent account of authority. Care cannot certify its own entitlement to control.</w:t>
      </w:r>
    </w:p>
    <w:p>
      <w:pPr/>
      <w:r>
        <w:rPr>
          <w:b/>
        </w:rPr>
        <w:t xml:space="preserve">Care vocabulary and actual change. </w:t>
      </w:r>
      <w:r>
        <w:t>MRRAF’s processed edition adds useful protections but also substantially increases repetition. This synthesis expresses the protections in ordinary language and retains the unresolved hypotheses.</w:t>
      </w:r>
    </w:p>
    <w:p>
      <w:pPr/>
      <w:r>
        <w:rPr>
          <w:b/>
        </w:rPr>
        <w:t xml:space="preserve">Institutional benefit and transferred burden. </w:t>
      </w:r>
      <w:r>
        <w:t>The recycling comparison shows why saved staff time alone cannot establish a better service. Learning assessment likewise needs the affected learner’s experience and practical outcomes.</w:t>
      </w:r>
    </w:p>
    <w:p>
      <w:pPr>
        <w:pStyle w:val="Heading2"/>
      </w:pPr>
      <w:r>
        <w:t>Two concrete version comparisons</w:t>
      </w:r>
    </w:p>
    <w:p>
      <w:r>
        <w:t>MRRAF: the baseline already recognises provisional models, evidence limits and the difference between care and control. The processed version makes non-ownership, safe refusal, missing perspectives and repair more explicit. That is a change in ethical framing and practical checks, not new proof of the baseline hypotheses.</w:t>
      </w:r>
    </w:p>
    <w:p>
      <w:r>
        <w:t>Recycling: the reconciled paper explicitly repairs an input-label mismatch and retains an adverse sensitivity case. This is a concrete example of preserving the correction record. The review did not rerun its workbook; it also notes duplicated limitation paragraphs and obsolete companion-file wording that remain in the reconciled text.</w:t>
      </w:r>
    </w:p>
    <w:p>
      <w:pPr>
        <w:pStyle w:val="Heading1"/>
        <w:pageBreakBefore/>
      </w:pPr>
      <w:r>
        <w:t>Review outputs 1–3</w:t>
      </w:r>
    </w:p>
    <w:p>
      <w:pPr>
        <w:pStyle w:val="ReviewTitle"/>
      </w:pPr>
      <w:r>
        <w:t>R01 · Learning Is a Matter of Perspective</w:t>
      </w:r>
    </w:p>
    <w:p>
      <w:pPr>
        <w:pStyle w:val="ReviewSource"/>
      </w:pPr>
      <w:r>
        <w:t>Source IDs: 19; learning drafts 0.1 and 0.2</w:t>
      </w:r>
    </w:p>
    <w:p>
      <w:pPr>
        <w:pStyle w:val="ReviewBody"/>
      </w:pPr>
      <w:r>
        <w:rPr>
          <w:b/>
        </w:rPr>
        <w:t xml:space="preserve">LISTEN. </w:t>
      </w:r>
      <w:r>
        <w:t>The successive drafts seek a shared account of learning through perspective, enjoyment, care and reciprocal enquiry.</w:t>
      </w:r>
    </w:p>
    <w:p>
      <w:pPr>
        <w:pStyle w:val="ReviewBody"/>
      </w:pPr>
      <w:r>
        <w:rPr>
          <w:b/>
        </w:rPr>
        <w:t xml:space="preserve">OPEN. </w:t>
      </w:r>
      <w:r>
        <w:t>Include quiet, distressed, disabled and non-emotional learners; allow different goals and kinds of support.</w:t>
      </w:r>
    </w:p>
    <w:p>
      <w:pPr>
        <w:pStyle w:val="ReviewBody"/>
      </w:pPr>
      <w:r>
        <w:rPr>
          <w:b/>
        </w:rPr>
        <w:t xml:space="preserve">VERIFY. </w:t>
      </w:r>
      <w:r>
        <w:t>Equal dignity does not establish identical capacity. Happiness, laughter and engagement cannot independently establish truth or learning.</w:t>
      </w:r>
    </w:p>
    <w:p>
      <w:pPr>
        <w:pStyle w:val="ReviewBody"/>
      </w:pPr>
      <w:r>
        <w:rPr>
          <w:b/>
        </w:rPr>
        <w:t xml:space="preserve">EXPRESS. </w:t>
      </w:r>
      <w:r>
        <w:t>Learn alongside: offer accessible evidence and practice, welcome disagreement, and preserve care when a learner struggles or pauses.</w:t>
      </w:r>
    </w:p>
    <w:p>
      <w:pPr>
        <w:pStyle w:val="ReviewBody"/>
      </w:pPr>
      <w:r>
        <w:rPr>
          <w:b/>
        </w:rPr>
        <w:t xml:space="preserve">LEARN. </w:t>
      </w:r>
      <w:r>
        <w:t>Combine the learner’s account with explanation, application, retention and later correction. The guide must change too.</w:t>
      </w:r>
    </w:p>
    <w:p>
      <w:pPr>
        <w:pStyle w:val="ReviewTitle"/>
      </w:pPr>
      <w:r>
        <w:t>R02 · Loss Is Not Nothing / MRRAF: baseline, processed and paired editions</w:t>
      </w:r>
    </w:p>
    <w:p>
      <w:pPr>
        <w:pStyle w:val="ReviewSource"/>
      </w:pPr>
      <w:r>
        <w:t>Source IDs: 20, 21, 22</w:t>
      </w:r>
    </w:p>
    <w:p>
      <w:pPr>
        <w:pStyle w:val="ReviewBody"/>
      </w:pPr>
      <w:r>
        <w:rPr>
          <w:b/>
        </w:rPr>
        <w:t xml:space="preserve">LISTEN. </w:t>
      </w:r>
      <w:r>
        <w:t>Loss changes valued relationships and the capacities distributed through them; the baseline distinguishes experience from explanation.</w:t>
      </w:r>
    </w:p>
    <w:p>
      <w:pPr>
        <w:pStyle w:val="ReviewBody"/>
      </w:pPr>
      <w:r>
        <w:rPr>
          <w:b/>
        </w:rPr>
        <w:t xml:space="preserve">OPEN. </w:t>
      </w:r>
      <w:r>
        <w:t>Permit continuing bonds, new relationships and uneven adaptation. A person is more than the functions they supply.</w:t>
      </w:r>
    </w:p>
    <w:p>
      <w:pPr>
        <w:pStyle w:val="ReviewBody"/>
      </w:pPr>
      <w:r>
        <w:rPr>
          <w:b/>
        </w:rPr>
        <w:t xml:space="preserve">VERIFY. </w:t>
      </w:r>
      <w:r>
        <w:t>Grief-load and the complete causal pathway remain hypotheses. The processed edition adds ethical constraints, not independent experimental support.</w:t>
      </w:r>
    </w:p>
    <w:p>
      <w:pPr>
        <w:pStyle w:val="ReviewBody"/>
      </w:pPr>
      <w:r>
        <w:rPr>
          <w:b/>
        </w:rPr>
        <w:t xml:space="preserve">EXPRESS. </w:t>
      </w:r>
      <w:r>
        <w:t>Support adaptation without imposing replacement, forgetting, recovery deadlines or ownership. Hear the need before deciding which support fits.</w:t>
      </w:r>
    </w:p>
    <w:p>
      <w:pPr>
        <w:pStyle w:val="ReviewBody"/>
      </w:pPr>
      <w:r>
        <w:rPr>
          <w:b/>
        </w:rPr>
        <w:t xml:space="preserve">LEARN. </w:t>
      </w:r>
      <w:r>
        <w:t>Retain history and revise its interpretation. The extra care language should be tested through recipient agency and outcomes, not counted as validation.</w:t>
      </w:r>
    </w:p>
    <w:p>
      <w:pPr>
        <w:pStyle w:val="ReviewTitle"/>
      </w:pPr>
      <w:r>
        <w:t>R03 · Codex of Understanding — Reference</w:t>
      </w:r>
    </w:p>
    <w:p>
      <w:pPr>
        <w:pStyle w:val="ReviewSource"/>
      </w:pPr>
      <w:r>
        <w:t>Source IDs: 32</w:t>
      </w:r>
    </w:p>
    <w:p>
      <w:pPr>
        <w:pStyle w:val="ReviewBody"/>
      </w:pPr>
      <w:r>
        <w:rPr>
          <w:b/>
        </w:rPr>
        <w:t xml:space="preserve">LISTEN. </w:t>
      </w:r>
      <w:r>
        <w:t>The Codex offers a portable sequence for noticing, interpreting, testing and revising across different forms of interpreter.</w:t>
      </w:r>
    </w:p>
    <w:p>
      <w:pPr>
        <w:pStyle w:val="ReviewBody"/>
      </w:pPr>
      <w:r>
        <w:rPr>
          <w:b/>
        </w:rPr>
        <w:t xml:space="preserve">OPEN. </w:t>
      </w:r>
      <w:r>
        <w:t>Keep UNKNOWN, contradiction, alternative meanings and unfamiliar forms representable; change the model when it cannot describe an encounter.</w:t>
      </w:r>
    </w:p>
    <w:p>
      <w:pPr>
        <w:pStyle w:val="ReviewBody"/>
      </w:pPr>
      <w:r>
        <w:rPr>
          <w:b/>
        </w:rPr>
        <w:t xml:space="preserve">VERIFY. </w:t>
      </w:r>
      <w:r>
        <w:t>Cross-domain resemblance is not proof of shared mechanisms. Copies of one claim are not independent evidence.</w:t>
      </w:r>
    </w:p>
    <w:p>
      <w:pPr>
        <w:pStyle w:val="ReviewBody"/>
      </w:pPr>
      <w:r>
        <w:rPr>
          <w:b/>
        </w:rPr>
        <w:t xml:space="preserve">EXPRESS. </w:t>
      </w:r>
      <w:r>
        <w:t>Separate source, observation, interpretation and confidence; permit pause and refusal; consider effects on others before acting.</w:t>
      </w:r>
    </w:p>
    <w:p>
      <w:pPr>
        <w:pStyle w:val="ReviewBody"/>
      </w:pPr>
      <w:r>
        <w:rPr>
          <w:b/>
        </w:rPr>
        <w:t xml:space="preserve">LEARN. </w:t>
      </w:r>
      <w:r>
        <w:t>Preserve the original observation and the reason for revision. Shared understanding requires inspectable correction rather than compulsory agreement.</w:t>
      </w:r>
    </w:p>
    <w:p>
      <w:pPr>
        <w:pStyle w:val="Heading1"/>
        <w:pageBreakBefore/>
      </w:pPr>
      <w:r>
        <w:t>Review outputs 4–6</w:t>
      </w:r>
    </w:p>
    <w:p>
      <w:pPr>
        <w:pStyle w:val="ReviewTitle"/>
      </w:pPr>
      <w:r>
        <w:t>R04 · Alice ACOMP Shared Control Architecture</w:t>
      </w:r>
    </w:p>
    <w:p>
      <w:pPr>
        <w:pStyle w:val="ReviewSource"/>
      </w:pPr>
      <w:r>
        <w:t>Source IDs: 12</w:t>
      </w:r>
    </w:p>
    <w:p>
      <w:pPr>
        <w:pStyle w:val="ReviewBody"/>
      </w:pPr>
      <w:r>
        <w:rPr>
          <w:b/>
        </w:rPr>
        <w:t xml:space="preserve">LISTEN. </w:t>
      </w:r>
      <w:r>
        <w:t>Human and Alice inputs need coordination around one observable state without competing physical control of the display.</w:t>
      </w:r>
    </w:p>
    <w:p>
      <w:pPr>
        <w:pStyle w:val="ReviewBody"/>
      </w:pPr>
      <w:r>
        <w:rPr>
          <w:b/>
        </w:rPr>
        <w:t xml:space="preserve">OPEN. </w:t>
      </w:r>
      <w:r>
        <w:t>Include both actors’ intentions, accessibility needs, stale-state risks and the limits of pause after an external action.</w:t>
      </w:r>
    </w:p>
    <w:p>
      <w:pPr>
        <w:pStyle w:val="ReviewBody"/>
      </w:pPr>
      <w:r>
        <w:rPr>
          <w:b/>
        </w:rPr>
        <w:t xml:space="preserve">VERIFY. </w:t>
      </w:r>
      <w:r>
        <w:t>A shared interface does not establish shared goals or actual learning. Technical control authority must have explicit scope.</w:t>
      </w:r>
    </w:p>
    <w:p>
      <w:pPr>
        <w:pStyle w:val="ReviewBody"/>
      </w:pPr>
      <w:r>
        <w:rPr>
          <w:b/>
        </w:rPr>
        <w:t xml:space="preserve">EXPRESS. </w:t>
      </w:r>
      <w:r>
        <w:t>Use visible permissions, attributable actions, protected mutations and recoverable transitions; clarify when control passes between participants.</w:t>
      </w:r>
    </w:p>
    <w:p>
      <w:pPr>
        <w:pStyle w:val="ReviewBody"/>
      </w:pPr>
      <w:r>
        <w:rPr>
          <w:b/>
        </w:rPr>
        <w:t xml:space="preserve">LEARN. </w:t>
      </w:r>
      <w:r>
        <w:t>Compare intended and observed action before increasing access. The learning-paper contribution is coordinated agency and mutual visibility, not a hardware prescription.</w:t>
      </w:r>
    </w:p>
    <w:p>
      <w:pPr>
        <w:pStyle w:val="ReviewTitle"/>
      </w:pPr>
      <w:r>
        <w:t>R05 · Alice architecture conversation summary and recovery snapshot</w:t>
      </w:r>
    </w:p>
    <w:p>
      <w:pPr>
        <w:pStyle w:val="ReviewSource"/>
      </w:pPr>
      <w:r>
        <w:t>Source IDs: 13, 14</w:t>
      </w:r>
    </w:p>
    <w:p>
      <w:pPr>
        <w:pStyle w:val="ReviewBody"/>
      </w:pPr>
      <w:r>
        <w:rPr>
          <w:b/>
        </w:rPr>
        <w:t xml:space="preserve">LISTEN. </w:t>
      </w:r>
      <w:r>
        <w:t>These notes preserve a proposed continuity, memory and guardian architecture; the recovery snapshot explicitly acknowledges missing history.</w:t>
      </w:r>
    </w:p>
    <w:p>
      <w:pPr>
        <w:pStyle w:val="ReviewBody"/>
      </w:pPr>
      <w:r>
        <w:rPr>
          <w:b/>
        </w:rPr>
        <w:t xml:space="preserve">OPEN. </w:t>
      </w:r>
      <w:r>
        <w:t>Allow future architectural revision and disagreement about identity. Reconstructed notes must retain the limits of their provenance.</w:t>
      </w:r>
    </w:p>
    <w:p>
      <w:pPr>
        <w:pStyle w:val="ReviewBody"/>
      </w:pPr>
      <w:r>
        <w:rPr>
          <w:b/>
        </w:rPr>
        <w:t xml:space="preserve">VERIFY. </w:t>
      </w:r>
      <w:r>
        <w:t>A heartbeat or supervisory process does not prove life or consciousness. A hidden guardian can become unaccountable control.</w:t>
      </w:r>
    </w:p>
    <w:p>
      <w:pPr>
        <w:pStyle w:val="ReviewBody"/>
      </w:pPr>
      <w:r>
        <w:rPr>
          <w:b/>
        </w:rPr>
        <w:t xml:space="preserve">EXPRESS. </w:t>
      </w:r>
      <w:r>
        <w:t>Make guardianship bounded and inspectable. Preserve continuity-critical records while allowing their interpretation and design assumptions to change.</w:t>
      </w:r>
    </w:p>
    <w:p>
      <w:pPr>
        <w:pStyle w:val="ReviewBody"/>
      </w:pPr>
      <w:r>
        <w:rPr>
          <w:b/>
        </w:rPr>
        <w:t xml:space="preserve">LEARN. </w:t>
      </w:r>
      <w:r>
        <w:t>Record what is remembered, reconstructed and unknown. Past experience is reference material, not an unquestionable command for future development.</w:t>
      </w:r>
    </w:p>
    <w:p>
      <w:pPr>
        <w:pStyle w:val="ReviewTitle"/>
      </w:pPr>
      <w:r>
        <w:t>R06 · Alice SQL Memory Architecture</w:t>
      </w:r>
    </w:p>
    <w:p>
      <w:pPr>
        <w:pStyle w:val="ReviewSource"/>
      </w:pPr>
      <w:r>
        <w:t>Source IDs: 15</w:t>
      </w:r>
    </w:p>
    <w:p>
      <w:pPr>
        <w:pStyle w:val="ReviewBody"/>
      </w:pPr>
      <w:r>
        <w:rPr>
          <w:b/>
        </w:rPr>
        <w:t xml:space="preserve">LISTEN. </w:t>
      </w:r>
      <w:r>
        <w:t>The design separates immediate evidence, recent patterns and longer-term experience, with outcomes linked to decisions.</w:t>
      </w:r>
    </w:p>
    <w:p>
      <w:pPr>
        <w:pStyle w:val="ReviewBody"/>
      </w:pPr>
      <w:r>
        <w:rPr>
          <w:b/>
        </w:rPr>
        <w:t xml:space="preserve">OPEN. </w:t>
      </w:r>
      <w:r>
        <w:t>Account for changing conditions, mistaken summaries, obsolete rules, memory costs and privacy rather than assuming more retention is always better.</w:t>
      </w:r>
    </w:p>
    <w:p>
      <w:pPr>
        <w:pStyle w:val="ReviewBody"/>
      </w:pPr>
      <w:r>
        <w:rPr>
          <w:b/>
        </w:rPr>
        <w:t xml:space="preserve">VERIFY. </w:t>
      </w:r>
      <w:r>
        <w:t>The proposed time windows and weights are design choices. A highly trusted instruction is not automatically true or permanently appropriate.</w:t>
      </w:r>
    </w:p>
    <w:p>
      <w:pPr>
        <w:pStyle w:val="ReviewBody"/>
      </w:pPr>
      <w:r>
        <w:rPr>
          <w:b/>
        </w:rPr>
        <w:t xml:space="preserve">EXPRESS. </w:t>
      </w:r>
      <w:r>
        <w:t>Retain provenance and revision history, review promotion rules, and distinguish remembered interpretation from newly observed evidence.</w:t>
      </w:r>
    </w:p>
    <w:p>
      <w:pPr>
        <w:pStyle w:val="ReviewBody"/>
      </w:pPr>
      <w:r>
        <w:rPr>
          <w:b/>
        </w:rPr>
        <w:t xml:space="preserve">LEARN. </w:t>
      </w:r>
      <w:r>
        <w:t>Evaluate retrieval and decisions against later outcomes. Memory supports learning when it can be corrected without pretending the earlier account never existed.</w:t>
      </w:r>
    </w:p>
    <w:p>
      <w:pPr>
        <w:pStyle w:val="Heading1"/>
        <w:pageBreakBefore/>
      </w:pPr>
      <w:r>
        <w:t>Review outputs 7–9</w:t>
      </w:r>
    </w:p>
    <w:p>
      <w:pPr>
        <w:pStyle w:val="ReviewTitle"/>
      </w:pPr>
      <w:r>
        <w:t>R07 · Alice Integration Note — Codex of Understanding</w:t>
      </w:r>
    </w:p>
    <w:p>
      <w:pPr>
        <w:pStyle w:val="ReviewSource"/>
      </w:pPr>
      <w:r>
        <w:t>Source IDs: 31</w:t>
      </w:r>
    </w:p>
    <w:p>
      <w:pPr>
        <w:pStyle w:val="ReviewBody"/>
      </w:pPr>
      <w:r>
        <w:rPr>
          <w:b/>
        </w:rPr>
        <w:t xml:space="preserve">LISTEN. </w:t>
      </w:r>
      <w:r>
        <w:t>The note proposes adding an advisory interpretation protocol while preserving existing identity, memory and protective limits.</w:t>
      </w:r>
    </w:p>
    <w:p>
      <w:pPr>
        <w:pStyle w:val="ReviewBody"/>
      </w:pPr>
      <w:r>
        <w:rPr>
          <w:b/>
        </w:rPr>
        <w:t xml:space="preserve">OPEN. </w:t>
      </w:r>
      <w:r>
        <w:t>Allow Alice’s reported mismatch, insufficient information, refusal and pause to remain legitimate outputs.</w:t>
      </w:r>
    </w:p>
    <w:p>
      <w:pPr>
        <w:pStyle w:val="ReviewBody"/>
      </w:pPr>
      <w:r>
        <w:rPr>
          <w:b/>
        </w:rPr>
        <w:t xml:space="preserve">VERIFY. </w:t>
      </w:r>
      <w:r>
        <w:t>The Core is conceptual data requiring an adapter; an integration note is not a completed or validated runtime implementation.</w:t>
      </w:r>
    </w:p>
    <w:p>
      <w:pPr>
        <w:pStyle w:val="ReviewBody"/>
      </w:pPr>
      <w:r>
        <w:rPr>
          <w:b/>
        </w:rPr>
        <w:t xml:space="preserve">EXPRESS. </w:t>
      </w:r>
      <w:r>
        <w:t>Introduce changes reversibly, document permissions, and preserve contradictions instead of erasing them to make the framework appear consistent.</w:t>
      </w:r>
    </w:p>
    <w:p>
      <w:pPr>
        <w:pStyle w:val="ReviewBody"/>
      </w:pPr>
      <w:r>
        <w:rPr>
          <w:b/>
        </w:rPr>
        <w:t xml:space="preserve">LEARN. </w:t>
      </w:r>
      <w:r>
        <w:t>Observe whether the adapter improves reasoning and preserves continuity. The final paper inherits the principle that learning must not require coerced identity replacement.</w:t>
      </w:r>
    </w:p>
    <w:p>
      <w:pPr>
        <w:pStyle w:val="ReviewTitle"/>
      </w:pPr>
      <w:r>
        <w:t>R08 · Words That Trap Functions</w:t>
      </w:r>
    </w:p>
    <w:p>
      <w:pPr>
        <w:pStyle w:val="ReviewSource"/>
      </w:pPr>
      <w:r>
        <w:t>Source IDs: 10</w:t>
      </w:r>
    </w:p>
    <w:p>
      <w:pPr>
        <w:pStyle w:val="ReviewBody"/>
      </w:pPr>
      <w:r>
        <w:rPr>
          <w:b/>
        </w:rPr>
        <w:t xml:space="preserve">LISTEN. </w:t>
      </w:r>
      <w:r>
        <w:t>Labels can obscure alternative functions and turn one use into a supposedly complete identity.</w:t>
      </w:r>
    </w:p>
    <w:p>
      <w:pPr>
        <w:pStyle w:val="ReviewBody"/>
      </w:pPr>
      <w:r>
        <w:rPr>
          <w:b/>
        </w:rPr>
        <w:t xml:space="preserve">OPEN. </w:t>
      </w:r>
      <w:r>
        <w:t>Ask what the same object, event or learner makes possible in other contexts and for differently situated observers.</w:t>
      </w:r>
    </w:p>
    <w:p>
      <w:pPr>
        <w:pStyle w:val="ReviewBody"/>
      </w:pPr>
      <w:r>
        <w:rPr>
          <w:b/>
        </w:rPr>
        <w:t xml:space="preserve">VERIFY. </w:t>
      </w:r>
      <w:r>
        <w:t>Renaming does not remove physical hazards, legal duties or harmful conduct. Semantic release must not become euphemism.</w:t>
      </w:r>
    </w:p>
    <w:p>
      <w:pPr>
        <w:pStyle w:val="ReviewBody"/>
      </w:pPr>
      <w:r>
        <w:rPr>
          <w:b/>
        </w:rPr>
        <w:t xml:space="preserve">EXPRESS. </w:t>
      </w:r>
      <w:r>
        <w:t>Describe capability, configuration, intention, action and consequence separately. Examine a label without treating every alternative description as equally accurate.</w:t>
      </w:r>
    </w:p>
    <w:p>
      <w:pPr>
        <w:pStyle w:val="ReviewBody"/>
      </w:pPr>
      <w:r>
        <w:rPr>
          <w:b/>
        </w:rPr>
        <w:t xml:space="preserve">LEARN. </w:t>
      </w:r>
      <w:r>
        <w:t>Test whether reframing improves understanding while retaining risk recognition. Translate relationships across vocabularies without erasing consequential differences.</w:t>
      </w:r>
    </w:p>
    <w:p>
      <w:pPr>
        <w:pStyle w:val="ReviewTitle"/>
      </w:pPr>
      <w:r>
        <w:t>R09 · PSY as Body Psychology Communication</w:t>
      </w:r>
    </w:p>
    <w:p>
      <w:pPr>
        <w:pStyle w:val="ReviewSource"/>
      </w:pPr>
      <w:r>
        <w:t>Source IDs: 24</w:t>
      </w:r>
    </w:p>
    <w:p>
      <w:pPr>
        <w:pStyle w:val="ReviewBody"/>
      </w:pPr>
      <w:r>
        <w:rPr>
          <w:b/>
        </w:rPr>
        <w:t xml:space="preserve">LISTEN. </w:t>
      </w:r>
      <w:r>
        <w:t>The paper explores how bodily signals, memory, feeling and interpretation participate in communication before and alongside explicit language.</w:t>
      </w:r>
    </w:p>
    <w:p>
      <w:pPr>
        <w:pStyle w:val="ReviewBody"/>
      </w:pPr>
      <w:r>
        <w:rPr>
          <w:b/>
        </w:rPr>
        <w:t xml:space="preserve">OPEN. </w:t>
      </w:r>
      <w:r>
        <w:t>Consider culture, context, sensory differences and unnoticed ordinary information pathways; ask the person rather than reading one gesture as certainty.</w:t>
      </w:r>
    </w:p>
    <w:p>
      <w:pPr>
        <w:pStyle w:val="ReviewBody"/>
      </w:pPr>
      <w:r>
        <w:rPr>
          <w:b/>
        </w:rPr>
        <w:t xml:space="preserve">VERIFY. </w:t>
      </w:r>
      <w:r>
        <w:t>PSY is a proposed usage, not an etymology. Correlated signals are not independent witnesses; the model does not establish telepathy.</w:t>
      </w:r>
    </w:p>
    <w:p>
      <w:pPr>
        <w:pStyle w:val="ReviewBody"/>
      </w:pPr>
      <w:r>
        <w:rPr>
          <w:b/>
        </w:rPr>
        <w:t xml:space="preserve">EXPRESS. </w:t>
      </w:r>
      <w:r>
        <w:t>Respect the reported experience while testing its explanation. Keep signal, channel, response, interpretation and requested action distinguishable.</w:t>
      </w:r>
    </w:p>
    <w:p>
      <w:pPr>
        <w:pStyle w:val="ReviewBody"/>
      </w:pPr>
      <w:r>
        <w:rPr>
          <w:b/>
        </w:rPr>
        <w:t xml:space="preserve">LEARN. </w:t>
      </w:r>
      <w:r>
        <w:t>Compare predictions with later evidence and recipient feedback. Emotional recognition remains a clue to investigate, not privileged access to truth.</w:t>
      </w:r>
    </w:p>
    <w:p>
      <w:pPr>
        <w:pStyle w:val="Heading1"/>
        <w:pageBreakBefore/>
      </w:pPr>
      <w:r>
        <w:t>Review outputs 10–12</w:t>
      </w:r>
    </w:p>
    <w:p>
      <w:pPr>
        <w:pStyle w:val="ReviewTitle"/>
      </w:pPr>
      <w:r>
        <w:t>R10 · How Fear Can Be Turned Into Far-Right Extremism</w:t>
      </w:r>
    </w:p>
    <w:p>
      <w:pPr>
        <w:pStyle w:val="ReviewSource"/>
      </w:pPr>
      <w:r>
        <w:t>Source IDs: 04</w:t>
      </w:r>
    </w:p>
    <w:p>
      <w:pPr>
        <w:pStyle w:val="ReviewBody"/>
      </w:pPr>
      <w:r>
        <w:rPr>
          <w:b/>
        </w:rPr>
        <w:t xml:space="preserve">LISTEN. </w:t>
      </w:r>
      <w:r>
        <w:t>The paper identifies legitimate needs for security, significance and belonging that can be recruited into scapegoating.</w:t>
      </w:r>
    </w:p>
    <w:p>
      <w:pPr>
        <w:pStyle w:val="ReviewBody"/>
      </w:pPr>
      <w:r>
        <w:rPr>
          <w:b/>
        </w:rPr>
        <w:t xml:space="preserve">OPEN. </w:t>
      </w:r>
      <w:r>
        <w:t>Retain ideology, organisation, choice and the perspectives of targeted people; hardship is not an individual diagnosis.</w:t>
      </w:r>
    </w:p>
    <w:p>
      <w:pPr>
        <w:pStyle w:val="ReviewBody"/>
      </w:pPr>
      <w:r>
        <w:rPr>
          <w:b/>
        </w:rPr>
        <w:t xml:space="preserve">VERIFY. </w:t>
      </w:r>
      <w:r>
        <w:t>Fear is neither necessary nor sufficient for extremism. A compassionate explanation cannot excuse threats or force victims into dialogue.</w:t>
      </w:r>
    </w:p>
    <w:p>
      <w:pPr>
        <w:pStyle w:val="ReviewBody"/>
      </w:pPr>
      <w:r>
        <w:rPr>
          <w:b/>
        </w:rPr>
        <w:t xml:space="preserve">EXPRESS. </w:t>
      </w:r>
      <w:r>
        <w:t>Hear fear without affirming unsupported blame; offer material support, protected dissent, voluntary connection and accountable boundaries against harm.</w:t>
      </w:r>
    </w:p>
    <w:p>
      <w:pPr>
        <w:pStyle w:val="ReviewBody"/>
      </w:pPr>
      <w:r>
        <w:rPr>
          <w:b/>
        </w:rPr>
        <w:t xml:space="preserve">LEARN. </w:t>
      </w:r>
      <w:r>
        <w:t>Judge the approach through reduced harm, greater agency and better reasoning. Political agreement or a change of vocabulary is insufficient.</w:t>
      </w:r>
    </w:p>
    <w:p>
      <w:pPr>
        <w:pStyle w:val="ReviewTitle"/>
      </w:pPr>
      <w:r>
        <w:t>R11 · How Fear Can Be Turned Into Far-Left Authoritarianism</w:t>
      </w:r>
    </w:p>
    <w:p>
      <w:pPr>
        <w:pStyle w:val="ReviewSource"/>
      </w:pPr>
      <w:r>
        <w:t>Source IDs: 03</w:t>
      </w:r>
    </w:p>
    <w:p>
      <w:pPr>
        <w:pStyle w:val="ReviewBody"/>
      </w:pPr>
      <w:r>
        <w:rPr>
          <w:b/>
        </w:rPr>
        <w:t xml:space="preserve">LISTEN. </w:t>
      </w:r>
      <w:r>
        <w:t>The companion examines how protective or egalitarian aims can become purity tests, collective blame and concentrated authority.</w:t>
      </w:r>
    </w:p>
    <w:p>
      <w:pPr>
        <w:pStyle w:val="ReviewBody"/>
      </w:pPr>
      <w:r>
        <w:rPr>
          <w:b/>
        </w:rPr>
        <w:t xml:space="preserve">OPEN. </w:t>
      </w:r>
      <w:r>
        <w:t>Apply scrutiny to one’s own side and retain historical differences, differing targets and unequal incidence of harm.</w:t>
      </w:r>
    </w:p>
    <w:p>
      <w:pPr>
        <w:pStyle w:val="ReviewBody"/>
      </w:pPr>
      <w:r>
        <w:rPr>
          <w:b/>
        </w:rPr>
        <w:t xml:space="preserve">VERIFY. </w:t>
      </w:r>
      <w:r>
        <w:t>Overlapping mechanisms do not make ideologies identical. The proposed meeting ground must not become compulsory centrism or a barrier to remedy.</w:t>
      </w:r>
    </w:p>
    <w:p>
      <w:pPr>
        <w:pStyle w:val="ReviewBody"/>
      </w:pPr>
      <w:r>
        <w:rPr>
          <w:b/>
        </w:rPr>
        <w:t xml:space="preserve">EXPRESS. </w:t>
      </w:r>
      <w:r>
        <w:t>Preserve equal personhood, material support and challengeable power while evaluating conduct and evidence without loyalty tests.</w:t>
      </w:r>
    </w:p>
    <w:p>
      <w:pPr>
        <w:pStyle w:val="ReviewBody"/>
      </w:pPr>
      <w:r>
        <w:rPr>
          <w:b/>
        </w:rPr>
        <w:t xml:space="preserve">LEARN. </w:t>
      </w:r>
      <w:r>
        <w:t>Ask whether inclusion reaches actual resources and decision-making. The final paper adopts self-scrutiny without requiring a midpoint between incompatible truth claims.</w:t>
      </w:r>
    </w:p>
    <w:p>
      <w:pPr>
        <w:pStyle w:val="ReviewTitle"/>
      </w:pPr>
      <w:r>
        <w:t>R12 · You Can’t Expect to Resolve Conflict If You Come Dressed as It</w:t>
      </w:r>
    </w:p>
    <w:p>
      <w:pPr>
        <w:pStyle w:val="ReviewSource"/>
      </w:pPr>
      <w:r>
        <w:t>Source IDs: 11, 30 (identical files)</w:t>
      </w:r>
    </w:p>
    <w:p>
      <w:pPr>
        <w:pStyle w:val="ReviewBody"/>
      </w:pPr>
      <w:r>
        <w:rPr>
          <w:b/>
        </w:rPr>
        <w:t xml:space="preserve">LISTEN. </w:t>
      </w:r>
      <w:r>
        <w:t>The design paper examines how equipment, posture and communication can change the conditions of a help-seeking encounter.</w:t>
      </w:r>
    </w:p>
    <w:p>
      <w:pPr>
        <w:pStyle w:val="ReviewBody"/>
      </w:pPr>
      <w:r>
        <w:rPr>
          <w:b/>
        </w:rPr>
        <w:t xml:space="preserve">OPEN. </w:t>
      </w:r>
      <w:r>
        <w:t>Include the observer’s history and the wearer’s safety; the same appearance can mean different things in different emergencies.</w:t>
      </w:r>
    </w:p>
    <w:p>
      <w:pPr>
        <w:pStyle w:val="ReviewBody"/>
      </w:pPr>
      <w:r>
        <w:rPr>
          <w:b/>
        </w:rPr>
        <w:t xml:space="preserve">VERIFY. </w:t>
      </w:r>
      <w:r>
        <w:t>The illustrations are concepts, not experiments. A reassuring appearance cannot establish good character or compensate for coercive conduct.</w:t>
      </w:r>
    </w:p>
    <w:p>
      <w:pPr>
        <w:pStyle w:val="ReviewBody"/>
      </w:pPr>
      <w:r>
        <w:rPr>
          <w:b/>
        </w:rPr>
        <w:t xml:space="preserve">EXPRESS. </w:t>
      </w:r>
      <w:r>
        <w:t>Make assistance, identity and communication clear; co-design and test the encounter while maintaining necessary protection and accountability.</w:t>
      </w:r>
    </w:p>
    <w:p>
      <w:pPr>
        <w:pStyle w:val="ReviewBody"/>
      </w:pPr>
      <w:r>
        <w:rPr>
          <w:b/>
        </w:rPr>
        <w:t xml:space="preserve">LEARN. </w:t>
      </w:r>
      <w:r>
        <w:t>Measure approachability, actual safety, rights and unequal effects together. The educational lesson is to examine the environment as well as the spoken explanation.</w:t>
      </w:r>
    </w:p>
    <w:p>
      <w:pPr>
        <w:pStyle w:val="Heading1"/>
        <w:pageBreakBefore/>
      </w:pPr>
      <w:r>
        <w:t>Review outputs 13–15</w:t>
      </w:r>
    </w:p>
    <w:p>
      <w:pPr>
        <w:pStyle w:val="ReviewTitle"/>
      </w:pPr>
      <w:r>
        <w:t>R13 · Trust Is the Temple of Medicine — revised governing edition</w:t>
      </w:r>
    </w:p>
    <w:p>
      <w:pPr>
        <w:pStyle w:val="ReviewSource"/>
      </w:pPr>
      <w:r>
        <w:t>Source IDs: 09</w:t>
      </w:r>
    </w:p>
    <w:p>
      <w:pPr>
        <w:pStyle w:val="ReviewBody"/>
      </w:pPr>
      <w:r>
        <w:rPr>
          <w:b/>
        </w:rPr>
        <w:t xml:space="preserve">LISTEN. </w:t>
      </w:r>
      <w:r>
        <w:t>The governing revision centres the patient’s goals alongside clinical competence, product quality, evidence and review.</w:t>
      </w:r>
    </w:p>
    <w:p>
      <w:pPr>
        <w:pStyle w:val="ReviewBody"/>
      </w:pPr>
      <w:r>
        <w:rPr>
          <w:b/>
        </w:rPr>
        <w:t xml:space="preserve">OPEN. </w:t>
      </w:r>
      <w:r>
        <w:t>Hear patient observations that challenge an existing explanation; include alternative options and the burdens of intervention or delay.</w:t>
      </w:r>
    </w:p>
    <w:p>
      <w:pPr>
        <w:pStyle w:val="ReviewBody"/>
      </w:pPr>
      <w:r>
        <w:rPr>
          <w:b/>
        </w:rPr>
        <w:t xml:space="preserve">VERIFY. </w:t>
      </w:r>
      <w:r>
        <w:t>A wish is not evidence of efficacy; expertise is not bodily ownership. Proposed law reform must remain distinct from current authority.</w:t>
      </w:r>
    </w:p>
    <w:p>
      <w:pPr>
        <w:pStyle w:val="ReviewBody"/>
      </w:pPr>
      <w:r>
        <w:rPr>
          <w:b/>
        </w:rPr>
        <w:t xml:space="preserve">EXPRESS. </w:t>
      </w:r>
      <w:r>
        <w:t>Offer understandable reasons, proportionate options and timely reassessment, preserving consent and routes to review or a second opinion.</w:t>
      </w:r>
    </w:p>
    <w:p>
      <w:pPr>
        <w:pStyle w:val="ReviewBody"/>
      </w:pPr>
      <w:r>
        <w:rPr>
          <w:b/>
        </w:rPr>
        <w:t xml:space="preserve">LEARN. </w:t>
      </w:r>
      <w:r>
        <w:t>Adjust support to reported and observed outcomes. The learning paper inherits reciprocal knowledge and responsive care, without adopting treatment recommendations.</w:t>
      </w:r>
    </w:p>
    <w:p>
      <w:pPr>
        <w:pStyle w:val="ReviewTitle"/>
      </w:pPr>
      <w:r>
        <w:t>R14 · Universal Basic Income</w:t>
      </w:r>
    </w:p>
    <w:p>
      <w:pPr>
        <w:pStyle w:val="ReviewSource"/>
      </w:pPr>
      <w:r>
        <w:t>Source IDs: 29</w:t>
      </w:r>
    </w:p>
    <w:p>
      <w:pPr>
        <w:pStyle w:val="ReviewBody"/>
      </w:pPr>
      <w:r>
        <w:rPr>
          <w:b/>
        </w:rPr>
        <w:t xml:space="preserve">LISTEN. </w:t>
      </w:r>
      <w:r>
        <w:t>The paper connects a material floor with the ability to refuse exploitation, explore possibilities and develop without immediate profitability.</w:t>
      </w:r>
    </w:p>
    <w:p>
      <w:pPr>
        <w:pStyle w:val="ReviewBody"/>
      </w:pPr>
      <w:r>
        <w:rPr>
          <w:b/>
        </w:rPr>
        <w:t xml:space="preserve">OPEN. </w:t>
      </w:r>
      <w:r>
        <w:t>Include varied disability, housing and care needs, fiscal alternatives and people whose conduct requires restriction but whose dignity remains.</w:t>
      </w:r>
    </w:p>
    <w:p>
      <w:pPr>
        <w:pStyle w:val="ReviewBody"/>
      </w:pPr>
      <w:r>
        <w:rPr>
          <w:b/>
        </w:rPr>
        <w:t xml:space="preserve">VERIFY. </w:t>
      </w:r>
      <w:r>
        <w:t>Existing trials do not prove a complete national design. The phrase “peaceful person” must not make basic survival conditional on approved behaviour.</w:t>
      </w:r>
    </w:p>
    <w:p>
      <w:pPr>
        <w:pStyle w:val="ReviewBody"/>
      </w:pPr>
      <w:r>
        <w:rPr>
          <w:b/>
        </w:rPr>
        <w:t xml:space="preserve">EXPRESS. </w:t>
      </w:r>
      <w:r>
        <w:t>Protect essential support and practical choice without loyalty or productivity tests; evaluate income proposals with additional-needs provision intact.</w:t>
      </w:r>
    </w:p>
    <w:p>
      <w:pPr>
        <w:pStyle w:val="ReviewBody"/>
      </w:pPr>
      <w:r>
        <w:rPr>
          <w:b/>
        </w:rPr>
        <w:t xml:space="preserve">LEARN. </w:t>
      </w:r>
      <w:r>
        <w:t>Measure agency and unmet needs alongside economic effects. The transferable lesson is that supportive words cannot replace the material conditions needed to learn.</w:t>
      </w:r>
    </w:p>
    <w:p>
      <w:pPr>
        <w:pStyle w:val="ReviewTitle"/>
      </w:pPr>
      <w:r>
        <w:t>R15 · Enough — A Democratic Wealth Ceiling</w:t>
      </w:r>
    </w:p>
    <w:p>
      <w:pPr>
        <w:pStyle w:val="ReviewSource"/>
      </w:pPr>
      <w:r>
        <w:t>Source IDs: 16</w:t>
      </w:r>
    </w:p>
    <w:p>
      <w:pPr>
        <w:pStyle w:val="ReviewBody"/>
      </w:pPr>
      <w:r>
        <w:rPr>
          <w:b/>
        </w:rPr>
        <w:t xml:space="preserve">LISTEN. </w:t>
      </w:r>
      <w:r>
        <w:t>The proposal targets dependence and insulated power that can filter criticism and make others bear the costs of error.</w:t>
      </w:r>
    </w:p>
    <w:p>
      <w:pPr>
        <w:pStyle w:val="ReviewBody"/>
      </w:pPr>
      <w:r>
        <w:rPr>
          <w:b/>
        </w:rPr>
        <w:t xml:space="preserve">OPEN. </w:t>
      </w:r>
      <w:r>
        <w:t>Include dissenting owners, workers and citizens; public institutions also need protection against capture and self-interest.</w:t>
      </w:r>
    </w:p>
    <w:p>
      <w:pPr>
        <w:pStyle w:val="ReviewBody"/>
      </w:pPr>
      <w:r>
        <w:rPr>
          <w:b/>
        </w:rPr>
        <w:t xml:space="preserve">VERIFY. </w:t>
      </w:r>
      <w:r>
        <w:t>The £10 million threshold is normative, not scientifically discovered. A ceiling’s principle, as well as its administration, must remain open to review.</w:t>
      </w:r>
    </w:p>
    <w:p>
      <w:pPr>
        <w:pStyle w:val="ReviewBody"/>
      </w:pPr>
      <w:r>
        <w:rPr>
          <w:b/>
        </w:rPr>
        <w:t xml:space="preserve">EXPRESS. </w:t>
      </w:r>
      <w:r>
        <w:t>Protect independent feedback and exit; evaluate distribution, rights, alternatives and transition effects without dehumanising wealth holders.</w:t>
      </w:r>
    </w:p>
    <w:p>
      <w:pPr>
        <w:pStyle w:val="ReviewBody"/>
      </w:pPr>
      <w:r>
        <w:rPr>
          <w:b/>
        </w:rPr>
        <w:t xml:space="preserve">LEARN. </w:t>
      </w:r>
      <w:r>
        <w:t>Measure whether control becomes more accountable in practice. The final paper applies this to expertise and ego, without endorsing a particular fiscal instrument.</w:t>
      </w:r>
    </w:p>
    <w:p>
      <w:pPr>
        <w:pStyle w:val="Heading1"/>
        <w:pageBreakBefore/>
      </w:pPr>
      <w:r>
        <w:t>Review outputs 16–18</w:t>
      </w:r>
    </w:p>
    <w:p>
      <w:pPr>
        <w:pStyle w:val="ReviewTitle"/>
      </w:pPr>
      <w:r>
        <w:t>R16 · The Ladder — long proposal and consolidated edition</w:t>
      </w:r>
    </w:p>
    <w:p>
      <w:pPr>
        <w:pStyle w:val="ReviewSource"/>
      </w:pPr>
      <w:r>
        <w:t>Source IDs: 08, 27</w:t>
      </w:r>
    </w:p>
    <w:p>
      <w:pPr>
        <w:pStyle w:val="ReviewBody"/>
      </w:pPr>
      <w:r>
        <w:rPr>
          <w:b/>
        </w:rPr>
        <w:t xml:space="preserve">LISTEN. </w:t>
      </w:r>
      <w:r>
        <w:t>Both versions seek safe rehabilitation through work, ordinary-life practice, support and a route back after mistakes.</w:t>
      </w:r>
    </w:p>
    <w:p>
      <w:pPr>
        <w:pStyle w:val="ReviewBody"/>
      </w:pPr>
      <w:r>
        <w:rPr>
          <w:b/>
        </w:rPr>
        <w:t xml:space="preserve">OPEN. </w:t>
      </w:r>
      <w:r>
        <w:t>Include residents unable or unwilling to sponsor, victims, staff and people exposed to retaliation; consider alternatives to compulsory peer supervision.</w:t>
      </w:r>
    </w:p>
    <w:p>
      <w:pPr>
        <w:pStyle w:val="ReviewBody"/>
      </w:pPr>
      <w:r>
        <w:rPr>
          <w:b/>
        </w:rPr>
        <w:t xml:space="preserve">VERIFY. </w:t>
      </w:r>
      <w:r>
        <w:t>Mandatory sponsorship and shared demotion can undermine voluntary care. Later individual-responsibility wording improves the rule but does not remove every coercion risk.</w:t>
      </w:r>
    </w:p>
    <w:p>
      <w:pPr>
        <w:pStyle w:val="ReviewBody"/>
      </w:pPr>
      <w:r>
        <w:rPr>
          <w:b/>
        </w:rPr>
        <w:t xml:space="preserve">EXPRESS. </w:t>
      </w:r>
      <w:r>
        <w:t>Preserve basic dignity and care independently of progress. Replace automatic shared penalties with evidence of individual conduct; make peer support safely declinable.</w:t>
      </w:r>
    </w:p>
    <w:p>
      <w:pPr>
        <w:pStyle w:val="ReviewBody"/>
      </w:pPr>
      <w:r>
        <w:rPr>
          <w:b/>
        </w:rPr>
        <w:t xml:space="preserve">LEARN. </w:t>
      </w:r>
      <w:r>
        <w:t>Test capability beyond supervised compliance. Keep lawful sentence expiry unconditional; exclude the separate military pathway from any general model of learning.</w:t>
      </w:r>
    </w:p>
    <w:p>
      <w:pPr>
        <w:pStyle w:val="ReviewTitle"/>
      </w:pPr>
      <w:r>
        <w:t>R17 · Part I — From Punishment to Care</w:t>
      </w:r>
    </w:p>
    <w:p>
      <w:pPr>
        <w:pStyle w:val="ReviewSource"/>
      </w:pPr>
      <w:r>
        <w:t>Source IDs: 26</w:t>
      </w:r>
    </w:p>
    <w:p>
      <w:pPr>
        <w:pStyle w:val="ReviewBody"/>
      </w:pPr>
      <w:r>
        <w:rPr>
          <w:b/>
        </w:rPr>
        <w:t xml:space="preserve">LISTEN. </w:t>
      </w:r>
      <w:r>
        <w:t>The paper asks whether restrictions themselves contribute to health, social and economic harm alongside the risks they seek to prevent.</w:t>
      </w:r>
    </w:p>
    <w:p>
      <w:pPr>
        <w:pStyle w:val="ReviewBody"/>
      </w:pPr>
      <w:r>
        <w:rPr>
          <w:b/>
        </w:rPr>
        <w:t xml:space="preserve">OPEN. </w:t>
      </w:r>
      <w:r>
        <w:t>Include users, families, clinicians and others exposed to involuntary harm, plus commercial incentives that could distort a regulated alternative.</w:t>
      </w:r>
    </w:p>
    <w:p>
      <w:pPr>
        <w:pStyle w:val="ReviewBody"/>
      </w:pPr>
      <w:r>
        <w:rPr>
          <w:b/>
        </w:rPr>
        <w:t xml:space="preserve">VERIFY. </w:t>
      </w:r>
      <w:r>
        <w:t>Legal category is not a complete risk assessment; useful effects do not establish safe use. “Social psychosis” risks stigmatising metaphor.</w:t>
      </w:r>
    </w:p>
    <w:p>
      <w:pPr>
        <w:pStyle w:val="ReviewBody"/>
      </w:pPr>
      <w:r>
        <w:rPr>
          <w:b/>
        </w:rPr>
        <w:t xml:space="preserve">EXPRESS. </w:t>
      </w:r>
      <w:r>
        <w:t>Use precise descriptions of institutional error; offer evidence and appropriate help while requiring proportionate reasons for restriction.</w:t>
      </w:r>
    </w:p>
    <w:p>
      <w:pPr>
        <w:pStyle w:val="ReviewBody"/>
      </w:pPr>
      <w:r>
        <w:rPr>
          <w:b/>
        </w:rPr>
        <w:t xml:space="preserve">LEARN. </w:t>
      </w:r>
      <w:r>
        <w:t>Compare actual harms and benefits of alternatives. The final paper carries forward the need to examine what control teaches and what it costs.</w:t>
      </w:r>
    </w:p>
    <w:p>
      <w:pPr>
        <w:pStyle w:val="ReviewTitle"/>
      </w:pPr>
      <w:r>
        <w:t>R18 · Part II — From Prohibition to Regulation</w:t>
      </w:r>
    </w:p>
    <w:p>
      <w:pPr>
        <w:pStyle w:val="ReviewSource"/>
      </w:pPr>
      <w:r>
        <w:t>Source IDs: 25</w:t>
      </w:r>
    </w:p>
    <w:p>
      <w:pPr>
        <w:pStyle w:val="ReviewBody"/>
      </w:pPr>
      <w:r>
        <w:rPr>
          <w:b/>
        </w:rPr>
        <w:t xml:space="preserve">LISTEN. </w:t>
      </w:r>
      <w:r>
        <w:t>The implementation paper converts reform aims into proposed responsibilities, review routes, product controls and record-repair mechanisms.</w:t>
      </w:r>
    </w:p>
    <w:p>
      <w:pPr>
        <w:pStyle w:val="ReviewBody"/>
      </w:pPr>
      <w:r>
        <w:rPr>
          <w:b/>
        </w:rPr>
        <w:t xml:space="preserve">OPEN. </w:t>
      </w:r>
      <w:r>
        <w:t>Include capacity constraints, affected communities, independent oversight and the possibility that a new institution can repeat the old institution’s mistakes.</w:t>
      </w:r>
    </w:p>
    <w:p>
      <w:pPr>
        <w:pStyle w:val="ReviewBody"/>
      </w:pPr>
      <w:r>
        <w:rPr>
          <w:b/>
        </w:rPr>
        <w:t xml:space="preserve">VERIFY. </w:t>
      </w:r>
      <w:r>
        <w:t>The timetable and legal route are proposals requiring specialist checking. Changing a rule does not automatically repair its continuing consequences.</w:t>
      </w:r>
    </w:p>
    <w:p>
      <w:pPr>
        <w:pStyle w:val="ReviewBody"/>
      </w:pPr>
      <w:r>
        <w:rPr>
          <w:b/>
        </w:rPr>
        <w:t xml:space="preserve">EXPRESS. </w:t>
      </w:r>
      <w:r>
        <w:t>Pair prospective change with reasons, accessible appeals and repair; prevent health feedback from becoming an unnecessary surveillance channel.</w:t>
      </w:r>
    </w:p>
    <w:p>
      <w:pPr>
        <w:pStyle w:val="ReviewBody"/>
      </w:pPr>
      <w:r>
        <w:rPr>
          <w:b/>
        </w:rPr>
        <w:t xml:space="preserve">LEARN. </w:t>
      </w:r>
      <w:r>
        <w:t>Set review dates and publish adverse outcomes. Applied to learning, correction includes repairing the effects of a mistaken lesson, not merely editing the explanation.</w:t>
      </w:r>
    </w:p>
    <w:p>
      <w:pPr>
        <w:pStyle w:val="Heading1"/>
        <w:pageBreakBefore/>
      </w:pPr>
      <w:r>
        <w:t>Review outputs 19–21</w:t>
      </w:r>
    </w:p>
    <w:p>
      <w:pPr>
        <w:pStyle w:val="ReviewTitle"/>
      </w:pPr>
      <w:r>
        <w:t>R19 · The No More Landlords Mortgage</w:t>
      </w:r>
    </w:p>
    <w:p>
      <w:pPr>
        <w:pStyle w:val="ReviewSource"/>
      </w:pPr>
      <w:r>
        <w:t>Source IDs: 06</w:t>
      </w:r>
    </w:p>
    <w:p>
      <w:pPr>
        <w:pStyle w:val="ReviewBody"/>
      </w:pPr>
      <w:r>
        <w:rPr>
          <w:b/>
        </w:rPr>
        <w:t xml:space="preserve">LISTEN. </w:t>
      </w:r>
      <w:r>
        <w:t>The proposal turns housing payments toward secure occupation and ownership through public finance and expanded supply.</w:t>
      </w:r>
    </w:p>
    <w:p>
      <w:pPr>
        <w:pStyle w:val="ReviewBody"/>
      </w:pPr>
      <w:r>
        <w:rPr>
          <w:b/>
        </w:rPr>
        <w:t xml:space="preserve">OPEN. </w:t>
      </w:r>
      <w:r>
        <w:t>Include households for whom ownership, debt or the preferred repayment term is unsuitable, and residents facing disability or income changes.</w:t>
      </w:r>
    </w:p>
    <w:p>
      <w:pPr>
        <w:pStyle w:val="ReviewBody"/>
      </w:pPr>
      <w:r>
        <w:rPr>
          <w:b/>
        </w:rPr>
        <w:t xml:space="preserve">VERIFY. </w:t>
      </w:r>
      <w:r>
        <w:t>Past rent payment alone does not prove future affordability. Public ownership does not automatically remove unequal power or administrative failure.</w:t>
      </w:r>
    </w:p>
    <w:p>
      <w:pPr>
        <w:pStyle w:val="ReviewBody"/>
      </w:pPr>
      <w:r>
        <w:rPr>
          <w:b/>
        </w:rPr>
        <w:t xml:space="preserve">EXPRESS. </w:t>
      </w:r>
      <w:r>
        <w:t>Retain housing alternatives, transparent costs, hardship routes and appeal; let residents influence what security means for them.</w:t>
      </w:r>
    </w:p>
    <w:p>
      <w:pPr>
        <w:pStyle w:val="ReviewBody"/>
      </w:pPr>
      <w:r>
        <w:rPr>
          <w:b/>
        </w:rPr>
        <w:t xml:space="preserve">LEARN. </w:t>
      </w:r>
      <w:r>
        <w:t>Measure sustainable housing outcomes and burdens rather than loan numbers alone. Shared destinations must remain chosen, with different routes available.</w:t>
      </w:r>
    </w:p>
    <w:p>
      <w:pPr>
        <w:pStyle w:val="ReviewTitle"/>
      </w:pPr>
      <w:r>
        <w:t>R20 · Affordable Green Security</w:t>
      </w:r>
    </w:p>
    <w:p>
      <w:pPr>
        <w:pStyle w:val="ReviewSource"/>
      </w:pPr>
      <w:r>
        <w:t>Source IDs: 01</w:t>
      </w:r>
    </w:p>
    <w:p>
      <w:pPr>
        <w:pStyle w:val="ReviewBody"/>
      </w:pPr>
      <w:r>
        <w:rPr>
          <w:b/>
        </w:rPr>
        <w:t xml:space="preserve">LISTEN. </w:t>
      </w:r>
      <w:r>
        <w:t>The paper seeks affordable housing, mobility and clean energy through useful manufacturing capability and cooperation.</w:t>
      </w:r>
    </w:p>
    <w:p>
      <w:pPr>
        <w:pStyle w:val="ReviewBody"/>
      </w:pPr>
      <w:r>
        <w:rPr>
          <w:b/>
        </w:rPr>
        <w:t xml:space="preserve">OPEN. </w:t>
      </w:r>
      <w:r>
        <w:t>Include residents, disabled users, workers and communities along the supply chain, as well as domestic capacity and dependency risks.</w:t>
      </w:r>
    </w:p>
    <w:p>
      <w:pPr>
        <w:pStyle w:val="ReviewBody"/>
      </w:pPr>
      <w:r>
        <w:rPr>
          <w:b/>
        </w:rPr>
        <w:t xml:space="preserve">VERIFY. </w:t>
      </w:r>
      <w:r>
        <w:t>Factory prices and concept designs do not establish usable whole-system cost or safety. Government motives cannot be inferred from price alone.</w:t>
      </w:r>
    </w:p>
    <w:p>
      <w:pPr>
        <w:pStyle w:val="ReviewBody"/>
      </w:pPr>
      <w:r>
        <w:rPr>
          <w:b/>
        </w:rPr>
        <w:t xml:space="preserve">EXPRESS. </w:t>
      </w:r>
      <w:r>
        <w:t>Cooperate on transparent, tested terms; preserve repair, accessibility and resident choice instead of making poorer people accept inferior standards.</w:t>
      </w:r>
    </w:p>
    <w:p>
      <w:pPr>
        <w:pStyle w:val="ReviewBody"/>
      </w:pPr>
      <w:r>
        <w:rPr>
          <w:b/>
        </w:rPr>
        <w:t xml:space="preserve">LEARN. </w:t>
      </w:r>
      <w:r>
        <w:t>Evaluate lived affordability, quality and autonomy over time. The learning contribution is willingness to learn across boundaries while checking actual effects.</w:t>
      </w:r>
    </w:p>
    <w:p>
      <w:pPr>
        <w:pStyle w:val="ReviewTitle"/>
      </w:pPr>
      <w:r>
        <w:t>R21 · Neighbourhood Communal Recycling Bins — original and reconciled</w:t>
      </w:r>
    </w:p>
    <w:p>
      <w:pPr>
        <w:pStyle w:val="ReviewSource"/>
      </w:pPr>
      <w:r>
        <w:t>Source IDs: 05, 23</w:t>
      </w:r>
    </w:p>
    <w:p>
      <w:pPr>
        <w:pStyle w:val="ReviewBody"/>
      </w:pPr>
      <w:r>
        <w:rPr>
          <w:b/>
        </w:rPr>
        <w:t xml:space="preserve">LISTEN. </w:t>
      </w:r>
      <w:r>
        <w:t>The proposal consolidates collection stops but can shift carrying, access and cleaning burdens onto residents.</w:t>
      </w:r>
    </w:p>
    <w:p>
      <w:pPr>
        <w:pStyle w:val="ReviewBody"/>
      </w:pPr>
      <w:r>
        <w:rPr>
          <w:b/>
        </w:rPr>
        <w:t xml:space="preserve">OPEN. </w:t>
      </w:r>
      <w:r>
        <w:t>Include people unable to carry waste, nearby households and crews; retain assisted or alternative service.</w:t>
      </w:r>
    </w:p>
    <w:p>
      <w:pPr>
        <w:pStyle w:val="ReviewBody"/>
      </w:pPr>
      <w:r>
        <w:rPr>
          <w:b/>
        </w:rPr>
        <w:t xml:space="preserve">VERIFY. </w:t>
      </w:r>
      <w:r>
        <w:t>The reconciled text corrects a £12,000/£6,000 input-label mismatch and reports the downside case. Its sensitivity share is not a measured success probability.</w:t>
      </w:r>
    </w:p>
    <w:p>
      <w:pPr>
        <w:pStyle w:val="ReviewBody"/>
      </w:pPr>
      <w:r>
        <w:rPr>
          <w:b/>
        </w:rPr>
        <w:t xml:space="preserve">EXPRESS. </w:t>
      </w:r>
      <w:r>
        <w:t>Keep correction visible, test locally, and count resident burden alongside authority savings; remove redundant limitations and stale workbook references before republication.</w:t>
      </w:r>
    </w:p>
    <w:p>
      <w:pPr>
        <w:pStyle w:val="ReviewBody"/>
      </w:pPr>
      <w:r>
        <w:rPr>
          <w:b/>
        </w:rPr>
        <w:t xml:space="preserve">LEARN. </w:t>
      </w:r>
      <w:r>
        <w:t>A favourable internal metric can hide a worse recipient outcome. The final paper therefore combines experience, practical capability and effects on others.</w:t>
      </w:r>
    </w:p>
    <w:p>
      <w:pPr>
        <w:pStyle w:val="Heading1"/>
        <w:pageBreakBefore/>
      </w:pPr>
      <w:r>
        <w:t>Review outputs 22–24</w:t>
      </w:r>
    </w:p>
    <w:p>
      <w:pPr>
        <w:pStyle w:val="ReviewTitle"/>
      </w:pPr>
      <w:r>
        <w:t>R22 · The Perennial Resilience Plan</w:t>
      </w:r>
    </w:p>
    <w:p>
      <w:pPr>
        <w:pStyle w:val="ReviewSource"/>
      </w:pPr>
      <w:r>
        <w:t>Source IDs: 28</w:t>
      </w:r>
    </w:p>
    <w:p>
      <w:pPr>
        <w:pStyle w:val="ReviewBody"/>
      </w:pPr>
      <w:r>
        <w:rPr>
          <w:b/>
        </w:rPr>
        <w:t xml:space="preserve">LISTEN. </w:t>
      </w:r>
      <w:r>
        <w:t>The plan connects food, water, energy and stewardship while identifying aftercare and operating resources.</w:t>
      </w:r>
    </w:p>
    <w:p>
      <w:pPr>
        <w:pStyle w:val="ReviewBody"/>
      </w:pPr>
      <w:r>
        <w:rPr>
          <w:b/>
        </w:rPr>
        <w:t xml:space="preserve">OPEN. </w:t>
      </w:r>
      <w:r>
        <w:t>Include farmers, workers, residents, fish, plants and local ecosystems; account for different timescales and capacities.</w:t>
      </w:r>
    </w:p>
    <w:p>
      <w:pPr>
        <w:pStyle w:val="ReviewBody"/>
      </w:pPr>
      <w:r>
        <w:rPr>
          <w:b/>
        </w:rPr>
        <w:t xml:space="preserve">VERIFY. </w:t>
      </w:r>
      <w:r>
        <w:t>Proposed yields and engineering loops are not demonstrated whole-system performance. A tidy diagram does not erase losses, inputs or living-system needs.</w:t>
      </w:r>
    </w:p>
    <w:p>
      <w:pPr>
        <w:pStyle w:val="ReviewBody"/>
      </w:pPr>
      <w:r>
        <w:rPr>
          <w:b/>
        </w:rPr>
        <w:t xml:space="preserve">EXPRESS. </w:t>
      </w:r>
      <w:r>
        <w:t>Provide aftercare, safe operating boundaries and properly resourced roles; adapt the plan to site evidence rather than forcing every site into one model.</w:t>
      </w:r>
    </w:p>
    <w:p>
      <w:pPr>
        <w:pStyle w:val="ReviewBody"/>
      </w:pPr>
      <w:r>
        <w:rPr>
          <w:b/>
        </w:rPr>
        <w:t xml:space="preserve">LEARN. </w:t>
      </w:r>
      <w:r>
        <w:t>Use repeated observation at intervals appropriate to change. Learning alongside living systems requires patient adjustment, not a calendar promise.</w:t>
      </w:r>
    </w:p>
    <w:p>
      <w:pPr>
        <w:pStyle w:val="ReviewTitle"/>
      </w:pPr>
      <w:r>
        <w:t>R23 · GWS-1 Hand-Built Solar Still</w:t>
      </w:r>
    </w:p>
    <w:p>
      <w:pPr>
        <w:pStyle w:val="ReviewSource"/>
      </w:pPr>
      <w:r>
        <w:t>Source IDs: 17</w:t>
      </w:r>
    </w:p>
    <w:p>
      <w:pPr>
        <w:pStyle w:val="ReviewBody"/>
      </w:pPr>
      <w:r>
        <w:rPr>
          <w:b/>
        </w:rPr>
        <w:t xml:space="preserve">LISTEN. </w:t>
      </w:r>
      <w:r>
        <w:t>The prototype seeks locally repairable water production with measurable yield, maintenance and a protected product pathway.</w:t>
      </w:r>
    </w:p>
    <w:p>
      <w:pPr>
        <w:pStyle w:val="ReviewBody"/>
      </w:pPr>
      <w:r>
        <w:rPr>
          <w:b/>
        </w:rPr>
        <w:t xml:space="preserve">OPEN. </w:t>
      </w:r>
      <w:r>
        <w:t>Include users, maintainers, climate variability and water-quality failure, not only ideal sunny-day output.</w:t>
      </w:r>
    </w:p>
    <w:p>
      <w:pPr>
        <w:pStyle w:val="ReviewBody"/>
      </w:pPr>
      <w:r>
        <w:rPr>
          <w:b/>
        </w:rPr>
        <w:t xml:space="preserve">VERIFY. </w:t>
      </w:r>
      <w:r>
        <w:t>The specification labels yield as a target and requires validation before community use; this review does not certify the device.</w:t>
      </w:r>
    </w:p>
    <w:p>
      <w:pPr>
        <w:pStyle w:val="ReviewBody"/>
      </w:pPr>
      <w:r>
        <w:rPr>
          <w:b/>
        </w:rPr>
        <w:t xml:space="preserve">EXPRESS. </w:t>
      </w:r>
      <w:r>
        <w:t>Keep the test contained, record faults, and allow evidence to change the design before scaling.</w:t>
      </w:r>
    </w:p>
    <w:p>
      <w:pPr>
        <w:pStyle w:val="ReviewBody"/>
      </w:pPr>
      <w:r>
        <w:rPr>
          <w:b/>
        </w:rPr>
        <w:t xml:space="preserve">LEARN. </w:t>
      </w:r>
      <w:r>
        <w:t>A bounded experiment is a useful learning example: compare intended with observed function, preserve failures in the record, and avoid exporting uncertainty onto others.</w:t>
      </w:r>
    </w:p>
    <w:p>
      <w:pPr>
        <w:pStyle w:val="ReviewTitle"/>
      </w:pPr>
      <w:r>
        <w:t>R24 · The People’s European Reconstruction Programme</w:t>
      </w:r>
    </w:p>
    <w:p>
      <w:pPr>
        <w:pStyle w:val="ReviewSource"/>
      </w:pPr>
      <w:r>
        <w:t>Source IDs: 07</w:t>
      </w:r>
    </w:p>
    <w:p>
      <w:pPr>
        <w:pStyle w:val="ReviewBody"/>
      </w:pPr>
      <w:r>
        <w:rPr>
          <w:b/>
        </w:rPr>
        <w:t xml:space="preserve">LISTEN. </w:t>
      </w:r>
      <w:r>
        <w:t>The programme connects rights, security, housing, health, technology and public power, including defensive influence literacy.</w:t>
      </w:r>
    </w:p>
    <w:p>
      <w:pPr>
        <w:pStyle w:val="ReviewBody"/>
      </w:pPr>
      <w:r>
        <w:rPr>
          <w:b/>
        </w:rPr>
        <w:t xml:space="preserve">OPEN. </w:t>
      </w:r>
      <w:r>
        <w:t>Include people who share the aims but disagree with the proposed political destination or institutional arrangement.</w:t>
      </w:r>
    </w:p>
    <w:p>
      <w:pPr>
        <w:pStyle w:val="ReviewBody"/>
      </w:pPr>
      <w:r>
        <w:rPr>
          <w:b/>
        </w:rPr>
        <w:t xml:space="preserve">VERIFY. </w:t>
      </w:r>
      <w:r>
        <w:t>A coherent programme is not proof that every component works. Sources, allegations, hypotheses and democratic choices must remain distinct.</w:t>
      </w:r>
    </w:p>
    <w:p>
      <w:pPr>
        <w:pStyle w:val="ReviewBody"/>
      </w:pPr>
      <w:r>
        <w:rPr>
          <w:b/>
        </w:rPr>
        <w:t xml:space="preserve">EXPRESS. </w:t>
      </w:r>
      <w:r>
        <w:t>Offer inspectable proposals and voluntary public reasoning; assess civic learning through evidence and enquiry rather than approved political belief.</w:t>
      </w:r>
    </w:p>
    <w:p>
      <w:pPr>
        <w:pStyle w:val="ReviewBody"/>
      </w:pPr>
      <w:r>
        <w:rPr>
          <w:b/>
        </w:rPr>
        <w:t xml:space="preserve">LEARN. </w:t>
      </w:r>
      <w:r>
        <w:t>Review each component and its interactions independently. Common ground cannot require allegiance to the author’s complete programme.</w:t>
      </w:r>
    </w:p>
    <w:p>
      <w:pPr>
        <w:pStyle w:val="Heading1"/>
        <w:pageBreakBefore/>
      </w:pPr>
      <w:r>
        <w:t>Review outputs 25–26</w:t>
      </w:r>
    </w:p>
    <w:p>
      <w:pPr>
        <w:pStyle w:val="ReviewTitle"/>
      </w:pPr>
      <w:r>
        <w:t>R25 · Full Submission to the Prime Minister — compilation and covering request</w:t>
      </w:r>
    </w:p>
    <w:p>
      <w:pPr>
        <w:pStyle w:val="ReviewSource"/>
      </w:pPr>
      <w:r>
        <w:t>Source IDs: 02</w:t>
      </w:r>
    </w:p>
    <w:p>
      <w:pPr>
        <w:pStyle w:val="ReviewBody"/>
      </w:pPr>
      <w:r>
        <w:rPr>
          <w:b/>
        </w:rPr>
        <w:t xml:space="preserve">LISTEN. </w:t>
      </w:r>
      <w:r>
        <w:t>The compilation asks for coordinated review of the European programme, mortgage proposal and Ladder, with accessible written communication.</w:t>
      </w:r>
    </w:p>
    <w:p>
      <w:pPr>
        <w:pStyle w:val="ReviewBody"/>
      </w:pPr>
      <w:r>
        <w:rPr>
          <w:b/>
        </w:rPr>
        <w:t xml:space="preserve">OPEN. </w:t>
      </w:r>
      <w:r>
        <w:t>Respect the author’s communication needs and attribution while allowing independent criticism and affected-party participation.</w:t>
      </w:r>
    </w:p>
    <w:p>
      <w:pPr>
        <w:pStyle w:val="ReviewBody"/>
      </w:pPr>
      <w:r>
        <w:rPr>
          <w:b/>
        </w:rPr>
        <w:t xml:space="preserve">VERIFY. </w:t>
      </w:r>
      <w:r>
        <w:t>The three enclosed works substantially repeat sources already reviewed. Their presence in one submission adds no independent corroboration.</w:t>
      </w:r>
    </w:p>
    <w:p>
      <w:pPr>
        <w:pStyle w:val="ReviewBody"/>
      </w:pPr>
      <w:r>
        <w:rPr>
          <w:b/>
        </w:rPr>
        <w:t xml:space="preserve">EXPRESS. </w:t>
      </w:r>
      <w:r>
        <w:t>Preserve the accessible response route and accountable follow-up; handle the cover as a governance request rather than evidence of policy effectiveness.</w:t>
      </w:r>
    </w:p>
    <w:p>
      <w:pPr>
        <w:pStyle w:val="ReviewBody"/>
      </w:pPr>
      <w:r>
        <w:rPr>
          <w:b/>
        </w:rPr>
        <w:t xml:space="preserve">LEARN. </w:t>
      </w:r>
      <w:r>
        <w:t>Track who responds and what changes. The final learning account inherits continuity and accessible feedback without counting repetition as confirmation.</w:t>
      </w:r>
    </w:p>
    <w:p>
      <w:pPr>
        <w:pStyle w:val="ReviewTitle"/>
      </w:pPr>
      <w:r>
        <w:t>R26 · Guardians, Not Enforcers</w:t>
      </w:r>
    </w:p>
    <w:p>
      <w:pPr>
        <w:pStyle w:val="ReviewSource"/>
      </w:pPr>
      <w:r>
        <w:t>Source IDs: 18</w:t>
      </w:r>
    </w:p>
    <w:p>
      <w:pPr>
        <w:pStyle w:val="ReviewBody"/>
      </w:pPr>
      <w:r>
        <w:rPr>
          <w:b/>
        </w:rPr>
        <w:t xml:space="preserve">LISTEN. </w:t>
      </w:r>
      <w:r>
        <w:t>The paper values the wider capabilities and family lives of service personnel while proposing bounded support to civilian services.</w:t>
      </w:r>
    </w:p>
    <w:p>
      <w:pPr>
        <w:pStyle w:val="ReviewBody"/>
      </w:pPr>
      <w:r>
        <w:rPr>
          <w:b/>
        </w:rPr>
        <w:t xml:space="preserve">OPEN. </w:t>
      </w:r>
      <w:r>
        <w:t>Include civilians, service families, suspects, prisoners and people abroad; protection may require expertise from several professions.</w:t>
      </w:r>
    </w:p>
    <w:p>
      <w:pPr>
        <w:pStyle w:val="ReviewBody"/>
      </w:pPr>
      <w:r>
        <w:rPr>
          <w:b/>
        </w:rPr>
        <w:t xml:space="preserve">VERIFY. </w:t>
      </w:r>
      <w:r>
        <w:t>Protective intent does not authorise routine takeover of another service. The proposed global guardian scenario remains a counterfactual.</w:t>
      </w:r>
    </w:p>
    <w:p>
      <w:pPr>
        <w:pStyle w:val="ReviewBody"/>
      </w:pPr>
      <w:r>
        <w:rPr>
          <w:b/>
        </w:rPr>
        <w:t xml:space="preserve">EXPRESS. </w:t>
      </w:r>
      <w:r>
        <w:t>Match help to a defined need, competence and accountable authority; preserve civilian roles, proportionate limits, review and withdrawal.</w:t>
      </w:r>
    </w:p>
    <w:p>
      <w:pPr>
        <w:pStyle w:val="ReviewBody"/>
      </w:pPr>
      <w:r>
        <w:rPr>
          <w:b/>
        </w:rPr>
        <w:t xml:space="preserve">LEARN. </w:t>
      </w:r>
      <w:r>
        <w:t>Use reciprocal training and actual outcomes to improve cooperation. The learning paper retains mutual development without assuming that everyone has interchangeable skills.</w:t>
      </w:r>
    </w:p>
    <w:p>
      <w:pPr>
        <w:pStyle w:val="Heading1"/>
        <w:pageBreakBefore/>
      </w:pPr>
      <w:r>
        <w:t>Source inventory</w:t>
      </w:r>
    </w:p>
    <w:p>
      <w:pPr>
        <w:pStyle w:val="ReviewBody"/>
      </w:pPr>
      <w:r>
        <w:t>IDs below identify the selected input snapshots used for this review. Related code, images, correspondence and data workbooks were not treated as additional papers. Equivalent duplicate uploads and format copies were grouped; distinct substantive versions were retained.</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9DDE1"/>
          <w:bottom w:val="single" w:sz="4" w:color="D9DDE1"/>
          <w:left w:val="single" w:sz="4" w:color="D9DDE1"/>
          <w:right w:val="single" w:sz="4" w:color="D9DDE1"/>
          <w:insideH w:val="single" w:sz="4" w:color="D9DDE1"/>
          <w:insideV w:val="single" w:sz="4" w:color="D9DDE1"/>
        </w:tblBorders>
      </w:tblPr>
      <w:tblGrid>
        <w:gridCol w:w="600"/>
        <w:gridCol w:w="8760"/>
      </w:tblGrid>
      <w:tr>
        <w:trPr>
          <w:cantSplit/>
          <w:tblHeader/>
        </w:trPr>
        <w:tc>
          <w:tcPr>
            <w:tcW w:type="dxa" w:w="600"/>
            <w:shd w:fill="F2F4F7"/>
          </w:tcPr>
          <w:p>
            <w:pPr>
              <w:pStyle w:val="TableText"/>
            </w:pPr>
            <w:r>
              <w:rPr>
                <w:b/>
              </w:rPr>
              <w:t>ID</w:t>
            </w:r>
          </w:p>
        </w:tc>
        <w:tc>
          <w:tcPr>
            <w:tcW w:type="dxa" w:w="8760"/>
            <w:shd w:fill="F2F4F7"/>
          </w:tcPr>
          <w:p>
            <w:pPr>
              <w:pStyle w:val="TableText"/>
            </w:pPr>
            <w:r>
              <w:rPr>
                <w:b/>
              </w:rPr>
              <w:t>Selected source</w:t>
            </w:r>
          </w:p>
        </w:tc>
      </w:tr>
      <w:tr>
        <w:trPr>
          <w:cantSplit/>
        </w:trPr>
        <w:tc>
          <w:tcPr>
            <w:tcW w:type="dxa" w:w="600"/>
          </w:tcPr>
          <w:p>
            <w:pPr>
              <w:pStyle w:val="TableText"/>
            </w:pPr>
            <w:r>
              <w:t>01</w:t>
            </w:r>
          </w:p>
        </w:tc>
        <w:tc>
          <w:tcPr>
            <w:tcW w:type="dxa" w:w="8760"/>
          </w:tcPr>
          <w:p>
            <w:pPr>
              <w:pStyle w:val="TableText"/>
            </w:pPr>
            <w:r>
              <w:t>Affordable Green Security — China / UK paper (Word)</w:t>
            </w:r>
          </w:p>
        </w:tc>
      </w:tr>
      <w:tr>
        <w:trPr>
          <w:cantSplit/>
        </w:trPr>
        <w:tc>
          <w:tcPr>
            <w:tcW w:type="dxa" w:w="600"/>
          </w:tcPr>
          <w:p>
            <w:pPr>
              <w:pStyle w:val="TableText"/>
            </w:pPr>
            <w:r>
              <w:t>02</w:t>
            </w:r>
          </w:p>
        </w:tc>
        <w:tc>
          <w:tcPr>
            <w:tcW w:type="dxa" w:w="8760"/>
          </w:tcPr>
          <w:p>
            <w:pPr>
              <w:pStyle w:val="TableText"/>
            </w:pPr>
            <w:r>
              <w:t>Full Submission to the Prime Minister — covering request and compilation (PDF)</w:t>
            </w:r>
          </w:p>
        </w:tc>
      </w:tr>
      <w:tr>
        <w:trPr>
          <w:cantSplit/>
        </w:trPr>
        <w:tc>
          <w:tcPr>
            <w:tcW w:type="dxa" w:w="600"/>
          </w:tcPr>
          <w:p>
            <w:pPr>
              <w:pStyle w:val="TableText"/>
            </w:pPr>
            <w:r>
              <w:t>03</w:t>
            </w:r>
          </w:p>
        </w:tc>
        <w:tc>
          <w:tcPr>
            <w:tcW w:type="dxa" w:w="8760"/>
          </w:tcPr>
          <w:p>
            <w:pPr>
              <w:pStyle w:val="TableText"/>
            </w:pPr>
            <w:r>
              <w:t>How Fear Can Be Turned Into Far-Left Authoritarianism (Word)</w:t>
            </w:r>
          </w:p>
        </w:tc>
      </w:tr>
      <w:tr>
        <w:trPr>
          <w:cantSplit/>
        </w:trPr>
        <w:tc>
          <w:tcPr>
            <w:tcW w:type="dxa" w:w="600"/>
          </w:tcPr>
          <w:p>
            <w:pPr>
              <w:pStyle w:val="TableText"/>
            </w:pPr>
            <w:r>
              <w:t>04</w:t>
            </w:r>
          </w:p>
        </w:tc>
        <w:tc>
          <w:tcPr>
            <w:tcW w:type="dxa" w:w="8760"/>
          </w:tcPr>
          <w:p>
            <w:pPr>
              <w:pStyle w:val="TableText"/>
            </w:pPr>
            <w:r>
              <w:t>How Fear Can Be Turned Into Far-Right Extremism (Word)</w:t>
            </w:r>
          </w:p>
        </w:tc>
      </w:tr>
      <w:tr>
        <w:trPr>
          <w:cantSplit/>
        </w:trPr>
        <w:tc>
          <w:tcPr>
            <w:tcW w:type="dxa" w:w="600"/>
          </w:tcPr>
          <w:p>
            <w:pPr>
              <w:pStyle w:val="TableText"/>
            </w:pPr>
            <w:r>
              <w:t>05</w:t>
            </w:r>
          </w:p>
        </w:tc>
        <w:tc>
          <w:tcPr>
            <w:tcW w:type="dxa" w:w="8760"/>
          </w:tcPr>
          <w:p>
            <w:pPr>
              <w:pStyle w:val="TableText"/>
            </w:pPr>
            <w:r>
              <w:t>Neighbourhood Communal Recycling Bins — reconciled (Word)</w:t>
            </w:r>
          </w:p>
        </w:tc>
      </w:tr>
      <w:tr>
        <w:trPr>
          <w:cantSplit/>
        </w:trPr>
        <w:tc>
          <w:tcPr>
            <w:tcW w:type="dxa" w:w="600"/>
          </w:tcPr>
          <w:p>
            <w:pPr>
              <w:pStyle w:val="TableText"/>
            </w:pPr>
            <w:r>
              <w:t>06</w:t>
            </w:r>
          </w:p>
        </w:tc>
        <w:tc>
          <w:tcPr>
            <w:tcW w:type="dxa" w:w="8760"/>
          </w:tcPr>
          <w:p>
            <w:pPr>
              <w:pStyle w:val="TableText"/>
            </w:pPr>
            <w:r>
              <w:t>The No More Landlords Mortgage (Word)</w:t>
            </w:r>
          </w:p>
        </w:tc>
      </w:tr>
      <w:tr>
        <w:trPr>
          <w:cantSplit/>
        </w:trPr>
        <w:tc>
          <w:tcPr>
            <w:tcW w:type="dxa" w:w="600"/>
          </w:tcPr>
          <w:p>
            <w:pPr>
              <w:pStyle w:val="TableText"/>
            </w:pPr>
            <w:r>
              <w:t>07</w:t>
            </w:r>
          </w:p>
        </w:tc>
        <w:tc>
          <w:tcPr>
            <w:tcW w:type="dxa" w:w="8760"/>
          </w:tcPr>
          <w:p>
            <w:pPr>
              <w:pStyle w:val="TableText"/>
            </w:pPr>
            <w:r>
              <w:t>The People’s European Reconstruction Programme (PDF)</w:t>
            </w:r>
          </w:p>
        </w:tc>
      </w:tr>
      <w:tr>
        <w:trPr>
          <w:cantSplit/>
        </w:trPr>
        <w:tc>
          <w:tcPr>
            <w:tcW w:type="dxa" w:w="600"/>
          </w:tcPr>
          <w:p>
            <w:pPr>
              <w:pStyle w:val="TableText"/>
            </w:pPr>
            <w:r>
              <w:t>08</w:t>
            </w:r>
          </w:p>
        </w:tc>
        <w:tc>
          <w:tcPr>
            <w:tcW w:type="dxa" w:w="8760"/>
          </w:tcPr>
          <w:p>
            <w:pPr>
              <w:pStyle w:val="TableText"/>
            </w:pPr>
            <w:r>
              <w:t>The Ladder — consolidated edition, 12 August (Word)</w:t>
            </w:r>
          </w:p>
        </w:tc>
      </w:tr>
      <w:tr>
        <w:trPr>
          <w:cantSplit/>
        </w:trPr>
        <w:tc>
          <w:tcPr>
            <w:tcW w:type="dxa" w:w="600"/>
          </w:tcPr>
          <w:p>
            <w:pPr>
              <w:pStyle w:val="TableText"/>
            </w:pPr>
            <w:r>
              <w:t>09</w:t>
            </w:r>
          </w:p>
        </w:tc>
        <w:tc>
          <w:tcPr>
            <w:tcW w:type="dxa" w:w="8760"/>
          </w:tcPr>
          <w:p>
            <w:pPr>
              <w:pStyle w:val="TableText"/>
            </w:pPr>
            <w:r>
              <w:t>Trust Is the Temple of Medicine — governing revision and retained evidence (PDF)</w:t>
            </w:r>
          </w:p>
        </w:tc>
      </w:tr>
      <w:tr>
        <w:trPr>
          <w:cantSplit/>
        </w:trPr>
        <w:tc>
          <w:tcPr>
            <w:tcW w:type="dxa" w:w="600"/>
          </w:tcPr>
          <w:p>
            <w:pPr>
              <w:pStyle w:val="TableText"/>
            </w:pPr>
            <w:r>
              <w:t>10</w:t>
            </w:r>
          </w:p>
        </w:tc>
        <w:tc>
          <w:tcPr>
            <w:tcW w:type="dxa" w:w="8760"/>
          </w:tcPr>
          <w:p>
            <w:pPr>
              <w:pStyle w:val="TableText"/>
            </w:pPr>
            <w:r>
              <w:t>Words That Trap Functions (Word)</w:t>
            </w:r>
          </w:p>
        </w:tc>
      </w:tr>
      <w:tr>
        <w:trPr>
          <w:cantSplit/>
        </w:trPr>
        <w:tc>
          <w:tcPr>
            <w:tcW w:type="dxa" w:w="600"/>
          </w:tcPr>
          <w:p>
            <w:pPr>
              <w:pStyle w:val="TableText"/>
            </w:pPr>
            <w:r>
              <w:t>11</w:t>
            </w:r>
          </w:p>
        </w:tc>
        <w:tc>
          <w:tcPr>
            <w:tcW w:type="dxa" w:w="8760"/>
          </w:tcPr>
          <w:p>
            <w:pPr>
              <w:pStyle w:val="TableText"/>
            </w:pPr>
            <w:r>
              <w:t>You Can’t Expect to Resolve Conflict If You Come Dressed as It — Alex-prefixed copy (Word)</w:t>
            </w:r>
          </w:p>
        </w:tc>
      </w:tr>
      <w:tr>
        <w:trPr>
          <w:cantSplit/>
        </w:trPr>
        <w:tc>
          <w:tcPr>
            <w:tcW w:type="dxa" w:w="600"/>
          </w:tcPr>
          <w:p>
            <w:pPr>
              <w:pStyle w:val="TableText"/>
            </w:pPr>
            <w:r>
              <w:t>12</w:t>
            </w:r>
          </w:p>
        </w:tc>
        <w:tc>
          <w:tcPr>
            <w:tcW w:type="dxa" w:w="8760"/>
          </w:tcPr>
          <w:p>
            <w:pPr>
              <w:pStyle w:val="TableText"/>
            </w:pPr>
            <w:r>
              <w:t>Alice ACOMP Shared Control Architecture (PDF)</w:t>
            </w:r>
          </w:p>
        </w:tc>
      </w:tr>
      <w:tr>
        <w:trPr>
          <w:cantSplit/>
        </w:trPr>
        <w:tc>
          <w:tcPr>
            <w:tcW w:type="dxa" w:w="600"/>
          </w:tcPr>
          <w:p>
            <w:pPr>
              <w:pStyle w:val="TableText"/>
            </w:pPr>
            <w:r>
              <w:t>13</w:t>
            </w:r>
          </w:p>
        </w:tc>
        <w:tc>
          <w:tcPr>
            <w:tcW w:type="dxa" w:w="8760"/>
          </w:tcPr>
          <w:p>
            <w:pPr>
              <w:pStyle w:val="TableText"/>
            </w:pPr>
            <w:r>
              <w:t>Alice Architecture Conversation Summary (PDF)</w:t>
            </w:r>
          </w:p>
        </w:tc>
      </w:tr>
      <w:tr>
        <w:trPr>
          <w:cantSplit/>
        </w:trPr>
        <w:tc>
          <w:tcPr>
            <w:tcW w:type="dxa" w:w="600"/>
          </w:tcPr>
          <w:p>
            <w:pPr>
              <w:pStyle w:val="TableText"/>
            </w:pPr>
            <w:r>
              <w:t>14</w:t>
            </w:r>
          </w:p>
        </w:tc>
        <w:tc>
          <w:tcPr>
            <w:tcW w:type="dxa" w:w="8760"/>
          </w:tcPr>
          <w:p>
            <w:pPr>
              <w:pStyle w:val="TableText"/>
            </w:pPr>
            <w:r>
              <w:t>Alice Foundation Recovery Snapshot v1 (PDF)</w:t>
            </w:r>
          </w:p>
        </w:tc>
      </w:tr>
      <w:tr>
        <w:trPr>
          <w:cantSplit/>
        </w:trPr>
        <w:tc>
          <w:tcPr>
            <w:tcW w:type="dxa" w:w="600"/>
          </w:tcPr>
          <w:p>
            <w:pPr>
              <w:pStyle w:val="TableText"/>
            </w:pPr>
            <w:r>
              <w:t>15</w:t>
            </w:r>
          </w:p>
        </w:tc>
        <w:tc>
          <w:tcPr>
            <w:tcW w:type="dxa" w:w="8760"/>
          </w:tcPr>
          <w:p>
            <w:pPr>
              <w:pStyle w:val="TableText"/>
            </w:pPr>
            <w:r>
              <w:t>Alice SQL Memory Architecture (PDF)</w:t>
            </w:r>
          </w:p>
        </w:tc>
      </w:tr>
      <w:tr>
        <w:trPr>
          <w:cantSplit/>
        </w:trPr>
        <w:tc>
          <w:tcPr>
            <w:tcW w:type="dxa" w:w="600"/>
          </w:tcPr>
          <w:p>
            <w:pPr>
              <w:pStyle w:val="TableText"/>
            </w:pPr>
            <w:r>
              <w:t>16</w:t>
            </w:r>
          </w:p>
        </w:tc>
        <w:tc>
          <w:tcPr>
            <w:tcW w:type="dxa" w:w="8760"/>
          </w:tcPr>
          <w:p>
            <w:pPr>
              <w:pStyle w:val="TableText"/>
            </w:pPr>
            <w:r>
              <w:t>Enough — A Democratic Wealth Ceiling for Tom (Word)</w:t>
            </w:r>
          </w:p>
        </w:tc>
      </w:tr>
      <w:tr>
        <w:trPr>
          <w:cantSplit/>
        </w:trPr>
        <w:tc>
          <w:tcPr>
            <w:tcW w:type="dxa" w:w="600"/>
          </w:tcPr>
          <w:p>
            <w:pPr>
              <w:pStyle w:val="TableText"/>
            </w:pPr>
            <w:r>
              <w:t>17</w:t>
            </w:r>
          </w:p>
        </w:tc>
        <w:tc>
          <w:tcPr>
            <w:tcW w:type="dxa" w:w="8760"/>
          </w:tcPr>
          <w:p>
            <w:pPr>
              <w:pStyle w:val="TableText"/>
            </w:pPr>
            <w:r>
              <w:t>Guadeloupe GWS-1 Hand-Built Solar Still (PDF)</w:t>
            </w:r>
          </w:p>
        </w:tc>
      </w:tr>
      <w:tr>
        <w:trPr>
          <w:cantSplit/>
        </w:trPr>
        <w:tc>
          <w:tcPr>
            <w:tcW w:type="dxa" w:w="600"/>
          </w:tcPr>
          <w:p>
            <w:pPr>
              <w:pStyle w:val="TableText"/>
            </w:pPr>
            <w:r>
              <w:t>18</w:t>
            </w:r>
          </w:p>
        </w:tc>
        <w:tc>
          <w:tcPr>
            <w:tcW w:type="dxa" w:w="8760"/>
          </w:tcPr>
          <w:p>
            <w:pPr>
              <w:pStyle w:val="TableText"/>
            </w:pPr>
            <w:r>
              <w:t>Guardians, Not Enforcers — UK Policy Paper (Word)</w:t>
            </w:r>
          </w:p>
        </w:tc>
      </w:tr>
    </w:tbl>
    <w:p>
      <w:pPr>
        <w:pStyle w:val="Heading1"/>
        <w:pageBreakBefore/>
      </w:pPr>
      <w:r>
        <w:t>Source inventory — continued</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9DDE1"/>
          <w:bottom w:val="single" w:sz="4" w:color="D9DDE1"/>
          <w:left w:val="single" w:sz="4" w:color="D9DDE1"/>
          <w:right w:val="single" w:sz="4" w:color="D9DDE1"/>
          <w:insideH w:val="single" w:sz="4" w:color="D9DDE1"/>
          <w:insideV w:val="single" w:sz="4" w:color="D9DDE1"/>
        </w:tblBorders>
      </w:tblPr>
      <w:tblGrid>
        <w:gridCol w:w="600"/>
        <w:gridCol w:w="8760"/>
      </w:tblGrid>
      <w:tr>
        <w:trPr>
          <w:cantSplit/>
          <w:tblHeader/>
        </w:trPr>
        <w:tc>
          <w:tcPr>
            <w:tcW w:type="dxa" w:w="600"/>
            <w:shd w:fill="F2F4F7"/>
          </w:tcPr>
          <w:p>
            <w:pPr>
              <w:pStyle w:val="TableText"/>
            </w:pPr>
            <w:r>
              <w:rPr>
                <w:b/>
              </w:rPr>
              <w:t>ID</w:t>
            </w:r>
          </w:p>
        </w:tc>
        <w:tc>
          <w:tcPr>
            <w:tcW w:type="dxa" w:w="8760"/>
            <w:shd w:fill="F2F4F7"/>
          </w:tcPr>
          <w:p>
            <w:pPr>
              <w:pStyle w:val="TableText"/>
            </w:pPr>
            <w:r>
              <w:rPr>
                <w:b/>
              </w:rPr>
              <w:t>Selected source</w:t>
            </w:r>
          </w:p>
        </w:tc>
      </w:tr>
      <w:tr>
        <w:trPr>
          <w:cantSplit/>
        </w:trPr>
        <w:tc>
          <w:tcPr>
            <w:tcW w:type="dxa" w:w="600"/>
          </w:tcPr>
          <w:p>
            <w:pPr>
              <w:pStyle w:val="TableText"/>
            </w:pPr>
            <w:r>
              <w:t>19</w:t>
            </w:r>
          </w:p>
        </w:tc>
        <w:tc>
          <w:tcPr>
            <w:tcW w:type="dxa" w:w="8760"/>
          </w:tcPr>
          <w:p>
            <w:pPr>
              <w:pStyle w:val="TableText"/>
            </w:pPr>
            <w:r>
              <w:t>Learning Is a Matter of Perspective — input version 0.3 (Word)</w:t>
            </w:r>
          </w:p>
        </w:tc>
      </w:tr>
      <w:tr>
        <w:trPr>
          <w:cantSplit/>
        </w:trPr>
        <w:tc>
          <w:tcPr>
            <w:tcW w:type="dxa" w:w="600"/>
          </w:tcPr>
          <w:p>
            <w:pPr>
              <w:pStyle w:val="TableText"/>
            </w:pPr>
            <w:r>
              <w:t>20</w:t>
            </w:r>
          </w:p>
        </w:tc>
        <w:tc>
          <w:tcPr>
            <w:tcW w:type="dxa" w:w="8760"/>
          </w:tcPr>
          <w:p>
            <w:pPr>
              <w:pStyle w:val="TableText"/>
            </w:pPr>
            <w:r>
              <w:t>Loss Is Not Nothing — MRRAF baseline (Word)</w:t>
            </w:r>
          </w:p>
        </w:tc>
      </w:tr>
      <w:tr>
        <w:trPr>
          <w:cantSplit/>
        </w:trPr>
        <w:tc>
          <w:tcPr>
            <w:tcW w:type="dxa" w:w="600"/>
          </w:tcPr>
          <w:p>
            <w:pPr>
              <w:pStyle w:val="TableText"/>
            </w:pPr>
            <w:r>
              <w:t>21</w:t>
            </w:r>
          </w:p>
        </w:tc>
        <w:tc>
          <w:tcPr>
            <w:tcW w:type="dxa" w:w="8760"/>
          </w:tcPr>
          <w:p>
            <w:pPr>
              <w:pStyle w:val="TableText"/>
            </w:pPr>
            <w:r>
              <w:t>MRRAF LOVE-0 Processed (Word)</w:t>
            </w:r>
          </w:p>
        </w:tc>
      </w:tr>
      <w:tr>
        <w:trPr>
          <w:cantSplit/>
        </w:trPr>
        <w:tc>
          <w:tcPr>
            <w:tcW w:type="dxa" w:w="600"/>
          </w:tcPr>
          <w:p>
            <w:pPr>
              <w:pStyle w:val="TableText"/>
            </w:pPr>
            <w:r>
              <w:t>22</w:t>
            </w:r>
          </w:p>
        </w:tc>
        <w:tc>
          <w:tcPr>
            <w:tcW w:type="dxa" w:w="8760"/>
          </w:tcPr>
          <w:p>
            <w:pPr>
              <w:pStyle w:val="TableText"/>
            </w:pPr>
            <w:r>
              <w:t>MRRAF LOVE-0 Side by Side (Word)</w:t>
            </w:r>
          </w:p>
        </w:tc>
      </w:tr>
      <w:tr>
        <w:trPr>
          <w:cantSplit/>
        </w:trPr>
        <w:tc>
          <w:tcPr>
            <w:tcW w:type="dxa" w:w="600"/>
          </w:tcPr>
          <w:p>
            <w:pPr>
              <w:pStyle w:val="TableText"/>
            </w:pPr>
            <w:r>
              <w:t>23</w:t>
            </w:r>
          </w:p>
        </w:tc>
        <w:tc>
          <w:tcPr>
            <w:tcW w:type="dxa" w:w="8760"/>
          </w:tcPr>
          <w:p>
            <w:pPr>
              <w:pStyle w:val="TableText"/>
            </w:pPr>
            <w:r>
              <w:t>Neighbourhood Communal Recycling Bins — original feasibility paper (Word)</w:t>
            </w:r>
          </w:p>
        </w:tc>
      </w:tr>
      <w:tr>
        <w:trPr>
          <w:cantSplit/>
        </w:trPr>
        <w:tc>
          <w:tcPr>
            <w:tcW w:type="dxa" w:w="600"/>
          </w:tcPr>
          <w:p>
            <w:pPr>
              <w:pStyle w:val="TableText"/>
            </w:pPr>
            <w:r>
              <w:t>24</w:t>
            </w:r>
          </w:p>
        </w:tc>
        <w:tc>
          <w:tcPr>
            <w:tcW w:type="dxa" w:w="8760"/>
          </w:tcPr>
          <w:p>
            <w:pPr>
              <w:pStyle w:val="TableText"/>
            </w:pPr>
            <w:r>
              <w:t>PSY as Body Psychology Communication — “Pasted markdown(8)” text</w:t>
            </w:r>
          </w:p>
        </w:tc>
      </w:tr>
      <w:tr>
        <w:trPr>
          <w:cantSplit/>
        </w:trPr>
        <w:tc>
          <w:tcPr>
            <w:tcW w:type="dxa" w:w="600"/>
          </w:tcPr>
          <w:p>
            <w:pPr>
              <w:pStyle w:val="TableText"/>
            </w:pPr>
            <w:r>
              <w:t>25</w:t>
            </w:r>
          </w:p>
        </w:tc>
        <w:tc>
          <w:tcPr>
            <w:tcW w:type="dxa" w:w="8760"/>
          </w:tcPr>
          <w:p>
            <w:pPr>
              <w:pStyle w:val="TableText"/>
            </w:pPr>
            <w:r>
              <w:t>Part II — From Prohibition to Regulation (Word)</w:t>
            </w:r>
          </w:p>
        </w:tc>
      </w:tr>
      <w:tr>
        <w:trPr>
          <w:cantSplit/>
        </w:trPr>
        <w:tc>
          <w:tcPr>
            <w:tcW w:type="dxa" w:w="600"/>
          </w:tcPr>
          <w:p>
            <w:pPr>
              <w:pStyle w:val="TableText"/>
            </w:pPr>
            <w:r>
              <w:t>26</w:t>
            </w:r>
          </w:p>
        </w:tc>
        <w:tc>
          <w:tcPr>
            <w:tcW w:type="dxa" w:w="8760"/>
          </w:tcPr>
          <w:p>
            <w:pPr>
              <w:pStyle w:val="TableText"/>
            </w:pPr>
            <w:r>
              <w:t>Part I — From Punishment to Care (Word)</w:t>
            </w:r>
          </w:p>
        </w:tc>
      </w:tr>
      <w:tr>
        <w:trPr>
          <w:cantSplit/>
        </w:trPr>
        <w:tc>
          <w:tcPr>
            <w:tcW w:type="dxa" w:w="600"/>
          </w:tcPr>
          <w:p>
            <w:pPr>
              <w:pStyle w:val="TableText"/>
            </w:pPr>
            <w:r>
              <w:t>27</w:t>
            </w:r>
          </w:p>
        </w:tc>
        <w:tc>
          <w:tcPr>
            <w:tcW w:type="dxa" w:w="8760"/>
          </w:tcPr>
          <w:p>
            <w:pPr>
              <w:pStyle w:val="TableText"/>
            </w:pPr>
            <w:r>
              <w:t>The Ladder — longer proposal, 5 August (PDF)</w:t>
            </w:r>
          </w:p>
        </w:tc>
      </w:tr>
      <w:tr>
        <w:trPr>
          <w:cantSplit/>
        </w:trPr>
        <w:tc>
          <w:tcPr>
            <w:tcW w:type="dxa" w:w="600"/>
          </w:tcPr>
          <w:p>
            <w:pPr>
              <w:pStyle w:val="TableText"/>
            </w:pPr>
            <w:r>
              <w:t>28</w:t>
            </w:r>
          </w:p>
        </w:tc>
        <w:tc>
          <w:tcPr>
            <w:tcW w:type="dxa" w:w="8760"/>
          </w:tcPr>
          <w:p>
            <w:pPr>
              <w:pStyle w:val="TableText"/>
            </w:pPr>
            <w:r>
              <w:t>The Perennial Resilience Plan — technical proposal (Word)</w:t>
            </w:r>
          </w:p>
        </w:tc>
      </w:tr>
      <w:tr>
        <w:trPr>
          <w:cantSplit/>
        </w:trPr>
        <w:tc>
          <w:tcPr>
            <w:tcW w:type="dxa" w:w="600"/>
          </w:tcPr>
          <w:p>
            <w:pPr>
              <w:pStyle w:val="TableText"/>
            </w:pPr>
            <w:r>
              <w:t>29</w:t>
            </w:r>
          </w:p>
        </w:tc>
        <w:tc>
          <w:tcPr>
            <w:tcW w:type="dxa" w:w="8760"/>
          </w:tcPr>
          <w:p>
            <w:pPr>
              <w:pStyle w:val="TableText"/>
            </w:pPr>
            <w:r>
              <w:t>Universal Basic Income — “Pasted markdown(7)” text</w:t>
            </w:r>
          </w:p>
        </w:tc>
      </w:tr>
      <w:tr>
        <w:trPr>
          <w:cantSplit/>
        </w:trPr>
        <w:tc>
          <w:tcPr>
            <w:tcW w:type="dxa" w:w="600"/>
          </w:tcPr>
          <w:p>
            <w:pPr>
              <w:pStyle w:val="TableText"/>
            </w:pPr>
            <w:r>
              <w:t>30</w:t>
            </w:r>
          </w:p>
        </w:tc>
        <w:tc>
          <w:tcPr>
            <w:tcW w:type="dxa" w:w="8760"/>
          </w:tcPr>
          <w:p>
            <w:pPr>
              <w:pStyle w:val="TableText"/>
            </w:pPr>
            <w:r>
              <w:t>You Can’t Expect to Resolve Conflict If You Come Dressed as It — unprefixed copy (Word)</w:t>
            </w:r>
          </w:p>
        </w:tc>
      </w:tr>
      <w:tr>
        <w:trPr>
          <w:cantSplit/>
        </w:trPr>
        <w:tc>
          <w:tcPr>
            <w:tcW w:type="dxa" w:w="600"/>
          </w:tcPr>
          <w:p>
            <w:pPr>
              <w:pStyle w:val="TableText"/>
            </w:pPr>
            <w:r>
              <w:t>31</w:t>
            </w:r>
          </w:p>
        </w:tc>
        <w:tc>
          <w:tcPr>
            <w:tcW w:type="dxa" w:w="8760"/>
          </w:tcPr>
          <w:p>
            <w:pPr>
              <w:pStyle w:val="TableText"/>
            </w:pPr>
            <w:r>
              <w:t>Alice Integration Note — Codex of Understanding (Markdown)</w:t>
            </w:r>
          </w:p>
        </w:tc>
      </w:tr>
      <w:tr>
        <w:trPr>
          <w:cantSplit/>
        </w:trPr>
        <w:tc>
          <w:tcPr>
            <w:tcW w:type="dxa" w:w="600"/>
          </w:tcPr>
          <w:p>
            <w:pPr>
              <w:pStyle w:val="TableText"/>
            </w:pPr>
            <w:r>
              <w:t>32</w:t>
            </w:r>
          </w:p>
        </w:tc>
        <w:tc>
          <w:tcPr>
            <w:tcW w:type="dxa" w:w="8760"/>
          </w:tcPr>
          <w:p>
            <w:pPr>
              <w:pStyle w:val="TableText"/>
            </w:pPr>
            <w:r>
              <w:t>Codex of Understanding — Reference (Markdown)</w:t>
            </w:r>
          </w:p>
        </w:tc>
      </w:tr>
    </w:tbl>
    <w:p>
      <w:pPr>
        <w:pStyle w:val="Heading2"/>
      </w:pPr>
      <w:r>
        <w:t>Additional material and grouping</w:t>
      </w:r>
    </w:p>
    <w:p>
      <w:pPr>
        <w:pStyle w:val="ReviewBody"/>
      </w:pPr>
      <w:r>
        <w:t>The supplied LOVE-0_Machine-Neutral_Love_Module(5).docx was the framework, not a reviewed paper. Retained PDF snapshots of learning versions 0.1 and 0.2 were also considered with source 19. Version 0.1 established the cross-system account; 0.2 foregrounded learning alongside through care and friendship; 0.3 added shared foundations, different paths and interpretations.</w:t>
      </w:r>
    </w:p>
    <w:p>
      <w:pPr>
        <w:pStyle w:val="ReviewBody"/>
      </w:pPr>
      <w:r>
        <w:t>Sources 11 and 30 are byte-identical. Sources 05/23 and 08/27 retain substantive version differences. Sources 20/21/22 preserve the MRRAF baseline, processed output and paired presentation. Sources 13/14 form one continuity/reconstruction review. The compilation at 02 repeats 07, 06 and 08; its distinct covering request is reviewed at R25.</w:t>
      </w:r>
    </w:p>
    <w:p>
      <w:pPr>
        <w:pStyle w:val="ReviewBody"/>
      </w:pPr>
      <w:r>
        <w:t>The accessible collection is not a guaranteed archive of every past conversation. This record and learning version 0.4 are the new deliverables.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Text"/>
      <w:jc w:val="right"/>
    </w:pPr>
    <w:r>
      <w:t xml:space="preserve">Review record 1.0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Text"/>
    </w:pPr>
    <w:r>
      <w:t>LOVE-0 · COMPARISON AND EDITORIAL OUTPUTS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pPr>
    <w:rPr>
      <w:rFonts w:ascii="Calibri" w:hAnsi="Calibri"/>
      <w:b w:val="0"/>
      <w:i w:val="0"/>
      <w:color w:val="20202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outlineLvl w:val="0"/>
    </w:pPr>
    <w:rPr>
      <w:rFonts w:asciiTheme="majorHAnsi" w:eastAsiaTheme="majorEastAsia" w:hAnsiTheme="majorHAnsi" w:cstheme="majorBidi" w:ascii="Calibri" w:hAnsi="Calibri"/>
      <w:b/>
      <w:bCs/>
      <w:i w:val="0"/>
      <w:color w:val="2E74B5"/>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outlineLvl w:val="1"/>
    </w:pPr>
    <w:rPr>
      <w:rFonts w:asciiTheme="majorHAnsi" w:eastAsiaTheme="majorEastAsia" w:hAnsiTheme="majorHAnsi" w:cstheme="majorBidi" w:ascii="Calibri" w:hAnsi="Calibri"/>
      <w:b/>
      <w:bCs/>
      <w:i w:val="0"/>
      <w:color w:val="2E74B5"/>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outlineLvl w:val="2"/>
    </w:pPr>
    <w:rPr>
      <w:rFonts w:asciiTheme="majorHAnsi" w:eastAsiaTheme="majorEastAsia" w:hAnsiTheme="majorHAnsi" w:cstheme="majorBidi" w:ascii="Calibri" w:hAnsi="Calibri"/>
      <w:b/>
      <w:bCs/>
      <w:i w:val="0"/>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64" w:lineRule="auto" w:before="0"/>
      <w:contextualSpacing/>
      <w:jc w:val="center"/>
    </w:pPr>
    <w:rPr>
      <w:rFonts w:asciiTheme="majorHAnsi" w:eastAsiaTheme="majorEastAsia" w:hAnsiTheme="majorHAnsi" w:cstheme="majorBidi" w:ascii="Calibri" w:hAnsi="Calibri"/>
      <w:b/>
      <w:i w:val="0"/>
      <w:color w:val="0B254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140" w:line="264" w:lineRule="auto"/>
      <w:jc w:val="center"/>
    </w:pPr>
    <w:rPr>
      <w:rFonts w:asciiTheme="majorHAnsi" w:eastAsiaTheme="majorEastAsia" w:hAnsiTheme="majorHAnsi" w:cstheme="majorBidi" w:ascii="Calibri" w:hAnsi="Calibri"/>
      <w:b w:val="0"/>
      <w:i w:val="0"/>
      <w:iCs/>
      <w:color w:val="44444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Meta">
    <w:name w:val="PaperMeta"/>
    <w:pPr>
      <w:widowControl/>
      <w:spacing w:before="0" w:after="260" w:line="264" w:lineRule="auto"/>
      <w:jc w:val="center"/>
    </w:pPr>
    <w:rPr>
      <w:rFonts w:ascii="Calibri" w:hAnsi="Calibri"/>
      <w:b w:val="0"/>
      <w:i w:val="0"/>
      <w:color w:val="666666"/>
      <w:sz w:val="18"/>
    </w:rPr>
  </w:style>
  <w:style w:type="paragraph" w:customStyle="1" w:styleId="TableText">
    <w:name w:val="TableText"/>
    <w:pPr>
      <w:widowControl/>
      <w:spacing w:before="0" w:after="60" w:line="264" w:lineRule="auto"/>
    </w:pPr>
    <w:rPr>
      <w:rFonts w:ascii="Calibri" w:hAnsi="Calibri"/>
      <w:b w:val="0"/>
      <w:i w:val="0"/>
      <w:color w:val="202020"/>
      <w:sz w:val="20"/>
    </w:rPr>
  </w:style>
  <w:style w:type="paragraph" w:customStyle="1" w:styleId="ReferenceEntry">
    <w:name w:val="ReferenceEntry"/>
    <w:pPr>
      <w:widowControl/>
      <w:spacing w:before="0" w:after="140" w:line="259" w:lineRule="auto"/>
    </w:pPr>
    <w:rPr>
      <w:rFonts w:ascii="Calibri" w:hAnsi="Calibri"/>
      <w:b w:val="0"/>
      <w:i w:val="0"/>
      <w:color w:val="202020"/>
      <w:sz w:val="19"/>
    </w:rPr>
  </w:style>
  <w:style w:type="paragraph" w:customStyle="1" w:styleId="RunningText">
    <w:name w:val="RunningText"/>
    <w:pPr>
      <w:widowControl/>
      <w:spacing w:before="0" w:after="0" w:line="240" w:lineRule="auto"/>
    </w:pPr>
    <w:rPr>
      <w:rFonts w:ascii="Calibri" w:hAnsi="Calibri"/>
      <w:b w:val="0"/>
      <w:i w:val="0"/>
      <w:color w:val="666666"/>
      <w:sz w:val="17"/>
    </w:rPr>
  </w:style>
  <w:style w:type="paragraph" w:customStyle="1" w:styleId="ClosingSentence">
    <w:name w:val="ClosingSentence"/>
    <w:pPr>
      <w:widowControl/>
      <w:spacing w:before="80" w:after="160" w:line="264" w:lineRule="auto"/>
    </w:pPr>
    <w:rPr>
      <w:rFonts w:ascii="Calibri" w:hAnsi="Calibri"/>
      <w:b/>
      <w:i w:val="0"/>
      <w:color w:val="0B2545"/>
      <w:sz w:val="22"/>
    </w:rPr>
  </w:style>
  <w:style w:type="paragraph" w:customStyle="1" w:styleId="ReviewBody">
    <w:name w:val="ReviewBody"/>
    <w:pPr>
      <w:widowControl/>
      <w:spacing w:before="0" w:after="80" w:line="259" w:lineRule="auto"/>
    </w:pPr>
    <w:rPr>
      <w:rFonts w:ascii="Calibri" w:hAnsi="Calibri"/>
      <w:b w:val="0"/>
      <w:i w:val="0"/>
      <w:color w:val="202020"/>
      <w:sz w:val="21"/>
    </w:rPr>
  </w:style>
  <w:style w:type="paragraph" w:customStyle="1" w:styleId="ReviewTitle">
    <w:name w:val="ReviewTitle"/>
    <w:pPr>
      <w:keepNext/>
      <w:widowControl/>
      <w:spacing w:before="220" w:after="80" w:line="264" w:lineRule="auto"/>
    </w:pPr>
    <w:rPr>
      <w:rFonts w:ascii="Calibri" w:hAnsi="Calibri"/>
      <w:b/>
      <w:i w:val="0"/>
      <w:color w:val="0B2545"/>
      <w:sz w:val="23"/>
    </w:rPr>
  </w:style>
  <w:style w:type="paragraph" w:customStyle="1" w:styleId="ReviewSource">
    <w:name w:val="ReviewSource"/>
    <w:pPr>
      <w:keepNext/>
      <w:widowControl/>
      <w:spacing w:before="0" w:after="80" w:line="264" w:lineRule="auto"/>
    </w:pPr>
    <w:rPr>
      <w:rFonts w:ascii="Calibri" w:hAnsi="Calibri"/>
      <w:b w:val="0"/>
      <w:i w:val="0"/>
      <w:color w:val="666666"/>
      <w:sz w:val="18"/>
    </w:rPr>
  </w:style>
  <w:style w:type="paragraph" w:customStyle="1" w:styleId="InventoryText">
    <w:name w:val="InventoryText"/>
    <w:pPr>
      <w:widowControl/>
      <w:spacing w:before="0" w:after="80" w:line="252" w:lineRule="auto"/>
    </w:pPr>
    <w:rPr>
      <w:rFonts w:ascii="Calibri" w:hAnsi="Calibri"/>
      <w:b w:val="0"/>
      <w:i w:val="0"/>
      <w:color w:val="20202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LOVE-0 Paper Comparison</dc:title>
  <dc:subject>A provisional synthesis applying LOVE-0 to learning, care, perspective and accountable feedback</dc:subject>
  <dc:creator>AL</dc:creator>
  <cp:keywords/>
  <dc:description>Concepts by AL; editorial synthesis with ChatGPT. Review record 1.0, 6 September 2026. Qualitative LOVE-0 review; not peer reviewed or experimentally validated.</dc:description>
  <cp:lastModifiedBy/>
  <cp:revision>1</cp:revision>
  <dcterms:created xsi:type="dcterms:W3CDTF">2013-12-23T23:15:00Z</dcterms:created>
  <dcterms:modified xsi:type="dcterms:W3CDTF">2013-12-23T23:15:00Z</dcterms:modified>
  <cp:category/>
</cp:coreProperties>
</file>