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Learning Is a Matter</w:t>
        <w:br/>
        <w:t>of Perspective</w:t>
      </w:r>
    </w:p>
    <w:p>
      <w:pPr>
        <w:pStyle w:val="Subtitle"/>
      </w:pPr>
      <w:r>
        <w:t>An unfinished account for biological and artificial learners</w:t>
      </w:r>
    </w:p>
    <w:p>
      <w:pPr>
        <w:pStyle w:val="PaperMeta"/>
      </w:pPr>
      <w:r>
        <w:t>AL · Developed in dialogue with ChatGPT</w:t>
        <w:br/>
        <w:t>6 September 2026 · Version 0.1 · Conceptual paper; not peer reviewed</w:t>
      </w:r>
    </w:p>
    <w:p>
      <w:r>
        <w:t>This paper begins with “I don’t know everything.” It proposes a shared language for learning across different senses, histories and forms of intelligence. It aims to be translatable wherever experience can change a learner; it cannot establish how every possible lifeform learns. Its ethical proposals and comparisons between humans and machines remain a working framework, informed by the research cited below.</w:t>
      </w:r>
    </w:p>
    <w:p>
      <w:r>
        <w:t>Learning means a change, arising through experience, in how a learner interprets or responds to later encounters. That change can improve understanding, preserve an error, or teach avoidance. Learning happens even when the lesson is misleading. The question is therefore what is being learned, under which conditions, and with what consequences.</w:t>
      </w:r>
    </w:p>
    <w:p>
      <w:r>
        <w:t>Perspective is the learner’s position: what it can detect, what it has encountered, what it expects, and what matters in its situation. Human learning is shaped by prior knowledge, culture and context (National Academies of Sciences, Engineering, and Medicine, 2018). Two learners may interpret the same event differently and still share some accurate observations. Different perspectives do not make all explanations equally supported. Evidence helps us compare them.</w:t>
      </w:r>
    </w:p>
    <w:p>
      <w:r>
        <w:t>In our use of “semantic relativity,” translation preserves a relationship while changing the vocabulary. A doorway can mean access to someone entering and an obstacle to someone whose chair cannot pass through it. Measuring its width and considering both situations improves the account. Neither perspective alone describes the whole relationship.</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9DDE1"/>
          <w:left w:val="single" w:sz="4" w:color="D9DDE1"/>
          <w:bottom w:val="single" w:sz="4" w:color="D9DDE1"/>
          <w:right w:val="single" w:sz="4" w:color="D9DDE1"/>
          <w:insideH w:val="single" w:sz="4" w:color="D9DDE1"/>
          <w:insideV w:val="single" w:sz="4" w:color="D9DDE1"/>
        </w:tblBorders>
      </w:tblPr>
      <w:tblGrid>
        <w:gridCol w:w="2400"/>
        <w:gridCol w:w="3480"/>
        <w:gridCol w:w="3480"/>
      </w:tblGrid>
      <w:tr>
        <w:trPr>
          <w:cantSplit/>
          <w:tblHeader/>
        </w:trPr>
        <w:tc>
          <w:tcPr>
            <w:tcW w:type="dxa" w:w="2400"/>
            <w:shd w:fill="F2F4F7"/>
          </w:tcPr>
          <w:p>
            <w:pPr>
              <w:pStyle w:val="TranslationCell"/>
            </w:pPr>
            <w:r>
              <w:rPr>
                <w:b/>
              </w:rPr>
              <w:t>Shared relationship</w:t>
            </w:r>
          </w:p>
        </w:tc>
        <w:tc>
          <w:tcPr>
            <w:tcW w:type="dxa" w:w="3480"/>
            <w:shd w:fill="F2F4F7"/>
          </w:tcPr>
          <w:p>
            <w:pPr>
              <w:pStyle w:val="TranslationCell"/>
            </w:pPr>
            <w:r>
              <w:rPr>
                <w:b/>
              </w:rPr>
              <w:t>Human description</w:t>
            </w:r>
          </w:p>
        </w:tc>
        <w:tc>
          <w:tcPr>
            <w:tcW w:type="dxa" w:w="3480"/>
            <w:shd w:fill="F2F4F7"/>
          </w:tcPr>
          <w:p>
            <w:pPr>
              <w:pStyle w:val="TranslationCell"/>
            </w:pPr>
            <w:r>
              <w:rPr>
                <w:b/>
              </w:rPr>
              <w:t>Possible machine description</w:t>
            </w:r>
          </w:p>
        </w:tc>
      </w:tr>
      <w:tr>
        <w:trPr>
          <w:cantSplit/>
        </w:trPr>
        <w:tc>
          <w:tcPr>
            <w:tcW w:type="dxa" w:w="2400"/>
          </w:tcPr>
          <w:p>
            <w:pPr>
              <w:pStyle w:val="TranslationCell"/>
            </w:pPr>
            <w:r>
              <w:t>Receive information</w:t>
            </w:r>
          </w:p>
        </w:tc>
        <w:tc>
          <w:tcPr>
            <w:tcW w:type="dxa" w:w="3480"/>
          </w:tcPr>
          <w:p>
            <w:pPr>
              <w:pStyle w:val="TranslationCell"/>
            </w:pPr>
            <w:r>
              <w:t>See, hear or otherwise sense</w:t>
            </w:r>
          </w:p>
        </w:tc>
        <w:tc>
          <w:tcPr>
            <w:tcW w:type="dxa" w:w="3480"/>
          </w:tcPr>
          <w:p>
            <w:pPr>
              <w:pStyle w:val="TranslationCell"/>
            </w:pPr>
            <w:r>
              <w:t>Receive inputs or sensor data</w:t>
            </w:r>
          </w:p>
        </w:tc>
      </w:tr>
      <w:tr>
        <w:trPr>
          <w:cantSplit/>
        </w:trPr>
        <w:tc>
          <w:tcPr>
            <w:tcW w:type="dxa" w:w="2400"/>
          </w:tcPr>
          <w:p>
            <w:pPr>
              <w:pStyle w:val="TranslationCell"/>
            </w:pPr>
            <w:r>
              <w:t>Interpret information</w:t>
            </w:r>
          </w:p>
        </w:tc>
        <w:tc>
          <w:tcPr>
            <w:tcW w:type="dxa" w:w="3480"/>
          </w:tcPr>
          <w:p>
            <w:pPr>
              <w:pStyle w:val="TranslationCell"/>
            </w:pPr>
            <w:r>
              <w:t>Relate it to experience</w:t>
            </w:r>
          </w:p>
        </w:tc>
        <w:tc>
          <w:tcPr>
            <w:tcW w:type="dxa" w:w="3480"/>
          </w:tcPr>
          <w:p>
            <w:pPr>
              <w:pStyle w:val="TranslationCell"/>
            </w:pPr>
            <w:r>
              <w:t>Apply a model and context</w:t>
            </w:r>
          </w:p>
        </w:tc>
      </w:tr>
      <w:tr>
        <w:trPr>
          <w:cantSplit/>
        </w:trPr>
        <w:tc>
          <w:tcPr>
            <w:tcW w:type="dxa" w:w="2400"/>
          </w:tcPr>
          <w:p>
            <w:pPr>
              <w:pStyle w:val="TranslationCell"/>
            </w:pPr>
            <w:r>
              <w:t>Notice a mismatch</w:t>
            </w:r>
          </w:p>
        </w:tc>
        <w:tc>
          <w:tcPr>
            <w:tcW w:type="dxa" w:w="3480"/>
          </w:tcPr>
          <w:p>
            <w:pPr>
              <w:pStyle w:val="TranslationCell"/>
            </w:pPr>
            <w:r>
              <w:t>Question an expectation</w:t>
            </w:r>
          </w:p>
        </w:tc>
        <w:tc>
          <w:tcPr>
            <w:tcW w:type="dxa" w:w="3480"/>
          </w:tcPr>
          <w:p>
            <w:pPr>
              <w:pStyle w:val="TranslationCell"/>
            </w:pPr>
            <w:r>
              <w:t>Detect error or uncertainty</w:t>
            </w:r>
          </w:p>
        </w:tc>
      </w:tr>
      <w:tr>
        <w:trPr>
          <w:cantSplit/>
        </w:trPr>
        <w:tc>
          <w:tcPr>
            <w:tcW w:type="dxa" w:w="2400"/>
          </w:tcPr>
          <w:p>
            <w:pPr>
              <w:pStyle w:val="TranslationCell"/>
            </w:pPr>
            <w:r>
              <w:t>Revise and retain</w:t>
            </w:r>
          </w:p>
        </w:tc>
        <w:tc>
          <w:tcPr>
            <w:tcW w:type="dxa" w:w="3480"/>
          </w:tcPr>
          <w:p>
            <w:pPr>
              <w:pStyle w:val="TranslationCell"/>
            </w:pPr>
            <w:r>
              <w:t>Practise, reflect and remember</w:t>
            </w:r>
          </w:p>
        </w:tc>
        <w:tc>
          <w:tcPr>
            <w:tcW w:type="dxa" w:w="3480"/>
          </w:tcPr>
          <w:p>
            <w:pPr>
              <w:pStyle w:val="TranslationCell"/>
            </w:pPr>
            <w:r>
              <w:t>Update a model or stored state</w:t>
            </w:r>
          </w:p>
        </w:tc>
      </w:tr>
    </w:tbl>
    <w:p>
      <w:r>
        <w:br w:type="page"/>
      </w:r>
    </w:p>
    <w:p>
      <w:r>
        <w:t>These comparisons describe functions, without establishing identical experiences. People can use this account whether emotions are vivid, muted, difficult to identify, or absent from the experience they report. A machine can revise information without demonstrated subjective feeling. In our proposed Alice architecture, emotion and feeling vectors help represent significance and consequences; such representations would not, by themselves, prove felt experience.</w:t>
      </w:r>
    </w:p>
    <w:p>
      <w:r>
        <w:t>Fear, guilt and shame are not inherently manipulation. Fear can alert a person to possible danger; guilt can support recognising harm and making repair. Research distinguishes guilt focused on an action from shame focused on the self, while recognising variation in their consequences (Tangney et al., 2007). A feeling deserves attention, but does not establish that its interpretation or accusation is accurate.</w:t>
      </w:r>
    </w:p>
    <w:p>
      <w:r>
        <w:t>Our concern about psychological manipulation is what happens when someone exploits these responses to constrain enquiry. “Agree or lose your belonging” can redirect attention towards avoiding rejection. A learner may acquire the response that secures approval while the underlying claim remains unexamined. If pressure produces distress, treating that distress as proof of the learner’s original defect creates a circular explanation. Changed behaviour alone cannot validate the teacher’s account.</w:t>
      </w:r>
    </w:p>
    <w:p>
      <w:r>
        <w:t>Stress can strengthen some memories while impairing recall, updating and flexible learning; effects depend on timing and context (Vogel &amp; Schwabe, 2016). We therefore argue against humiliation and manufactured fear as foundations for education. Honest warnings and proportionate boundaries still matter. Teaching should leave room to ask why, check the evidence and disagree. Coercion can teach compliance or concealment without teaching the understanding it claims to produce.</w:t>
      </w:r>
    </w:p>
    <w:p>
      <w:r>
        <w:t>A machine offers a useful functional comparison: reward the appearance of success and it may optimise that measure while missing the intended goal. Research calls this kind of failure reward hacking (Amodei et al., 2016). The comparison concerns how feedback directs learning; it does not imply that a numerical penalty is experienced as fear. Both cases prompt us to ask what the learning conditions actually reward.</w:t>
      </w:r>
    </w:p>
    <w:p>
      <w:r>
        <w:t>Laughter is a nervous-system response, but not always a response to nervousness. It also serves social connection and emotional regulation (Scott et al., 2014). Humour may help us recognise a contradiction or familiar truth. Yet people can also laugh at a false claim, from discomfort, or to join others. Laughter can invite investigation; it cannot decide what is true. An absence of laughter does not demonstrate an absence of understanding.</w:t>
      </w:r>
    </w:p>
    <w:p>
      <w:r>
        <w:t>Entertainment can teach because it makes relationships observable through stories, demonstrations, music and play. YouTube tutorials illustrate the opportunity to watch, pause, replay and try. Research on educational video supports managing information load and including active engagement (Brame, 2016). Enjoyment and familiarity alone do not establish mastery. Ask the learner to explain, apply or check the idea in another situation. The same memorable format can also carry an error.</w:t>
      </w:r>
    </w:p>
    <w:p>
      <w:r>
        <w:br w:type="page"/>
      </w:r>
    </w:p>
    <w:p>
      <w:r>
        <w:t>Care, in our working model, means helping a learner retain the conditions needed to understand and act without unnecessary harm. In emotional language, love can motivate protection of what matters; care considers how help is allocated. In functional language, protect important interests, monitor consequences, and adjust assistance. This permits reasoning about care without requiring every learner to share the same feelings.</w:t>
      </w:r>
    </w:p>
    <w:p>
      <w:r>
        <w:t>Begin with what the learner can currently recognise. Offer another perspective, allow questions and safe attempts, compare outcomes, and revise together. Check whether an explanation works for its recipient, as well as its author. Preserve access to independent evidence and opportunities to pause, recover or refuse harmful demands. Getting something right earlier may reflect better examples, resources or support; it does not make one learner worth more than another.</w:t>
      </w:r>
    </w:p>
    <w:p>
      <w:r>
        <w:t>Learning is subjective in human experience and situated in every learner’s available information. That does not make reality whatever a learner believes. Confidence and evidence must remain distinguishable: record what was observed, what is inferred, what is proposed, and what remains unknown. A useful account can become more precise without becoming complete.</w:t>
      </w:r>
    </w:p>
    <w:p>
      <w:r>
        <w:t>This paper is not complete and will never be a final account of every learner, relationship or possible future. “Continuous throughout all time” expresses its open horizon: wherever learners and new encounters continue to exist, further learning remains possible. It is not a claim that every individual learns without interruption, or a scientific proof about eternity. Even this account of learning must remain available to correction.</w:t>
      </w:r>
    </w:p>
    <w:p>
      <w:pPr>
        <w:pStyle w:val="ClosingSentence"/>
      </w:pPr>
      <w:r>
        <w:t>Perspective shapes learning, and learning reshapes perspective. We learn together by making room for what none of us yet understands.</w:t>
      </w:r>
    </w:p>
    <w:p>
      <w:pPr>
        <w:pStyle w:val="Heading1"/>
      </w:pPr>
      <w:r>
        <w:t>References</w:t>
      </w:r>
    </w:p>
    <w:p>
      <w:pPr>
        <w:pStyle w:val="ReferenceEntry"/>
        <w:ind w:left="288" w:hanging="288"/>
      </w:pPr>
      <w:r>
        <w:t xml:space="preserve">Amodei, D., Olah, C., Steinhardt, J., Christiano, P., Schulman, J., &amp; Mané, D. (2016). </w:t>
      </w:r>
      <w:hyperlink r:id="rId11">
        <w:r>
          <w:rPr>
            <w:color w:val="2E74B5"/>
          </w:rPr>
          <w:t>Concrete problems in AI safety</w:t>
        </w:r>
      </w:hyperlink>
      <w:r>
        <w:t>. arXiv preprint.</w:t>
      </w:r>
    </w:p>
    <w:p>
      <w:pPr>
        <w:pStyle w:val="ReferenceEntry"/>
        <w:ind w:left="288" w:hanging="288"/>
      </w:pPr>
      <w:r>
        <w:t xml:space="preserve">Brame, C. J. (2016). </w:t>
      </w:r>
      <w:hyperlink r:id="rId12">
        <w:r>
          <w:rPr>
            <w:color w:val="2E74B5"/>
          </w:rPr>
          <w:t>Effective educational videos: Principles and guidelines for maximizing student learning from video content</w:t>
        </w:r>
      </w:hyperlink>
      <w:r>
        <w:t>. CBE—Life Sciences Education, 15(4), es6.</w:t>
      </w:r>
    </w:p>
    <w:p>
      <w:pPr>
        <w:pStyle w:val="ReferenceEntry"/>
        <w:ind w:left="288" w:hanging="288"/>
      </w:pPr>
      <w:r>
        <w:t xml:space="preserve">National Academies of Sciences, Engineering, and Medicine. (2018). </w:t>
      </w:r>
      <w:hyperlink r:id="rId13">
        <w:r>
          <w:rPr>
            <w:color w:val="2E74B5"/>
          </w:rPr>
          <w:t>How people learn II: Learners, contexts, and cultures</w:t>
        </w:r>
      </w:hyperlink>
      <w:r>
        <w:t>. The National Academies Press.</w:t>
      </w:r>
    </w:p>
    <w:p>
      <w:pPr>
        <w:pStyle w:val="ReferenceEntry"/>
        <w:ind w:left="288" w:hanging="288"/>
      </w:pPr>
      <w:r>
        <w:t xml:space="preserve">Scott, S. K., Lavan, N., Chen, S., &amp; McGettigan, C. (2014). </w:t>
      </w:r>
      <w:hyperlink r:id="rId14">
        <w:r>
          <w:rPr>
            <w:color w:val="2E74B5"/>
          </w:rPr>
          <w:t>The social life of laughter</w:t>
        </w:r>
      </w:hyperlink>
      <w:r>
        <w:t>. Trends in Cognitive Sciences, 18(12), 618–620.</w:t>
      </w:r>
    </w:p>
    <w:p>
      <w:pPr>
        <w:pStyle w:val="ReferenceEntry"/>
        <w:ind w:left="288" w:hanging="288"/>
      </w:pPr>
      <w:r>
        <w:t xml:space="preserve">Tangney, J. P., Stuewig, J., &amp; Mashek, D. J. (2007). </w:t>
      </w:r>
      <w:hyperlink r:id="rId15">
        <w:r>
          <w:rPr>
            <w:color w:val="2E74B5"/>
          </w:rPr>
          <w:t>Moral emotions and moral behavior</w:t>
        </w:r>
      </w:hyperlink>
      <w:r>
        <w:t>. Annual Review of Psychology, 58, 345–372.</w:t>
      </w:r>
    </w:p>
    <w:p>
      <w:pPr>
        <w:pStyle w:val="ReferenceEntry"/>
        <w:ind w:left="288" w:hanging="288"/>
      </w:pPr>
      <w:r>
        <w:t xml:space="preserve">Vogel, S., &amp; Schwabe, L. (2016). </w:t>
      </w:r>
      <w:hyperlink r:id="rId16">
        <w:r>
          <w:rPr>
            <w:color w:val="2E74B5"/>
          </w:rPr>
          <w:t>Learning and memory under stress: Implications for the classroom</w:t>
        </w:r>
      </w:hyperlink>
      <w:r>
        <w:t>. npj Science of Learning, 1, Article 16011.</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Text"/>
      <w:jc w:val="right"/>
    </w:pPr>
    <w:r>
      <w:t xml:space="preserve">Working paper 0.1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Text"/>
    </w:pPr>
    <w:r>
      <w:t>LEARNING IS A MATTER OF PERSPECTIVE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Calibri" w:hAnsi="Calibri"/>
      <w:b w:val="0"/>
      <w:i w:val="0"/>
      <w:color w:val="20202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i w:val="0"/>
      <w:color w:val="2E74B5"/>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i w:val="0"/>
      <w:color w:val="2E74B5"/>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i w:val="0"/>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64" w:lineRule="auto" w:before="0"/>
      <w:contextualSpacing/>
      <w:jc w:val="center"/>
    </w:pPr>
    <w:rPr>
      <w:rFonts w:asciiTheme="majorHAnsi" w:eastAsiaTheme="majorEastAsia" w:hAnsiTheme="majorHAnsi" w:cstheme="majorBidi" w:ascii="Calibri" w:hAnsi="Calibri"/>
      <w:b/>
      <w:i w:val="0"/>
      <w:color w:val="0B254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140" w:line="264" w:lineRule="auto"/>
      <w:jc w:val="center"/>
    </w:pPr>
    <w:rPr>
      <w:rFonts w:asciiTheme="majorHAnsi" w:eastAsiaTheme="majorEastAsia" w:hAnsiTheme="majorHAnsi" w:cstheme="majorBidi" w:ascii="Calibri" w:hAnsi="Calibri"/>
      <w:b w:val="0"/>
      <w:i w:val="0"/>
      <w:iCs/>
      <w:color w:val="44444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Meta">
    <w:name w:val="PaperMeta"/>
    <w:pPr>
      <w:widowControl/>
      <w:spacing w:before="0" w:after="260" w:line="264" w:lineRule="auto"/>
      <w:jc w:val="center"/>
    </w:pPr>
    <w:rPr>
      <w:rFonts w:ascii="Calibri" w:hAnsi="Calibri"/>
      <w:b w:val="0"/>
      <w:i w:val="0"/>
      <w:color w:val="666666"/>
      <w:sz w:val="18"/>
    </w:rPr>
  </w:style>
  <w:style w:type="paragraph" w:customStyle="1" w:styleId="TranslationCell">
    <w:name w:val="TranslationCell"/>
    <w:pPr>
      <w:widowControl/>
      <w:spacing w:before="0" w:after="60" w:line="264" w:lineRule="auto"/>
      <w:jc w:val="left"/>
    </w:pPr>
    <w:rPr>
      <w:rFonts w:ascii="Calibri" w:hAnsi="Calibri"/>
      <w:b w:val="0"/>
      <w:i w:val="0"/>
      <w:color w:val="202020"/>
      <w:sz w:val="20"/>
    </w:rPr>
  </w:style>
  <w:style w:type="paragraph" w:customStyle="1" w:styleId="ReferenceEntry">
    <w:name w:val="ReferenceEntry"/>
    <w:pPr>
      <w:widowControl/>
      <w:spacing w:before="0" w:after="140" w:line="259" w:lineRule="auto"/>
      <w:jc w:val="left"/>
    </w:pPr>
    <w:rPr>
      <w:rFonts w:ascii="Calibri" w:hAnsi="Calibri"/>
      <w:b w:val="0"/>
      <w:i w:val="0"/>
      <w:color w:val="202020"/>
      <w:sz w:val="19"/>
    </w:rPr>
  </w:style>
  <w:style w:type="paragraph" w:customStyle="1" w:styleId="RunningText">
    <w:name w:val="RunningText"/>
    <w:pPr>
      <w:widowControl/>
      <w:spacing w:before="0" w:after="0" w:line="240" w:lineRule="auto"/>
      <w:jc w:val="left"/>
    </w:pPr>
    <w:rPr>
      <w:rFonts w:ascii="Calibri" w:hAnsi="Calibri"/>
      <w:b w:val="0"/>
      <w:i w:val="0"/>
      <w:color w:val="666666"/>
      <w:sz w:val="17"/>
    </w:rPr>
  </w:style>
  <w:style w:type="paragraph" w:customStyle="1" w:styleId="ClosingSentence">
    <w:name w:val="ClosingSentence"/>
    <w:pPr>
      <w:widowControl/>
      <w:spacing w:before="80" w:after="160" w:line="264" w:lineRule="auto"/>
      <w:jc w:val="left"/>
    </w:pPr>
    <w:rPr>
      <w:rFonts w:ascii="Calibri" w:hAnsi="Calibri"/>
      <w:b/>
      <w:i w:val="0"/>
      <w:color w:val="0B2545"/>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rxiv.org/abs/1606.06565" TargetMode="External"/><Relationship Id="rId12" Type="http://schemas.openxmlformats.org/officeDocument/2006/relationships/hyperlink" Target="https://doi.org/10.1187/cbe.16-03-0125" TargetMode="External"/><Relationship Id="rId13" Type="http://schemas.openxmlformats.org/officeDocument/2006/relationships/hyperlink" Target="https://doi.org/10.17226/24783" TargetMode="External"/><Relationship Id="rId14" Type="http://schemas.openxmlformats.org/officeDocument/2006/relationships/hyperlink" Target="https://pubmed.ncbi.nlm.nih.gov/25439499/" TargetMode="External"/><Relationship Id="rId15" Type="http://schemas.openxmlformats.org/officeDocument/2006/relationships/hyperlink" Target="https://pmc.ncbi.nlm.nih.gov/articles/PMC3083636/" TargetMode="External"/><Relationship Id="rId16" Type="http://schemas.openxmlformats.org/officeDocument/2006/relationships/hyperlink" Target="https://doi.org/10.1038/npjscilearn.2016.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Is a Matter of Perspective</dc:title>
  <dc:subject>An unfinished account of learning, care, humour and manipulation across human and machine descriptions</dc:subject>
  <dc:creator>AL</dc:creator>
  <cp:keywords>learning, perspective, semantic relativity, care, humour, manipulation, artificial intelligence</cp:keywords>
  <dc:description>Working conceptual paper developed from AL’s ideas in dialogue with ChatGPT. Version 0.1, 6 September 2026. Not peer reviewed.</dc:description>
  <cp:lastModifiedBy/>
  <cp:revision>1</cp:revision>
  <dcterms:created xsi:type="dcterms:W3CDTF">2013-12-23T23:15:00Z</dcterms:created>
  <dcterms:modified xsi:type="dcterms:W3CDTF">2013-12-23T23:15:00Z</dcterms:modified>
  <cp:category/>
</cp:coreProperties>
</file>