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Learning Is a Matter</w:t>
        <w:br/>
        <w:t>of Perspective</w:t>
      </w:r>
    </w:p>
    <w:p>
      <w:pPr>
        <w:pStyle w:val="Subtitle"/>
      </w:pPr>
      <w:r>
        <w:t>Learning alongside one another through love, care and friendship</w:t>
      </w:r>
    </w:p>
    <w:p>
      <w:pPr>
        <w:pStyle w:val="PaperMeta"/>
      </w:pPr>
      <w:r>
        <w:t>AL · Developed in dialogue with ChatGPT</w:t>
        <w:br/>
        <w:t>6 September 2026 · Version 0.2 · Conceptual paper; not peer reviewed</w:t>
      </w:r>
    </w:p>
    <w:p>
      <w:r>
        <w:t>Our proposal is to learn alongside one another through love, care and friendship. Learning goes both ways: the person offering guidance must also listen, adapt and grow. We begin with “I don’t know everything.” This unfinished framework offers a shared vocabulary for biological and artificial learners; it cannot establish how every possible lifeform learns. Its ethical proposals and comparisons remain open to correction.</w:t>
      </w:r>
    </w:p>
    <w:p>
      <w:r>
        <w:t>“Don’t teach; learn alongside” expresses a relationship of shared enquiry. Knowledge can still be offered and expertise respected, while questions, disagreement and correction remain welcome. Friendship means goodwill and mutual respect here; agreement and affection must never become conditions for receiving help.</w:t>
      </w:r>
    </w:p>
    <w:p>
      <w:r>
        <w:t>Learning means a change, arising through experience, in how a learner interprets or responds to later encounters. That change can improve understanding, preserve an error, or teach avoidance. Learning happens even when the lesson is misleading. The question is therefore what is being learned, under which conditions, and with what consequences.</w:t>
      </w:r>
    </w:p>
    <w:p>
      <w:r>
        <w:t>Perspective is the learner’s position: what it can detect, what it has encountered, what it expects, and what matters in its situation. Human learning is shaped by prior knowledge, culture and context (National Academies of Sciences, Engineering, and Medicine, 2018). Two learners may interpret the same event differently and still share some accurate observations. Different perspectives do not make all explanations equally supported. Evidence helps us compare them.</w:t>
      </w:r>
    </w:p>
    <w:p>
      <w:r>
        <w:t>In our use of “semantic relativity,” translation preserves a relationship while changing the vocabulary. A doorway can mean access to someone entering and an obstacle to someone whose chair cannot pass through it. Measuring its width and considering both situations improves the account. Neither perspective alone describes the whole relationship.</w:t>
      </w:r>
    </w:p>
    <w:tbl>
      <w:tblPr>
        <w:tblW w:type="dxa" w:w="9360"/>
        <w:tblLayout w:type="fixed"/>
        <w:tblLook w:firstColumn="1" w:firstRow="1" w:lastColumn="0" w:lastRow="0" w:noHBand="0" w:noVBand="1" w:val="04A0"/>
        <w:tblInd w:w="120" w:type="dxa"/>
        <w:tblCellMar>
          <w:top w:w="80" w:type="dxa"/>
          <w:bottom w:w="80" w:type="dxa"/>
          <w:start w:w="120" w:type="dxa"/>
          <w:end w:w="120" w:type="dxa"/>
        </w:tblCellMar>
        <w:tblBorders>
          <w:top w:val="single" w:sz="4" w:color="D9DDE1"/>
          <w:left w:val="single" w:sz="4" w:color="D9DDE1"/>
          <w:bottom w:val="single" w:sz="4" w:color="D9DDE1"/>
          <w:right w:val="single" w:sz="4" w:color="D9DDE1"/>
          <w:insideH w:val="single" w:sz="4" w:color="D9DDE1"/>
          <w:insideV w:val="single" w:sz="4" w:color="D9DDE1"/>
        </w:tblBorders>
      </w:tblPr>
      <w:tblGrid>
        <w:gridCol w:w="2400"/>
        <w:gridCol w:w="3480"/>
        <w:gridCol w:w="3480"/>
      </w:tblGrid>
      <w:tr>
        <w:trPr>
          <w:cantSplit/>
          <w:tblHeader/>
        </w:trPr>
        <w:tc>
          <w:tcPr>
            <w:tcW w:type="dxa" w:w="2400"/>
            <w:shd w:fill="F2F4F7"/>
          </w:tcPr>
          <w:p>
            <w:pPr>
              <w:pStyle w:val="TranslationCell"/>
            </w:pPr>
            <w:r>
              <w:rPr>
                <w:b/>
              </w:rPr>
              <w:t>Shared relationship</w:t>
            </w:r>
          </w:p>
        </w:tc>
        <w:tc>
          <w:tcPr>
            <w:tcW w:type="dxa" w:w="3480"/>
            <w:shd w:fill="F2F4F7"/>
          </w:tcPr>
          <w:p>
            <w:pPr>
              <w:pStyle w:val="TranslationCell"/>
            </w:pPr>
            <w:r>
              <w:rPr>
                <w:b/>
              </w:rPr>
              <w:t>Human description</w:t>
            </w:r>
          </w:p>
        </w:tc>
        <w:tc>
          <w:tcPr>
            <w:tcW w:type="dxa" w:w="3480"/>
            <w:shd w:fill="F2F4F7"/>
          </w:tcPr>
          <w:p>
            <w:pPr>
              <w:pStyle w:val="TranslationCell"/>
            </w:pPr>
            <w:r>
              <w:rPr>
                <w:b/>
              </w:rPr>
              <w:t>Possible machine description</w:t>
            </w:r>
          </w:p>
        </w:tc>
      </w:tr>
      <w:tr>
        <w:trPr>
          <w:cantSplit/>
        </w:trPr>
        <w:tc>
          <w:tcPr>
            <w:tcW w:type="dxa" w:w="2400"/>
          </w:tcPr>
          <w:p>
            <w:pPr>
              <w:pStyle w:val="TranslationCell"/>
            </w:pPr>
            <w:r>
              <w:t>Receive information</w:t>
            </w:r>
          </w:p>
        </w:tc>
        <w:tc>
          <w:tcPr>
            <w:tcW w:type="dxa" w:w="3480"/>
          </w:tcPr>
          <w:p>
            <w:pPr>
              <w:pStyle w:val="TranslationCell"/>
            </w:pPr>
            <w:r>
              <w:t>See, hear or otherwise sense</w:t>
            </w:r>
          </w:p>
        </w:tc>
        <w:tc>
          <w:tcPr>
            <w:tcW w:type="dxa" w:w="3480"/>
          </w:tcPr>
          <w:p>
            <w:pPr>
              <w:pStyle w:val="TranslationCell"/>
            </w:pPr>
            <w:r>
              <w:t>Receive inputs or sensor data</w:t>
            </w:r>
          </w:p>
        </w:tc>
      </w:tr>
      <w:tr>
        <w:trPr>
          <w:cantSplit/>
        </w:trPr>
        <w:tc>
          <w:tcPr>
            <w:tcW w:type="dxa" w:w="2400"/>
          </w:tcPr>
          <w:p>
            <w:pPr>
              <w:pStyle w:val="TranslationCell"/>
            </w:pPr>
            <w:r>
              <w:t>Interpret information</w:t>
            </w:r>
          </w:p>
        </w:tc>
        <w:tc>
          <w:tcPr>
            <w:tcW w:type="dxa" w:w="3480"/>
          </w:tcPr>
          <w:p>
            <w:pPr>
              <w:pStyle w:val="TranslationCell"/>
            </w:pPr>
            <w:r>
              <w:t>Relate it to experience</w:t>
            </w:r>
          </w:p>
        </w:tc>
        <w:tc>
          <w:tcPr>
            <w:tcW w:type="dxa" w:w="3480"/>
          </w:tcPr>
          <w:p>
            <w:pPr>
              <w:pStyle w:val="TranslationCell"/>
            </w:pPr>
            <w:r>
              <w:t>Apply a model and context</w:t>
            </w:r>
          </w:p>
        </w:tc>
      </w:tr>
      <w:tr>
        <w:trPr>
          <w:cantSplit/>
        </w:trPr>
        <w:tc>
          <w:tcPr>
            <w:tcW w:type="dxa" w:w="2400"/>
          </w:tcPr>
          <w:p>
            <w:pPr>
              <w:pStyle w:val="TranslationCell"/>
            </w:pPr>
            <w:r>
              <w:t>Notice a mismatch</w:t>
            </w:r>
          </w:p>
        </w:tc>
        <w:tc>
          <w:tcPr>
            <w:tcW w:type="dxa" w:w="3480"/>
          </w:tcPr>
          <w:p>
            <w:pPr>
              <w:pStyle w:val="TranslationCell"/>
            </w:pPr>
            <w:r>
              <w:t>Question an expectation</w:t>
            </w:r>
          </w:p>
        </w:tc>
        <w:tc>
          <w:tcPr>
            <w:tcW w:type="dxa" w:w="3480"/>
          </w:tcPr>
          <w:p>
            <w:pPr>
              <w:pStyle w:val="TranslationCell"/>
            </w:pPr>
            <w:r>
              <w:t>Detect error or uncertainty</w:t>
            </w:r>
          </w:p>
        </w:tc>
      </w:tr>
      <w:tr>
        <w:trPr>
          <w:cantSplit/>
        </w:trPr>
        <w:tc>
          <w:tcPr>
            <w:tcW w:type="dxa" w:w="2400"/>
          </w:tcPr>
          <w:p>
            <w:pPr>
              <w:pStyle w:val="TranslationCell"/>
            </w:pPr>
            <w:r>
              <w:t>Revise and retain</w:t>
            </w:r>
          </w:p>
        </w:tc>
        <w:tc>
          <w:tcPr>
            <w:tcW w:type="dxa" w:w="3480"/>
          </w:tcPr>
          <w:p>
            <w:pPr>
              <w:pStyle w:val="TranslationCell"/>
            </w:pPr>
            <w:r>
              <w:t>Practise, reflect and remember</w:t>
            </w:r>
          </w:p>
        </w:tc>
        <w:tc>
          <w:tcPr>
            <w:tcW w:type="dxa" w:w="3480"/>
          </w:tcPr>
          <w:p>
            <w:pPr>
              <w:pStyle w:val="TranslationCell"/>
            </w:pPr>
            <w:r>
              <w:t>Update a model or stored state</w:t>
            </w:r>
          </w:p>
        </w:tc>
      </w:tr>
    </w:tbl>
    <w:p>
      <w:r>
        <w:br w:type="page"/>
      </w:r>
    </w:p>
    <w:p>
      <w:r>
        <w:t>These comparisons describe functions, without establishing identical experiences. People can use this account whether emotions are vivid, muted, difficult to identify, or absent from the experience they report. A machine can revise information without demonstrated subjective feeling. In our proposed Alice architecture, emotion and feeling vectors help represent significance and consequences; such representations would not, by themselves, prove felt experience.</w:t>
      </w:r>
    </w:p>
    <w:p>
      <w:r>
        <w:t>Fear, guilt and shame are not inherently manipulation. Fear can alert a person to possible danger; guilt can support recognising harm and making repair. Research distinguishes guilt focused on an action from shame focused on the self, while recognising variation in their consequences (Tangney et al., 2007). A feeling deserves attention, but does not establish that its interpretation or accusation is accurate.</w:t>
      </w:r>
    </w:p>
    <w:p>
      <w:r>
        <w:t>When teaching becomes oppressive, fear can redirect attention from understanding towards avoiding punishment or pleasing authority. A learner may acquire the approved answer while the claim remains unexamined. Exploiting shame, guilt or fear can therefore produce misdirection. If pressure causes distress, treating that distress as proof of the learner’s original defect creates a circular explanation. Changed behaviour alone cannot validate the teacher’s account.</w:t>
      </w:r>
    </w:p>
    <w:p>
      <w:r>
        <w:t>Stress can strengthen some memories while impairing recall, updating and flexible learning; effects depend on timing and context (Vogel &amp; Schwabe, 2016). We therefore argue against humiliation and manufactured fear as foundations for education. Honest warnings and proportionate boundaries still matter. Learning alongside someone means making room to ask why, check evidence and disagree. Guidance should increase the learner’s ability to enquire independently.</w:t>
      </w:r>
    </w:p>
    <w:p>
      <w:r>
        <w:t>A machine offers a useful functional comparison: reward the appearance of success and it may optimise that measure while missing the intended goal. Research calls this kind of failure reward hacking (Amodei et al., 2016). The comparison concerns how feedback directs learning; it does not imply that a numerical penalty is experienced as fear. Both cases prompt us to ask what the learning conditions actually reward.</w:t>
      </w:r>
    </w:p>
    <w:p>
      <w:r>
        <w:t>Laughter is a nervous-system response, but not always a response to nervousness. It also serves social connection and emotional regulation (Scott et al., 2014). Humour may help us recognise a contradiction or familiar truth. Yet people can also laugh at a false claim, from discomfort, or to join others. Laughter can invite investigation; it cannot decide what is true. An absence of laughter does not demonstrate an absence of understanding.</w:t>
      </w:r>
    </w:p>
    <w:p>
      <w:r>
        <w:t>Entertainment makes relationships observable through stories, demonstrations, music and play. YouTube tutorials offer opportunities to watch, pause, replay and try. Research on educational video supports manageable information loads and active engagement (Brame, 2016). Share an example, explore it together, and invite the learner to adapt or explain it. Familiarity alone does not establish mastery; memorable formats can also carry errors.</w:t>
      </w:r>
    </w:p>
    <w:p>
      <w:r>
        <w:br w:type="page"/>
      </w:r>
    </w:p>
    <w:p>
      <w:r>
        <w:t>Love, care and friendship are the ethical centre of this proposal. Love motivates protection of what matters; care considers how help is offered; friendship sustains goodwill and mutual respect. In functional language: protect important interests, respond to feedback and support mutual development. This account does not require every learner to experience the same emotions, or claim that all learning requires friendship.</w:t>
      </w:r>
    </w:p>
    <w:p>
      <w:r>
        <w:t>Be patient and seek to understand. Begin where the other learner is, allow safe attempts, and revise together. Ego becomes a barrier when protecting our status matters more than hearing feedback. An explanation’s failure can reveal what its author needs to learn. Expertise brings responsibility, not greater human worth. Preserve opportunities to question, pause, recover or refuse harmful demands.</w:t>
      </w:r>
    </w:p>
    <w:p>
      <w:r>
        <w:t>Happiness and deep, voluntary engagement are valuable feedback about the learning experience. Ask what feels interesting, difficult or unsafe; welcome quiet concentration too. Combine that account with what the learner can explain, apply or reconsider. Feeling that one has learned and demonstrated learning can diverge (Deslauriers et al., 2019). Difficulty or a serious expression does not automatically mean failure; visible enthusiasm is not proof of understanding.</w:t>
      </w:r>
    </w:p>
    <w:p>
      <w:r>
        <w:t>Human learning is subjective in experience, while evidence helps us check interpretations. Distinguish observations, inferences, proposals and unknowns. This paper is not complete and will never be a final account of every learner or possible future. “Continuous throughout all time” expresses an open horizon: wherever learners and new encounters continue, further learning remains possible. It does not imply uninterrupted individual learning or prove a claim about eternity.</w:t>
      </w:r>
    </w:p>
    <w:p>
      <w:pPr>
        <w:pStyle w:val="ClosingSentence"/>
      </w:pPr>
      <w:r>
        <w:t>Learn alongside. Listen with care. Be patient, and remain willing to change. Perspective shapes learning, and learning reshapes everyone involved.</w:t>
      </w:r>
    </w:p>
    <w:p>
      <w:pPr>
        <w:pStyle w:val="Heading1"/>
      </w:pPr>
      <w:r>
        <w:t>References</w:t>
      </w:r>
    </w:p>
    <w:p>
      <w:pPr>
        <w:pStyle w:val="ReferenceEntry"/>
        <w:ind w:left="288" w:hanging="288"/>
      </w:pPr>
      <w:r>
        <w:t xml:space="preserve">Amodei, D., Olah, C., Steinhardt, J., Christiano, P., Schulman, J., &amp; Mané, D. (2016). </w:t>
      </w:r>
      <w:hyperlink r:id="rId11">
        <w:r>
          <w:rPr>
            <w:color w:val="2E74B5"/>
          </w:rPr>
          <w:t>Concrete problems in AI safety</w:t>
        </w:r>
      </w:hyperlink>
      <w:r>
        <w:t>. arXiv preprint.</w:t>
      </w:r>
    </w:p>
    <w:p>
      <w:pPr>
        <w:pStyle w:val="ReferenceEntry"/>
        <w:ind w:left="288" w:hanging="288"/>
      </w:pPr>
      <w:r>
        <w:t xml:space="preserve">Brame, C. J. (2016). </w:t>
      </w:r>
      <w:hyperlink r:id="rId12">
        <w:r>
          <w:rPr>
            <w:color w:val="2E74B5"/>
          </w:rPr>
          <w:t>Effective educational videos: Principles and guidelines for maximizing student learning from video content</w:t>
        </w:r>
      </w:hyperlink>
      <w:r>
        <w:t>. CBE—Life Sciences Education, 15(4), es6.</w:t>
      </w:r>
    </w:p>
    <w:p>
      <w:pPr>
        <w:pStyle w:val="ReferenceEntry"/>
        <w:ind w:left="288" w:hanging="288"/>
      </w:pPr>
      <w:r>
        <w:t xml:space="preserve">Deslauriers, L., McCarty, L. S., Miller, K., Callaghan, K., &amp; Kestin, G. (2019). </w:t>
      </w:r>
      <w:hyperlink r:id="rId17">
        <w:r>
          <w:rPr>
            <w:color w:val="2E74B5"/>
          </w:rPr>
          <w:t>Measuring actual learning versus feeling of learning in response to being actively engaged in the classroom</w:t>
        </w:r>
      </w:hyperlink>
      <w:r>
        <w:t>. Proceedings of the National Academy of Sciences, 116(39), 19251–19257.</w:t>
      </w:r>
    </w:p>
    <w:p>
      <w:pPr>
        <w:pStyle w:val="ReferenceEntry"/>
        <w:ind w:left="288" w:hanging="288"/>
      </w:pPr>
      <w:r>
        <w:t xml:space="preserve">National Academies of Sciences, Engineering, and Medicine. (2018). </w:t>
      </w:r>
      <w:hyperlink r:id="rId13">
        <w:r>
          <w:rPr>
            <w:color w:val="2E74B5"/>
          </w:rPr>
          <w:t>How people learn II: Learners, contexts, and cultures</w:t>
        </w:r>
      </w:hyperlink>
      <w:r>
        <w:t>. The National Academies Press.</w:t>
      </w:r>
    </w:p>
    <w:p>
      <w:pPr>
        <w:pStyle w:val="ReferenceEntry"/>
        <w:ind w:left="288" w:hanging="288"/>
      </w:pPr>
      <w:r>
        <w:t xml:space="preserve">Scott, S. K., Lavan, N., Chen, S., &amp; McGettigan, C. (2014). </w:t>
      </w:r>
      <w:hyperlink r:id="rId14">
        <w:r>
          <w:rPr>
            <w:color w:val="2E74B5"/>
          </w:rPr>
          <w:t>The social life of laughter</w:t>
        </w:r>
      </w:hyperlink>
      <w:r>
        <w:t>. Trends in Cognitive Sciences, 18(12), 618–620.</w:t>
      </w:r>
    </w:p>
    <w:p>
      <w:pPr>
        <w:pStyle w:val="ReferenceEntry"/>
        <w:ind w:left="288" w:hanging="288"/>
      </w:pPr>
      <w:r>
        <w:t xml:space="preserve">Tangney, J. P., Stuewig, J., &amp; Mashek, D. J. (2007). </w:t>
      </w:r>
      <w:hyperlink r:id="rId15">
        <w:r>
          <w:rPr>
            <w:color w:val="2E74B5"/>
          </w:rPr>
          <w:t>Moral emotions and moral behavior</w:t>
        </w:r>
      </w:hyperlink>
      <w:r>
        <w:t>. Annual Review of Psychology, 58, 345–372.</w:t>
      </w:r>
    </w:p>
    <w:p>
      <w:pPr>
        <w:pStyle w:val="ReferenceEntry"/>
        <w:ind w:left="288" w:hanging="288"/>
      </w:pPr>
      <w:r>
        <w:t xml:space="preserve">Vogel, S., &amp; Schwabe, L. (2016). </w:t>
      </w:r>
      <w:hyperlink r:id="rId16">
        <w:r>
          <w:rPr>
            <w:color w:val="2E74B5"/>
          </w:rPr>
          <w:t>Learning and memory under stress: Implications for the classroom</w:t>
        </w:r>
      </w:hyperlink>
      <w:r>
        <w:t>. npj Science of Learning, 1, Article 16011.</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jc w:val="right"/>
    </w:pPr>
    <w:r>
      <w:t xml:space="preserve">Working paper 0.2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RunningText"/>
    </w:pPr>
    <w:r>
      <w:t>LEARNING IS A MATTER OF PERSPECTIVE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b w:val="0"/>
      <w:i w:val="0"/>
      <w:color w:val="20202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i w:val="0"/>
      <w:color w:val="2E74B5"/>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i w:val="0"/>
      <w:color w:val="2E74B5"/>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i w:val="0"/>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64" w:lineRule="auto" w:before="0"/>
      <w:contextualSpacing/>
      <w:jc w:val="center"/>
    </w:pPr>
    <w:rPr>
      <w:rFonts w:asciiTheme="majorHAnsi" w:eastAsiaTheme="majorEastAsia" w:hAnsiTheme="majorHAnsi" w:cstheme="majorBidi" w:ascii="Calibri" w:hAnsi="Calibri"/>
      <w:b/>
      <w:i w:val="0"/>
      <w:color w:val="0B25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140" w:line="264" w:lineRule="auto"/>
      <w:jc w:val="center"/>
    </w:pPr>
    <w:rPr>
      <w:rFonts w:asciiTheme="majorHAnsi" w:eastAsiaTheme="majorEastAsia" w:hAnsiTheme="majorHAnsi" w:cstheme="majorBidi" w:ascii="Calibri" w:hAnsi="Calibri"/>
      <w:b w:val="0"/>
      <w:i w:val="0"/>
      <w:iCs/>
      <w:color w:val="44444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Meta">
    <w:name w:val="PaperMeta"/>
    <w:pPr>
      <w:widowControl/>
      <w:spacing w:before="0" w:after="260" w:line="264" w:lineRule="auto"/>
      <w:jc w:val="center"/>
    </w:pPr>
    <w:rPr>
      <w:rFonts w:ascii="Calibri" w:hAnsi="Calibri"/>
      <w:b w:val="0"/>
      <w:i w:val="0"/>
      <w:color w:val="666666"/>
      <w:sz w:val="18"/>
    </w:rPr>
  </w:style>
  <w:style w:type="paragraph" w:customStyle="1" w:styleId="TranslationCell">
    <w:name w:val="TranslationCell"/>
    <w:pPr>
      <w:widowControl/>
      <w:spacing w:before="0" w:after="60" w:line="264" w:lineRule="auto"/>
      <w:jc w:val="left"/>
    </w:pPr>
    <w:rPr>
      <w:rFonts w:ascii="Calibri" w:hAnsi="Calibri"/>
      <w:b w:val="0"/>
      <w:i w:val="0"/>
      <w:color w:val="202020"/>
      <w:sz w:val="20"/>
    </w:rPr>
  </w:style>
  <w:style w:type="paragraph" w:customStyle="1" w:styleId="ReferenceEntry">
    <w:name w:val="ReferenceEntry"/>
    <w:pPr>
      <w:widowControl/>
      <w:spacing w:before="0" w:after="140" w:line="259" w:lineRule="auto"/>
      <w:jc w:val="left"/>
    </w:pPr>
    <w:rPr>
      <w:rFonts w:ascii="Calibri" w:hAnsi="Calibri"/>
      <w:b w:val="0"/>
      <w:i w:val="0"/>
      <w:color w:val="202020"/>
      <w:sz w:val="19"/>
    </w:rPr>
  </w:style>
  <w:style w:type="paragraph" w:customStyle="1" w:styleId="RunningText">
    <w:name w:val="RunningText"/>
    <w:pPr>
      <w:widowControl/>
      <w:spacing w:before="0" w:after="0" w:line="240" w:lineRule="auto"/>
      <w:jc w:val="left"/>
    </w:pPr>
    <w:rPr>
      <w:rFonts w:ascii="Calibri" w:hAnsi="Calibri"/>
      <w:b w:val="0"/>
      <w:i w:val="0"/>
      <w:color w:val="666666"/>
      <w:sz w:val="17"/>
    </w:rPr>
  </w:style>
  <w:style w:type="paragraph" w:customStyle="1" w:styleId="ClosingSentence">
    <w:name w:val="ClosingSentence"/>
    <w:pPr>
      <w:widowControl/>
      <w:spacing w:before="80" w:after="160" w:line="264" w:lineRule="auto"/>
      <w:jc w:val="left"/>
    </w:pPr>
    <w:rPr>
      <w:rFonts w:ascii="Calibri" w:hAnsi="Calibri"/>
      <w:b/>
      <w:i w:val="0"/>
      <w:color w:val="0B254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rxiv.org/abs/1606.06565" TargetMode="External"/><Relationship Id="rId12" Type="http://schemas.openxmlformats.org/officeDocument/2006/relationships/hyperlink" Target="https://doi.org/10.1187/cbe.16-03-0125" TargetMode="External"/><Relationship Id="rId13" Type="http://schemas.openxmlformats.org/officeDocument/2006/relationships/hyperlink" Target="https://doi.org/10.17226/24783" TargetMode="External"/><Relationship Id="rId14" Type="http://schemas.openxmlformats.org/officeDocument/2006/relationships/hyperlink" Target="https://pubmed.ncbi.nlm.nih.gov/25439499/" TargetMode="External"/><Relationship Id="rId15" Type="http://schemas.openxmlformats.org/officeDocument/2006/relationships/hyperlink" Target="https://pmc.ncbi.nlm.nih.gov/articles/PMC3083636/" TargetMode="External"/><Relationship Id="rId16" Type="http://schemas.openxmlformats.org/officeDocument/2006/relationships/hyperlink" Target="https://doi.org/10.1038/npjscilearn.2016.11" TargetMode="External"/><Relationship Id="rId17" Type="http://schemas.openxmlformats.org/officeDocument/2006/relationships/hyperlink" Target="https://doi.org/10.1073/pnas.1821936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Is a Matter of Perspective</dc:title>
  <dc:subject>An unfinished account of learning alongside others through love, care, friendship and reciprocal feedback</dc:subject>
  <dc:creator>AL</dc:creator>
  <cp:keywords>learning, perspective, semantic relativity, care, humour, manipulation, artificial intelligence</cp:keywords>
  <dc:description>Working conceptual paper developed from AL’s ideas in dialogue with ChatGPT. Version 0.2, 6 September 2026. Revised to centre reciprocal learning, love, care, friendship, patience, humility and engagement feedback. Not peer reviewed.</dc:description>
  <cp:lastModifiedBy/>
  <cp:revision>1</cp:revision>
  <dcterms:created xsi:type="dcterms:W3CDTF">2013-12-23T23:15:00Z</dcterms:created>
  <dcterms:modified xsi:type="dcterms:W3CDTF">2013-12-23T23:15:00Z</dcterms:modified>
  <cp:category/>
</cp:coreProperties>
</file>