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ptos Display" w:hAnsi="Aptos Display"/>
          <w:b/>
          <w:color w:val="000000"/>
          <w:sz w:val="54"/>
        </w:rPr>
        <w:t>NHS Interim Needs and Adjustments Certificate Policy Proposal</w:t>
      </w:r>
    </w:p>
    <w:p>
      <w:pPr>
        <w:pStyle w:val="Subtitle"/>
      </w:pPr>
      <w:r>
        <w:rPr>
          <w:rFonts w:ascii="Aptos" w:hAnsi="Aptos"/>
          <w:color w:val="6B7280"/>
          <w:sz w:val="26"/>
        </w:rPr>
        <w:t>Immediate protection and pathway continuity while diagnosis is pending</w:t>
      </w:r>
    </w:p>
    <w:p/>
    <w:p>
      <w:pPr>
        <w:pStyle w:val="Smallmeta"/>
      </w:pPr>
      <w:r>
        <w:rPr>
          <w:rFonts w:ascii="Aptos" w:hAnsi="Aptos"/>
          <w:b/>
          <w:color w:val="17365D"/>
          <w:sz w:val="18"/>
        </w:rPr>
        <w:t xml:space="preserve">Scope  </w:t>
      </w:r>
      <w:r>
        <w:rPr>
          <w:rFonts w:ascii="Aptos" w:hAnsi="Aptos"/>
          <w:color w:val="6B7280"/>
          <w:sz w:val="18"/>
        </w:rPr>
        <w:t>England first with routes for Great Britain and the devolved health systems</w:t>
      </w:r>
    </w:p>
    <w:p>
      <w:pPr>
        <w:pStyle w:val="Smallmeta"/>
      </w:pPr>
      <w:r>
        <w:rPr>
          <w:rFonts w:ascii="Aptos" w:hAnsi="Aptos"/>
          <w:b/>
          <w:color w:val="17365D"/>
          <w:sz w:val="18"/>
        </w:rPr>
        <w:t xml:space="preserve">Policy instrument  </w:t>
      </w:r>
      <w:r>
        <w:rPr>
          <w:rFonts w:ascii="Aptos" w:hAnsi="Aptos"/>
          <w:color w:val="6B7280"/>
          <w:sz w:val="18"/>
        </w:rPr>
        <w:t>A condition neutral NHS certificate linked to the Reasonable Adjustment Digital Flag and one persistent referral record</w:t>
      </w:r>
    </w:p>
    <w:p>
      <w:pPr>
        <w:pStyle w:val="Smallmeta"/>
      </w:pPr>
      <w:r>
        <w:rPr>
          <w:rFonts w:ascii="Aptos" w:hAnsi="Aptos"/>
          <w:b/>
          <w:color w:val="17365D"/>
          <w:sz w:val="18"/>
        </w:rPr>
        <w:t xml:space="preserve">Evidence date  </w:t>
      </w:r>
      <w:r>
        <w:rPr>
          <w:rFonts w:ascii="Aptos" w:hAnsi="Aptos"/>
          <w:color w:val="6B7280"/>
          <w:sz w:val="18"/>
        </w:rPr>
        <w:t>18 September 2026</w:t>
      </w:r>
    </w:p>
    <w:p>
      <w:pPr>
        <w:pStyle w:val="Smallmeta"/>
      </w:pPr>
      <w:r>
        <w:rPr>
          <w:rFonts w:ascii="Aptos" w:hAnsi="Aptos"/>
          <w:b/>
          <w:color w:val="17365D"/>
          <w:sz w:val="18"/>
        </w:rPr>
        <w:t xml:space="preserve">Primary decision  </w:t>
      </w:r>
      <w:r>
        <w:rPr>
          <w:rFonts w:ascii="Aptos" w:hAnsi="Aptos"/>
          <w:color w:val="6B7280"/>
          <w:sz w:val="18"/>
        </w:rPr>
        <w:t>Approve a 12 month multi site pilot and prepare the statutory and contractual package</w:t>
      </w:r>
    </w:p>
    <w:p/>
    <w:p>
      <w:pPr>
        <w:spacing w:before="360" w:after="160"/>
      </w:pPr>
      <w:r>
        <w:rPr>
          <w:rFonts w:ascii="Aptos" w:hAnsi="Aptos"/>
          <w:b/>
          <w:color w:val="17365D"/>
          <w:sz w:val="22"/>
        </w:rPr>
        <w:t>Proposal in one sentence</w:t>
      </w:r>
    </w:p>
    <w:p>
      <w:pPr>
        <w:spacing w:after="140" w:line="269" w:lineRule="auto"/>
      </w:pPr>
      <w:r>
        <w:rPr>
          <w:rFonts w:ascii="Aptos" w:hAnsi="Aptos"/>
        </w:rPr>
        <w:t>After an initial clinical and functional assessment, the NHS should issue a temporary, portable certificate that records what a person needs now, preserves one continuous diagnostic pathway, activates reasonable adjustments, and prevents repeated registration, avoidable reassessment, duplicate billing and loss of waiting time while specialist diagnosis is pending.</w:t>
      </w:r>
    </w:p>
    <w:p>
      <w:pPr>
        <w:spacing w:before="240"/>
      </w:pPr>
      <w:r>
        <w:rPr>
          <w:rFonts w:ascii="Aptos" w:hAnsi="Aptos"/>
          <w:b/>
          <w:color w:val="17365D"/>
          <w:sz w:val="22"/>
        </w:rPr>
        <w:t>Core safeguard</w:t>
      </w:r>
    </w:p>
    <w:p>
      <w:pPr>
        <w:spacing w:after="140" w:line="269" w:lineRule="auto"/>
      </w:pPr>
      <w:r>
        <w:rPr>
          <w:rFonts w:ascii="Aptos" w:hAnsi="Aptos"/>
        </w:rPr>
        <w:t>The certificate is not a diagnosis and is not permission to ration diagnosis. It must add practical protection without weakening any existing right held by a person who has no certificate.</w:t>
      </w:r>
    </w:p>
    <w:p>
      <w:r>
        <w:br w:type="page"/>
      </w:r>
    </w:p>
    <w:p>
      <w:pPr>
        <w:pStyle w:val="Heading1"/>
        <w:keepNext/>
      </w:pPr>
      <w:r>
        <w:rPr>
          <w:rFonts w:ascii="Aptos" w:hAnsi="Aptos"/>
          <w:b/>
          <w:color w:val="000000"/>
        </w:rPr>
        <w:t>Executive summary</w:t>
      </w:r>
    </w:p>
    <w:p>
      <w:pPr>
        <w:spacing w:after="140" w:line="269" w:lineRule="auto"/>
      </w:pPr>
      <w:r>
        <w:rPr>
          <w:rFonts w:ascii="Aptos" w:hAnsi="Aptos"/>
        </w:rPr>
        <w:t>People can wait months or years for autism, ADHD and other specialist assessments. During that interval they may have substantial, long term functional difficulties but lack a simple document that public services, employers, education providers and commissioned health providers can act on consistently. The result can be repeated explanations, inaccessible appointments, failed referrals, administrative closure, duplicated intake work, loss of place in a queue and pressure to pay privately.</w:t>
      </w:r>
    </w:p>
    <w:p>
      <w:pPr>
        <w:spacing w:after="140" w:line="269" w:lineRule="auto"/>
      </w:pPr>
      <w:r>
        <w:rPr>
          <w:rFonts w:ascii="Aptos" w:hAnsi="Aptos"/>
        </w:rPr>
        <w:t>This proposal establishes the NHS Interim Needs and Adjustments Certificate, abbreviated INAC. A GP or other authorised NHS clinician would issue it following a proportionate initial assessment of functional impact, risk, communication requirements and immediate support needs. The person would receive a human readable certificate; the core adjustments would also be recorded on the NHS Reasonable Adjustment Digital Flag and linked to one persistent pathway identifier.</w:t>
      </w:r>
    </w:p>
    <w:p>
      <w:pPr>
        <w:spacing w:after="140" w:line="269" w:lineRule="auto"/>
      </w:pPr>
      <w:r>
        <w:rPr>
          <w:rFonts w:ascii="Aptos" w:hAnsi="Aptos"/>
        </w:rPr>
        <w:t>The policy does not make legal protection depend on diagnosis. Under the Equality Act 2010, disability turns on the effect and duration of an impairment, not simply on possession of a diagnostic label. The certificate would make that existing position usable in daily administration. A later legislative layer could create a rebuttable interim presumption for specified adjustment duties, while expressly preserving the rights of people who do not hold a certificate.</w:t>
      </w:r>
    </w:p>
    <w:p>
      <w:pPr>
        <w:spacing w:after="140" w:line="269" w:lineRule="auto"/>
      </w:pPr>
      <w:r>
        <w:rPr>
          <w:rFonts w:ascii="Aptos" w:hAnsi="Aptos"/>
        </w:rPr>
        <w:t>The proposal is informed by an anonymised continuing case in Devon. The contributor reports disability, autism and ADHD assessment needs, severe physical symptoms, collapse with significant memory loss, inability to use telephone or video safely, conflicting accounts about referrals, inaccessible booking processes, repeated demands to reconstruct information, and unresolved concerns about the competence, data handling and outcomes of private providers. These reports are lived evidence of mechanisms and harm, not proof that every allegation or provider is at fault. The policy therefore requires record level investigation, professional credential checks and financial audit before conclusions or payments are accepted.</w:t>
      </w:r>
    </w:p>
    <w:p>
      <w:pPr>
        <w:spacing w:after="140" w:line="269" w:lineRule="auto"/>
      </w:pPr>
      <w:r>
        <w:rPr>
          <w:rFonts w:ascii="Aptos" w:hAnsi="Aptos"/>
        </w:rPr>
        <w:t>Public provision should remain the default pathway and the NHS should retain clinical ownership, records, workforce capability and control of public funds. Independent capacity should be commissioned only where it adds demonstrable public value and has passed prior checks on regulation, clinician qualifications, clinical quality, continuity, data return and value for money. Outsourcing must not transfer accountability away from the NHS or make the patient carry the risk of provider failure.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232"/>
            <w:shd w:fill="17365D"/>
            <w:tcMar>
              <w:top w:w="110" w:type="dxa"/>
              <w:start w:w="120" w:type="dxa"/>
              <w:bottom w:w="110" w:type="dxa"/>
              <w:end w:w="120" w:type="dxa"/>
            </w:tcMar>
            <w:vAlign w:val="center"/>
          </w:tcPr>
          <w:p>
            <w:pPr>
              <w:spacing w:after="0"/>
              <w:jc w:val="center"/>
            </w:pPr>
            <w:r>
              <w:rPr>
                <w:rFonts w:ascii="Aptos" w:hAnsi="Aptos"/>
                <w:b/>
                <w:color w:val="FFFFFF"/>
                <w:sz w:val="18"/>
              </w:rPr>
              <w:t>Policy result</w:t>
            </w:r>
          </w:p>
        </w:tc>
        <w:tc>
          <w:tcPr>
            <w:tcW w:type="dxa" w:w="7416"/>
            <w:shd w:fill="17365D"/>
            <w:tcMar>
              <w:top w:w="110" w:type="dxa"/>
              <w:start w:w="120" w:type="dxa"/>
              <w:bottom w:w="110" w:type="dxa"/>
              <w:end w:w="120" w:type="dxa"/>
            </w:tcMar>
            <w:vAlign w:val="center"/>
          </w:tcPr>
          <w:p>
            <w:pPr>
              <w:spacing w:after="0"/>
              <w:jc w:val="center"/>
            </w:pPr>
            <w:r>
              <w:rPr>
                <w:rFonts w:ascii="Aptos" w:hAnsi="Aptos"/>
                <w:b/>
                <w:color w:val="FFFFFF"/>
                <w:sz w:val="18"/>
              </w:rPr>
              <w:t>What changes</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Immediate support</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Necessary adjustments and interim support are recorded at the start of the pathway rather than after diagnosis.</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Continuity</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One referral identity follows the person across NHS and commissioned independent providers; transfers do not reset waiting time.</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Financial control</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Claims must match a unique referral and completed service event; duplicate intake, failed registration and avoidable repeat assessment are not separately billable.</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NHS-first commissioning</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Core pathway capability, accountability and records remain public; outside capacity is supplementary, credential checked, auditable and paid only for verified work.</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Patient protection</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Administrative closure requires written reasons, notice, correction rights and rapid review. No one loses protection because an NHS wait continues.</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Safe limits</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The certificate does not authorise controlled medication, guarantee a final diagnosis or automatically determine benefits, education plans or social care eligibility.</w:t>
            </w:r>
          </w:p>
        </w:tc>
      </w:tr>
    </w:tbl>
    <w:p>
      <w:pPr>
        <w:spacing w:after="20"/>
      </w:pPr>
    </w:p>
    <w:p>
      <w:pPr>
        <w:pStyle w:val="Heading2"/>
        <w:keepNext/>
      </w:pPr>
      <w:r>
        <w:rPr>
          <w:rFonts w:ascii="Aptos" w:hAnsi="Aptos"/>
          <w:b/>
          <w:color w:val="000000"/>
        </w:rPr>
        <w:t>Decision requested</w:t>
      </w:r>
    </w:p>
    <w:p>
      <w:pPr>
        <w:spacing w:after="100" w:line="259" w:lineRule="auto"/>
        <w:ind w:left="403" w:hanging="403"/>
      </w:pPr>
      <w:r>
        <w:rPr>
          <w:rFonts w:ascii="Aptos" w:hAnsi="Aptos"/>
        </w:rPr>
        <w:t>1.  Approve development of INAC as an England pilot led by the Department of Health and Social Care and NHS England, with integrated care board delivery.</w:t>
      </w:r>
    </w:p>
    <w:p>
      <w:pPr>
        <w:spacing w:after="100" w:line="259" w:lineRule="auto"/>
        <w:ind w:left="403" w:hanging="403"/>
      </w:pPr>
      <w:r>
        <w:rPr>
          <w:rFonts w:ascii="Aptos" w:hAnsi="Aptos"/>
        </w:rPr>
        <w:t>2.  Use the existing Reasonable Adjustment Digital Flag and NHS referral infrastructure rather than building a separate national register.</w:t>
      </w:r>
    </w:p>
    <w:p>
      <w:pPr>
        <w:spacing w:after="100" w:line="259" w:lineRule="auto"/>
        <w:ind w:left="403" w:hanging="403"/>
      </w:pPr>
      <w:r>
        <w:rPr>
          <w:rFonts w:ascii="Aptos" w:hAnsi="Aptos"/>
        </w:rPr>
        <w:t>3.  Commission a legal package covering NHS duties, cross sector evidential status, data protection, complaints, procurement and recovery of improper duplicate payments.</w:t>
      </w:r>
    </w:p>
    <w:p>
      <w:pPr>
        <w:spacing w:after="100" w:line="259" w:lineRule="auto"/>
        <w:ind w:left="403" w:hanging="403"/>
      </w:pPr>
      <w:r>
        <w:rPr>
          <w:rFonts w:ascii="Aptos" w:hAnsi="Aptos"/>
        </w:rPr>
        <w:t>4.  Require independent evaluation before national rollout, including patient outcomes, equality effects, administrative failure rates and verified cash releasing or cost avoiding savings.</w:t>
      </w:r>
    </w:p>
    <w:p>
      <w:pPr>
        <w:spacing w:after="100" w:line="259" w:lineRule="auto"/>
        <w:ind w:left="403" w:hanging="403"/>
      </w:pPr>
      <w:r>
        <w:rPr>
          <w:rFonts w:ascii="Aptos" w:hAnsi="Aptos"/>
        </w:rPr>
        <w:t>5.  Adopt an NHS-first commissioning presumption: core diagnostic capacity remains publicly owned and delivered, with independent provision used only as transparent, time limited supplementary capacity after a public interest and value for money test.</w:t>
      </w:r>
    </w:p>
    <w:p>
      <w:pPr>
        <w:spacing w:after="100" w:line="259" w:lineRule="auto"/>
        <w:ind w:left="403" w:hanging="403"/>
      </w:pPr>
      <w:r>
        <w:rPr>
          <w:rFonts w:ascii="Aptos" w:hAnsi="Aptos"/>
        </w:rPr>
        <w:t>6.  Order a baseline patient journey, workforce credential and payment audit of relevant NHS-funded independent pathways before further expansion or contract renewal.</w:t>
      </w:r>
    </w:p>
    <w:p>
      <w:pPr>
        <w:pStyle w:val="Heading1"/>
        <w:keepNext/>
      </w:pPr>
      <w:r>
        <w:rPr>
          <w:rFonts w:ascii="Aptos" w:hAnsi="Aptos"/>
          <w:b/>
          <w:color w:val="000000"/>
        </w:rPr>
        <w:t>Contents</w:t>
      </w:r>
    </w:p>
    <w:p>
      <w:pPr>
        <w:pStyle w:val="Smallmeta"/>
      </w:pPr>
      <w:r>
        <w:rPr>
          <w:rFonts w:ascii="Aptos" w:hAnsi="Aptos"/>
          <w:color w:val="000000"/>
          <w:sz w:val="19"/>
        </w:rPr>
        <w:t>1  The problem and policy case</w:t>
      </w:r>
    </w:p>
    <w:p>
      <w:pPr>
        <w:pStyle w:val="Smallmeta"/>
      </w:pPr>
      <w:r>
        <w:rPr>
          <w:rFonts w:ascii="Aptos" w:hAnsi="Aptos"/>
          <w:color w:val="000000"/>
          <w:sz w:val="19"/>
        </w:rPr>
        <w:t>2  Existing rights and the operational gap</w:t>
      </w:r>
    </w:p>
    <w:p>
      <w:pPr>
        <w:pStyle w:val="Smallmeta"/>
      </w:pPr>
      <w:r>
        <w:rPr>
          <w:rFonts w:ascii="Aptos" w:hAnsi="Aptos"/>
          <w:color w:val="000000"/>
          <w:sz w:val="19"/>
        </w:rPr>
        <w:t>3  Policy objectives and design principles</w:t>
      </w:r>
    </w:p>
    <w:p>
      <w:pPr>
        <w:pStyle w:val="Smallmeta"/>
      </w:pPr>
      <w:r>
        <w:rPr>
          <w:rFonts w:ascii="Aptos" w:hAnsi="Aptos"/>
          <w:color w:val="000000"/>
          <w:sz w:val="19"/>
        </w:rPr>
        <w:t>4  The proposed certificate</w:t>
      </w:r>
    </w:p>
    <w:p>
      <w:pPr>
        <w:pStyle w:val="Smallmeta"/>
      </w:pPr>
      <w:r>
        <w:rPr>
          <w:rFonts w:ascii="Aptos" w:hAnsi="Aptos"/>
          <w:color w:val="000000"/>
          <w:sz w:val="19"/>
        </w:rPr>
        <w:t>5  Eligibility and issue process</w:t>
      </w:r>
    </w:p>
    <w:p>
      <w:pPr>
        <w:pStyle w:val="Smallmeta"/>
      </w:pPr>
      <w:r>
        <w:rPr>
          <w:rFonts w:ascii="Aptos" w:hAnsi="Aptos"/>
          <w:color w:val="000000"/>
          <w:sz w:val="19"/>
        </w:rPr>
        <w:t>6  Legal and practical effect</w:t>
      </w:r>
    </w:p>
    <w:p>
      <w:pPr>
        <w:pStyle w:val="Smallmeta"/>
      </w:pPr>
      <w:r>
        <w:rPr>
          <w:rFonts w:ascii="Aptos" w:hAnsi="Aptos"/>
          <w:color w:val="000000"/>
          <w:sz w:val="19"/>
        </w:rPr>
        <w:t>7  End to end operating model</w:t>
      </w:r>
    </w:p>
    <w:p>
      <w:pPr>
        <w:pStyle w:val="Smallmeta"/>
      </w:pPr>
      <w:r>
        <w:rPr>
          <w:rFonts w:ascii="Aptos" w:hAnsi="Aptos"/>
          <w:color w:val="000000"/>
          <w:sz w:val="19"/>
        </w:rPr>
        <w:t>8  Protection against administrative and financial abuse</w:t>
      </w:r>
    </w:p>
    <w:p>
      <w:pPr>
        <w:pStyle w:val="Smallmeta"/>
      </w:pPr>
      <w:r>
        <w:rPr>
          <w:rFonts w:ascii="Aptos" w:hAnsi="Aptos"/>
          <w:color w:val="000000"/>
          <w:sz w:val="19"/>
        </w:rPr>
        <w:t>9  Clinical safety and access safeguards</w:t>
      </w:r>
    </w:p>
    <w:p>
      <w:pPr>
        <w:pStyle w:val="Smallmeta"/>
      </w:pPr>
      <w:r>
        <w:rPr>
          <w:rFonts w:ascii="Aptos" w:hAnsi="Aptos"/>
          <w:color w:val="000000"/>
          <w:sz w:val="19"/>
        </w:rPr>
        <w:t>10  Information governance and patient control</w:t>
      </w:r>
    </w:p>
    <w:p>
      <w:pPr>
        <w:pStyle w:val="Smallmeta"/>
      </w:pPr>
      <w:r>
        <w:rPr>
          <w:rFonts w:ascii="Aptos" w:hAnsi="Aptos"/>
          <w:color w:val="000000"/>
          <w:sz w:val="19"/>
        </w:rPr>
        <w:t>11  Delivery ownership and accountability</w:t>
      </w:r>
    </w:p>
    <w:p>
      <w:pPr>
        <w:pStyle w:val="Smallmeta"/>
      </w:pPr>
      <w:r>
        <w:rPr>
          <w:rFonts w:ascii="Aptos" w:hAnsi="Aptos"/>
          <w:color w:val="000000"/>
          <w:sz w:val="19"/>
        </w:rPr>
        <w:t>12  Financial case and evaluation</w:t>
      </w:r>
    </w:p>
    <w:p>
      <w:pPr>
        <w:pStyle w:val="Smallmeta"/>
      </w:pPr>
      <w:r>
        <w:rPr>
          <w:rFonts w:ascii="Aptos" w:hAnsi="Aptos"/>
          <w:color w:val="000000"/>
          <w:sz w:val="19"/>
        </w:rPr>
        <w:t>13  Implementation plan</w:t>
      </w:r>
    </w:p>
    <w:p>
      <w:pPr>
        <w:pStyle w:val="Smallmeta"/>
      </w:pPr>
      <w:r>
        <w:rPr>
          <w:rFonts w:ascii="Aptos" w:hAnsi="Aptos"/>
          <w:color w:val="000000"/>
          <w:sz w:val="19"/>
        </w:rPr>
        <w:t>14  Risks and mitigations</w:t>
      </w:r>
    </w:p>
    <w:p>
      <w:pPr>
        <w:pStyle w:val="Smallmeta"/>
      </w:pPr>
      <w:r>
        <w:rPr>
          <w:rFonts w:ascii="Aptos" w:hAnsi="Aptos"/>
          <w:color w:val="000000"/>
          <w:sz w:val="19"/>
        </w:rPr>
        <w:t>15  Legislative and regulatory package</w:t>
      </w:r>
    </w:p>
    <w:p>
      <w:pPr>
        <w:pStyle w:val="Smallmeta"/>
      </w:pPr>
      <w:r>
        <w:rPr>
          <w:rFonts w:ascii="Aptos" w:hAnsi="Aptos"/>
          <w:color w:val="000000"/>
          <w:sz w:val="19"/>
        </w:rPr>
        <w:t>16  Final recommendations</w:t>
      </w:r>
    </w:p>
    <w:p>
      <w:pPr>
        <w:pStyle w:val="Smallmeta"/>
      </w:pPr>
      <w:r>
        <w:rPr>
          <w:rFonts w:ascii="Aptos" w:hAnsi="Aptos"/>
          <w:color w:val="000000"/>
          <w:sz w:val="19"/>
        </w:rPr>
        <w:t>Appendices  Certificate form, draft clauses, datasets, metrics and lived-evidence audit schedule</w:t>
      </w:r>
    </w:p>
    <w:p>
      <w:r>
        <w:br w:type="page"/>
      </w:r>
    </w:p>
    <w:p>
      <w:pPr>
        <w:pStyle w:val="Heading1"/>
        <w:keepNext/>
      </w:pPr>
      <w:r>
        <w:rPr>
          <w:rFonts w:ascii="Aptos" w:hAnsi="Aptos"/>
          <w:b/>
          <w:color w:val="000000"/>
        </w:rPr>
        <w:t>1 The problem and policy case</w:t>
      </w:r>
    </w:p>
    <w:p>
      <w:pPr>
        <w:pStyle w:val="Heading2"/>
        <w:keepNext/>
      </w:pPr>
      <w:r>
        <w:rPr>
          <w:rFonts w:ascii="Aptos" w:hAnsi="Aptos"/>
          <w:b/>
          <w:color w:val="000000"/>
        </w:rPr>
        <w:t>1.1 The protection gap</w:t>
      </w:r>
    </w:p>
    <w:p>
      <w:pPr>
        <w:spacing w:after="140" w:line="269" w:lineRule="auto"/>
      </w:pPr>
      <w:r>
        <w:rPr>
          <w:rFonts w:ascii="Aptos" w:hAnsi="Aptos"/>
        </w:rPr>
        <w:t>A diagnostic waiting list is not a neutral pause. The person continues to live with the underlying functional effects and may need accessible communication, predictable appointments, sensory adjustments, help with executive function, advocacy, extra time, mobility support, pain or fatigue accommodations, or a safer way to complete forms. If support is withheld until a specialist label arrives, the system can turn delay into additional harm.</w:t>
      </w:r>
    </w:p>
    <w:p>
      <w:pPr>
        <w:spacing w:after="140" w:line="269" w:lineRule="auto"/>
      </w:pPr>
      <w:r>
        <w:rPr>
          <w:rFonts w:ascii="Aptos" w:hAnsi="Aptos"/>
        </w:rPr>
        <w:t>NHS information for adults seeking ADHD assessment states that waits may last several months or years. NHS autism guidance similarly recognises that an accepted referral may take months or longer and directs people to ask what support is available while waiting. The policy problem is therefore not whether interim support is legitimate. It is the absence of a consistent, portable and accountable mechanism for recording and delivering it.</w:t>
      </w:r>
    </w:p>
    <w:p>
      <w:pPr>
        <w:pStyle w:val="Heading2"/>
        <w:keepNext/>
      </w:pPr>
      <w:r>
        <w:rPr>
          <w:rFonts w:ascii="Aptos" w:hAnsi="Aptos"/>
          <w:b/>
          <w:color w:val="000000"/>
        </w:rPr>
        <w:t>1.2 Administrative pathway failure</w:t>
      </w:r>
    </w:p>
    <w:p>
      <w:pPr>
        <w:spacing w:after="140" w:line="269" w:lineRule="auto"/>
      </w:pPr>
      <w:r>
        <w:rPr>
          <w:rFonts w:ascii="Aptos" w:hAnsi="Aptos"/>
        </w:rPr>
        <w:t>The proposal treats the following as preventable failure modes that commissioners must measure. Their national prevalence should be established during the baseline audit rather than assumed:</w:t>
      </w:r>
    </w:p>
    <w:p>
      <w:pPr>
        <w:pStyle w:val="ListBullet"/>
        <w:spacing w:after="80" w:line="259" w:lineRule="auto"/>
      </w:pPr>
      <w:r>
        <w:rPr>
          <w:rFonts w:ascii="Aptos" w:hAnsi="Aptos"/>
        </w:rPr>
        <w:t>the same person being registered more than once because systems or providers do not recognise the earlier record;</w:t>
      </w:r>
    </w:p>
    <w:p>
      <w:pPr>
        <w:pStyle w:val="ListBullet"/>
        <w:spacing w:after="80" w:line="259" w:lineRule="auto"/>
      </w:pPr>
      <w:r>
        <w:rPr>
          <w:rFonts w:ascii="Aptos" w:hAnsi="Aptos"/>
        </w:rPr>
        <w:t>a referral being closed for an inaccessible response method, a missed deadline that was not reasonably adjusted, provider withdrawal or data transfer failure;</w:t>
      </w:r>
    </w:p>
    <w:p>
      <w:pPr>
        <w:pStyle w:val="ListBullet"/>
        <w:spacing w:after="80" w:line="259" w:lineRule="auto"/>
      </w:pPr>
      <w:r>
        <w:rPr>
          <w:rFonts w:ascii="Aptos" w:hAnsi="Aptos"/>
        </w:rPr>
        <w:t>the waiting clock restarting when a commissioned provider changes, a contract ends or the person exercises choice;</w:t>
      </w:r>
    </w:p>
    <w:p>
      <w:pPr>
        <w:pStyle w:val="ListBullet"/>
        <w:spacing w:after="80" w:line="259" w:lineRule="auto"/>
      </w:pPr>
      <w:r>
        <w:rPr>
          <w:rFonts w:ascii="Aptos" w:hAnsi="Aptos"/>
        </w:rPr>
        <w:t>repetition of questionnaires, histories or initial assessments without a recorded clinical reason;</w:t>
      </w:r>
    </w:p>
    <w:p>
      <w:pPr>
        <w:pStyle w:val="ListBullet"/>
        <w:spacing w:after="80" w:line="259" w:lineRule="auto"/>
      </w:pPr>
      <w:r>
        <w:rPr>
          <w:rFonts w:ascii="Aptos" w:hAnsi="Aptos"/>
        </w:rPr>
        <w:t>public money being paid for repeated intake or failed administrative events that do not advance care;</w:t>
      </w:r>
    </w:p>
    <w:p>
      <w:pPr>
        <w:pStyle w:val="ListBullet"/>
        <w:spacing w:after="80" w:line="259" w:lineRule="auto"/>
      </w:pPr>
      <w:r>
        <w:rPr>
          <w:rFonts w:ascii="Aptos" w:hAnsi="Aptos"/>
        </w:rPr>
        <w:t>the person paying privately to replace an unavailable or failed NHS process, then finding that the NHS will not use the resulting evidence; and</w:t>
      </w:r>
    </w:p>
    <w:p>
      <w:pPr>
        <w:pStyle w:val="ListBullet"/>
        <w:spacing w:after="80" w:line="259" w:lineRule="auto"/>
      </w:pPr>
      <w:r>
        <w:rPr>
          <w:rFonts w:ascii="Aptos" w:hAnsi="Aptos"/>
        </w:rPr>
        <w:t>important coexisting physical or mental health needs being attributed to a suspected condition and left untreated while diagnosis is pending.</w:t>
      </w:r>
    </w:p>
    <w:p>
      <w:pPr>
        <w:pStyle w:val="Heading2"/>
        <w:keepNext/>
      </w:pPr>
      <w:r>
        <w:rPr>
          <w:rFonts w:ascii="Aptos" w:hAnsi="Aptos"/>
          <w:b/>
          <w:color w:val="000000"/>
        </w:rPr>
        <w:t>1.3 Why a certificate is useful</w:t>
      </w:r>
    </w:p>
    <w:p>
      <w:pPr>
        <w:spacing w:after="140" w:line="269" w:lineRule="auto"/>
      </w:pPr>
      <w:r>
        <w:rPr>
          <w:rFonts w:ascii="Aptos" w:hAnsi="Aptos"/>
        </w:rPr>
        <w:t>A certificate turns an initial assessment into a durable instruction that can be shown, verified and acted on. It gives the person evidence without forcing repeated disclosure of their full clinical record. It gives staff a concise list of current adjustments. It gives commissioners a single pathway key for audit and payment control. It also makes failure visible: the record can show whether an adjustment was offered, refused, unavailable or overridden for a documented safety reason.</w:t>
      </w:r>
    </w:p>
    <w:p>
      <w:pPr>
        <w:pStyle w:val="Heading2"/>
        <w:keepNext/>
      </w:pPr>
      <w:r>
        <w:rPr>
          <w:rFonts w:ascii="Aptos" w:hAnsi="Aptos"/>
          <w:b/>
          <w:color w:val="000000"/>
        </w:rPr>
        <w:t>1.4 Lived evidence from an ongoing case</w:t>
      </w:r>
    </w:p>
    <w:p>
      <w:pPr>
        <w:spacing w:after="140" w:line="269" w:lineRule="auto"/>
      </w:pPr>
      <w:r>
        <w:rPr>
          <w:rFonts w:ascii="Aptos" w:hAnsi="Aptos"/>
        </w:rPr>
        <w:t>The following anonymised account is included with the contributor's authority. It is not presented as a finding against any organisation. It identifies recurring system mechanisms that the pilot must test against records, contracts, professional registers and payment data.</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3384"/>
            <w:shd w:fill="17365D"/>
            <w:tcMar>
              <w:top w:w="110" w:type="dxa"/>
              <w:start w:w="120" w:type="dxa"/>
              <w:bottom w:w="110" w:type="dxa"/>
              <w:end w:w="120" w:type="dxa"/>
            </w:tcMar>
            <w:vAlign w:val="center"/>
          </w:tcPr>
          <w:p>
            <w:pPr>
              <w:spacing w:after="0"/>
              <w:jc w:val="center"/>
            </w:pPr>
            <w:r>
              <w:rPr>
                <w:rFonts w:ascii="Aptos" w:hAnsi="Aptos"/>
                <w:b/>
                <w:color w:val="FFFFFF"/>
                <w:sz w:val="15"/>
              </w:rPr>
              <w:t>Reported experience</w:t>
            </w:r>
          </w:p>
        </w:tc>
        <w:tc>
          <w:tcPr>
            <w:tcW w:type="dxa" w:w="3024"/>
            <w:shd w:fill="17365D"/>
            <w:tcMar>
              <w:top w:w="110" w:type="dxa"/>
              <w:start w:w="120" w:type="dxa"/>
              <w:bottom w:w="110" w:type="dxa"/>
              <w:end w:w="120" w:type="dxa"/>
            </w:tcMar>
            <w:vAlign w:val="center"/>
          </w:tcPr>
          <w:p>
            <w:pPr>
              <w:spacing w:after="0"/>
              <w:jc w:val="center"/>
            </w:pPr>
            <w:r>
              <w:rPr>
                <w:rFonts w:ascii="Aptos" w:hAnsi="Aptos"/>
                <w:b/>
                <w:color w:val="FFFFFF"/>
                <w:sz w:val="15"/>
              </w:rPr>
              <w:t>Practical effect</w:t>
            </w:r>
          </w:p>
        </w:tc>
        <w:tc>
          <w:tcPr>
            <w:tcW w:type="dxa" w:w="3240"/>
            <w:shd w:fill="17365D"/>
            <w:tcMar>
              <w:top w:w="110" w:type="dxa"/>
              <w:start w:w="120" w:type="dxa"/>
              <w:bottom w:w="110" w:type="dxa"/>
              <w:end w:w="120" w:type="dxa"/>
            </w:tcMar>
            <w:vAlign w:val="center"/>
          </w:tcPr>
          <w:p>
            <w:pPr>
              <w:spacing w:after="0"/>
              <w:jc w:val="center"/>
            </w:pPr>
            <w:r>
              <w:rPr>
                <w:rFonts w:ascii="Aptos" w:hAnsi="Aptos"/>
                <w:b/>
                <w:color w:val="FFFFFF"/>
                <w:sz w:val="15"/>
              </w:rPr>
              <w:t>Policy implication</w:t>
            </w:r>
          </w:p>
        </w:tc>
      </w:tr>
      <w:tr>
        <w:trPr>
          <w:cantSplit/>
        </w:trPr>
        <w:tc>
          <w:tcPr>
            <w:tcW w:type="dxa" w:w="3384"/>
            <w:tcMar>
              <w:top w:w="110" w:type="dxa"/>
              <w:start w:w="120" w:type="dxa"/>
              <w:bottom w:w="110" w:type="dxa"/>
              <w:end w:w="120" w:type="dxa"/>
            </w:tcMar>
            <w:vAlign w:val="center"/>
          </w:tcPr>
          <w:p>
            <w:pPr>
              <w:spacing w:after="0" w:line="247" w:lineRule="auto"/>
              <w:jc w:val="left"/>
            </w:pPr>
            <w:r>
              <w:rPr>
                <w:rFonts w:ascii="Aptos" w:hAnsi="Aptos"/>
                <w:sz w:val="15"/>
              </w:rPr>
              <w:t>The contributor reports disability, suspected autism and ADHD, constant pain and unresolved neurological or spinal symptoms. Specialist pathways remain incomplete.</w:t>
            </w:r>
          </w:p>
        </w:tc>
        <w:tc>
          <w:tcPr>
            <w:tcW w:type="dxa" w:w="3024"/>
            <w:tcMar>
              <w:top w:w="110" w:type="dxa"/>
              <w:start w:w="120" w:type="dxa"/>
              <w:bottom w:w="110" w:type="dxa"/>
              <w:end w:w="120" w:type="dxa"/>
            </w:tcMar>
            <w:vAlign w:val="center"/>
          </w:tcPr>
          <w:p>
            <w:pPr>
              <w:spacing w:after="0" w:line="247" w:lineRule="auto"/>
              <w:jc w:val="left"/>
            </w:pPr>
            <w:r>
              <w:rPr>
                <w:rFonts w:ascii="Aptos" w:hAnsi="Aptos"/>
                <w:sz w:val="15"/>
              </w:rPr>
              <w:t>Functional need and clinical risk continue during the wait; one suspected condition can obscure coexisting illness.</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5"/>
              </w:rPr>
              <w:t>Issue needs based protection now and keep parallel physical and neurodevelopmental investigations active.</w:t>
            </w:r>
          </w:p>
        </w:tc>
      </w:tr>
      <w:tr>
        <w:trPr>
          <w:cantSplit/>
        </w:trPr>
        <w:tc>
          <w:tcPr>
            <w:tcW w:type="dxa" w:w="3384"/>
            <w:tcMar>
              <w:top w:w="110" w:type="dxa"/>
              <w:start w:w="120" w:type="dxa"/>
              <w:bottom w:w="110" w:type="dxa"/>
              <w:end w:w="120" w:type="dxa"/>
            </w:tcMar>
            <w:vAlign w:val="center"/>
            <w:shd w:fill="F3F5F7"/>
          </w:tcPr>
          <w:p>
            <w:pPr>
              <w:spacing w:after="0" w:line="247" w:lineRule="auto"/>
              <w:jc w:val="left"/>
            </w:pPr>
            <w:r>
              <w:rPr>
                <w:rFonts w:ascii="Aptos" w:hAnsi="Aptos"/>
                <w:sz w:val="15"/>
              </w:rPr>
              <w:t>Telephone contact can cause collapse or severe distress; video is also unsuitable. The contributor needs written communication, step by step instructions, extra time and help organising evidence.</w:t>
            </w:r>
          </w:p>
        </w:tc>
        <w:tc>
          <w:tcPr>
            <w:tcW w:type="dxa" w:w="3024"/>
            <w:tcMar>
              <w:top w:w="110" w:type="dxa"/>
              <w:start w:w="120" w:type="dxa"/>
              <w:bottom w:w="110" w:type="dxa"/>
              <w:end w:w="120" w:type="dxa"/>
            </w:tcMar>
            <w:vAlign w:val="center"/>
            <w:shd w:fill="F3F5F7"/>
          </w:tcPr>
          <w:p>
            <w:pPr>
              <w:spacing w:after="0" w:line="247" w:lineRule="auto"/>
              <w:jc w:val="left"/>
            </w:pPr>
            <w:r>
              <w:rPr>
                <w:rFonts w:ascii="Aptos" w:hAnsi="Aptos"/>
                <w:sz w:val="15"/>
              </w:rPr>
              <w:t>A telephone dependent booking or review process can become an exclusion mechanism and may be wrongly recorded as non engagement.</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5"/>
              </w:rPr>
              <w:t>The certificate must make written only contact an actionable adjustment across every provider, commissioner and complaint route.</w:t>
            </w:r>
          </w:p>
        </w:tc>
      </w:tr>
      <w:tr>
        <w:trPr>
          <w:cantSplit/>
        </w:trPr>
        <w:tc>
          <w:tcPr>
            <w:tcW w:type="dxa" w:w="3384"/>
            <w:tcMar>
              <w:top w:w="110" w:type="dxa"/>
              <w:start w:w="120" w:type="dxa"/>
              <w:bottom w:w="110" w:type="dxa"/>
              <w:end w:w="120" w:type="dxa"/>
            </w:tcMar>
            <w:vAlign w:val="center"/>
          </w:tcPr>
          <w:p>
            <w:pPr>
              <w:spacing w:after="0" w:line="247" w:lineRule="auto"/>
              <w:jc w:val="left"/>
            </w:pPr>
            <w:r>
              <w:rPr>
                <w:rFonts w:ascii="Aptos" w:hAnsi="Aptos"/>
                <w:sz w:val="15"/>
              </w:rPr>
              <w:t>On 23 June 2026, the contributor reported that a GP said referral paperwork had been completed while a hospital contact said a neurology referral was rejected because the GP had not responded to advice and guidance.</w:t>
            </w:r>
          </w:p>
        </w:tc>
        <w:tc>
          <w:tcPr>
            <w:tcW w:type="dxa" w:w="3024"/>
            <w:tcMar>
              <w:top w:w="110" w:type="dxa"/>
              <w:start w:w="120" w:type="dxa"/>
              <w:bottom w:w="110" w:type="dxa"/>
              <w:end w:w="120" w:type="dxa"/>
            </w:tcMar>
            <w:vAlign w:val="center"/>
          </w:tcPr>
          <w:p>
            <w:pPr>
              <w:spacing w:after="0" w:line="247" w:lineRule="auto"/>
              <w:jc w:val="left"/>
            </w:pPr>
            <w:r>
              <w:rPr>
                <w:rFonts w:ascii="Aptos" w:hAnsi="Aptos"/>
                <w:sz w:val="15"/>
              </w:rPr>
              <w:t>The patient cannot safely determine which organisation or message failed, yet bears the delay and must repeat the dispute.</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5"/>
              </w:rPr>
              <w:t>Use one event ledger with timestamps, decision maker, reason, notice and correction; the NHS resolves internal disagreement without resetting the patient.</w:t>
            </w:r>
          </w:p>
        </w:tc>
      </w:tr>
      <w:tr>
        <w:trPr>
          <w:cantSplit/>
        </w:trPr>
        <w:tc>
          <w:tcPr>
            <w:tcW w:type="dxa" w:w="3384"/>
            <w:tcMar>
              <w:top w:w="110" w:type="dxa"/>
              <w:start w:w="120" w:type="dxa"/>
              <w:bottom w:w="110" w:type="dxa"/>
              <w:end w:w="120" w:type="dxa"/>
            </w:tcMar>
            <w:vAlign w:val="center"/>
            <w:shd w:fill="F3F5F7"/>
          </w:tcPr>
          <w:p>
            <w:pPr>
              <w:spacing w:after="0" w:line="247" w:lineRule="auto"/>
              <w:jc w:val="left"/>
            </w:pPr>
            <w:r>
              <w:rPr>
                <w:rFonts w:ascii="Aptos" w:hAnsi="Aptos"/>
                <w:sz w:val="15"/>
              </w:rPr>
              <w:t>On 30 June 2026, the contributor reported a one chance to book process when the relevant nurse was unavailable, with no accessible written or representative alternative.</w:t>
            </w:r>
          </w:p>
        </w:tc>
        <w:tc>
          <w:tcPr>
            <w:tcW w:type="dxa" w:w="3024"/>
            <w:tcMar>
              <w:top w:w="110" w:type="dxa"/>
              <w:start w:w="120" w:type="dxa"/>
              <w:bottom w:w="110" w:type="dxa"/>
              <w:end w:w="120" w:type="dxa"/>
            </w:tcMar>
            <w:vAlign w:val="center"/>
            <w:shd w:fill="F3F5F7"/>
          </w:tcPr>
          <w:p>
            <w:pPr>
              <w:spacing w:after="0" w:line="247" w:lineRule="auto"/>
              <w:jc w:val="left"/>
            </w:pPr>
            <w:r>
              <w:rPr>
                <w:rFonts w:ascii="Aptos" w:hAnsi="Aptos"/>
                <w:sz w:val="15"/>
              </w:rPr>
              <w:t>An administrative condition can extinguish access despite a known disability related barrier and may intensify deterioration and fear.</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5"/>
              </w:rPr>
              <w:t>No closure for non response until the recorded adjustment was used, supported attempts were made and rapid written reinstatement was offered.</w:t>
            </w:r>
          </w:p>
        </w:tc>
      </w:tr>
      <w:tr>
        <w:trPr>
          <w:cantSplit/>
        </w:trPr>
        <w:tc>
          <w:tcPr>
            <w:tcW w:type="dxa" w:w="3384"/>
            <w:tcMar>
              <w:top w:w="110" w:type="dxa"/>
              <w:start w:w="120" w:type="dxa"/>
              <w:bottom w:w="110" w:type="dxa"/>
              <w:end w:w="120" w:type="dxa"/>
            </w:tcMar>
            <w:vAlign w:val="center"/>
          </w:tcPr>
          <w:p>
            <w:pPr>
              <w:spacing w:after="0" w:line="247" w:lineRule="auto"/>
              <w:jc w:val="left"/>
            </w:pPr>
            <w:r>
              <w:rPr>
                <w:rFonts w:ascii="Aptos" w:hAnsi="Aptos"/>
                <w:sz w:val="15"/>
              </w:rPr>
              <w:t>On 9 September 2026, the contributor reported collapse with significant memory loss and inability to reconstruct information reliably.</w:t>
            </w:r>
          </w:p>
        </w:tc>
        <w:tc>
          <w:tcPr>
            <w:tcW w:type="dxa" w:w="3024"/>
            <w:tcMar>
              <w:top w:w="110" w:type="dxa"/>
              <w:start w:w="120" w:type="dxa"/>
              <w:bottom w:w="110" w:type="dxa"/>
              <w:end w:w="120" w:type="dxa"/>
            </w:tcMar>
            <w:vAlign w:val="center"/>
          </w:tcPr>
          <w:p>
            <w:pPr>
              <w:spacing w:after="0" w:line="247" w:lineRule="auto"/>
              <w:jc w:val="left"/>
            </w:pPr>
            <w:r>
              <w:rPr>
                <w:rFonts w:ascii="Aptos" w:hAnsi="Aptos"/>
                <w:sz w:val="15"/>
              </w:rPr>
              <w:t>Repeated histories, questionnaires and document requests are not neutral duplication; they can be impossible, clinically unsafe and evidentially unfair.</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5"/>
              </w:rPr>
              <w:t>Reuse verified evidence, preserve original submissions and prohibit repeat intake unless a clinician records why it is necessary.</w:t>
            </w:r>
          </w:p>
        </w:tc>
      </w:tr>
      <w:tr>
        <w:trPr>
          <w:cantSplit/>
        </w:trPr>
        <w:tc>
          <w:tcPr>
            <w:tcW w:type="dxa" w:w="3384"/>
            <w:tcMar>
              <w:top w:w="110" w:type="dxa"/>
              <w:start w:w="120" w:type="dxa"/>
              <w:bottom w:w="110" w:type="dxa"/>
              <w:end w:w="120" w:type="dxa"/>
            </w:tcMar>
            <w:vAlign w:val="center"/>
            <w:shd w:fill="F3F5F7"/>
          </w:tcPr>
          <w:p>
            <w:pPr>
              <w:spacing w:after="0" w:line="247" w:lineRule="auto"/>
              <w:jc w:val="left"/>
            </w:pPr>
            <w:r>
              <w:rPr>
                <w:rFonts w:ascii="Aptos" w:hAnsi="Aptos"/>
                <w:sz w:val="15"/>
              </w:rPr>
              <w:t>The contributor reports being unable to progress necessary life and support decisions while assessment remains unresolved and regards the NHS as the only realistic route because private care is neither trusted nor financially accessible.</w:t>
            </w:r>
          </w:p>
        </w:tc>
        <w:tc>
          <w:tcPr>
            <w:tcW w:type="dxa" w:w="3024"/>
            <w:tcMar>
              <w:top w:w="110" w:type="dxa"/>
              <w:start w:w="120" w:type="dxa"/>
              <w:bottom w:w="110" w:type="dxa"/>
              <w:end w:w="120" w:type="dxa"/>
            </w:tcMar>
            <w:vAlign w:val="center"/>
            <w:shd w:fill="F3F5F7"/>
          </w:tcPr>
          <w:p>
            <w:pPr>
              <w:spacing w:after="0" w:line="247" w:lineRule="auto"/>
              <w:jc w:val="left"/>
            </w:pPr>
            <w:r>
              <w:rPr>
                <w:rFonts w:ascii="Aptos" w:hAnsi="Aptos"/>
                <w:sz w:val="15"/>
              </w:rPr>
              <w:t>A prolonged unsupported bottleneck may cause deterioration, withdrawal from care, crisis or self harm risk and can coerce private spending.</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5"/>
              </w:rPr>
              <w:t>Provide the certificate, named pathway owner, interim care and escalation route without requiring private purchase.</w:t>
            </w:r>
          </w:p>
        </w:tc>
      </w:tr>
      <w:tr>
        <w:trPr>
          <w:cantSplit/>
        </w:trPr>
        <w:tc>
          <w:tcPr>
            <w:tcW w:type="dxa" w:w="3384"/>
            <w:tcMar>
              <w:top w:w="110" w:type="dxa"/>
              <w:start w:w="120" w:type="dxa"/>
              <w:bottom w:w="110" w:type="dxa"/>
              <w:end w:w="120" w:type="dxa"/>
            </w:tcMar>
            <w:vAlign w:val="center"/>
          </w:tcPr>
          <w:p>
            <w:pPr>
              <w:spacing w:after="0" w:line="247" w:lineRule="auto"/>
              <w:jc w:val="left"/>
            </w:pPr>
            <w:r>
              <w:rPr>
                <w:rFonts w:ascii="Aptos" w:hAnsi="Aptos"/>
                <w:sz w:val="15"/>
              </w:rPr>
              <w:t>On 10 September 2026, the contributor alleged unlawful data sharing and lack of competence by three private provider assessors and requested verification of identities, roles, qualifications and regulatory status.</w:t>
            </w:r>
          </w:p>
        </w:tc>
        <w:tc>
          <w:tcPr>
            <w:tcW w:type="dxa" w:w="3024"/>
            <w:tcMar>
              <w:top w:w="110" w:type="dxa"/>
              <w:start w:w="120" w:type="dxa"/>
              <w:bottom w:w="110" w:type="dxa"/>
              <w:end w:w="120" w:type="dxa"/>
            </w:tcMar>
            <w:vAlign w:val="center"/>
          </w:tcPr>
          <w:p>
            <w:pPr>
              <w:spacing w:after="0" w:line="247" w:lineRule="auto"/>
              <w:jc w:val="left"/>
            </w:pPr>
            <w:r>
              <w:rPr>
                <w:rFonts w:ascii="Aptos" w:hAnsi="Aptos"/>
                <w:sz w:val="15"/>
              </w:rPr>
              <w:t>Whether substantiated or not, the patient presently lacks a simple way to test who acted, under whose authority and whether public money bought a competent service.</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5"/>
              </w:rPr>
              <w:t>Require dated workforce rosters, registration and scope checks, access logs, subcontractor disclosure and auditable links between each worker, service event and claim.</w:t>
            </w:r>
          </w:p>
        </w:tc>
      </w:tr>
      <w:tr>
        <w:trPr>
          <w:cantSplit/>
        </w:trPr>
        <w:tc>
          <w:tcPr>
            <w:tcW w:type="dxa" w:w="3384"/>
            <w:tcMar>
              <w:top w:w="110" w:type="dxa"/>
              <w:start w:w="120" w:type="dxa"/>
              <w:bottom w:w="110" w:type="dxa"/>
              <w:end w:w="120" w:type="dxa"/>
            </w:tcMar>
            <w:vAlign w:val="center"/>
            <w:shd w:fill="F3F5F7"/>
          </w:tcPr>
          <w:p>
            <w:pPr>
              <w:spacing w:after="0" w:line="247" w:lineRule="auto"/>
              <w:jc w:val="left"/>
            </w:pPr>
            <w:r>
              <w:rPr>
                <w:rFonts w:ascii="Aptos" w:hAnsi="Aptos"/>
                <w:sz w:val="15"/>
              </w:rPr>
              <w:t>On 17 September 2026, the contributor declined private care and sought an NHS route, requesting written confirmation of provider, clinician employer, qualifications, responsibility, funding and data controller.</w:t>
            </w:r>
          </w:p>
        </w:tc>
        <w:tc>
          <w:tcPr>
            <w:tcW w:type="dxa" w:w="3024"/>
            <w:tcMar>
              <w:top w:w="110" w:type="dxa"/>
              <w:start w:w="120" w:type="dxa"/>
              <w:bottom w:w="110" w:type="dxa"/>
              <w:end w:w="120" w:type="dxa"/>
            </w:tcMar>
            <w:vAlign w:val="center"/>
            <w:shd w:fill="F3F5F7"/>
          </w:tcPr>
          <w:p>
            <w:pPr>
              <w:spacing w:after="0" w:line="247" w:lineRule="auto"/>
              <w:jc w:val="left"/>
            </w:pPr>
            <w:r>
              <w:rPr>
                <w:rFonts w:ascii="Aptos" w:hAnsi="Aptos"/>
                <w:sz w:val="15"/>
              </w:rPr>
              <w:t>Choice is not meaningful without transparent identity, accountability, information governance and financial arrangements.</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5"/>
              </w:rPr>
              <w:t>Public provision remains the default; any independent offer must disclose these facts before consent or transfer.</w:t>
            </w:r>
          </w:p>
        </w:tc>
      </w:tr>
    </w:tbl>
    <w:p>
      <w:pPr>
        <w:spacing w:after="20"/>
      </w:pPr>
    </w:p>
    <w:p>
      <w:pPr>
        <w:pStyle w:val="Heading2"/>
        <w:keepNext/>
      </w:pPr>
      <w:r>
        <w:rPr>
          <w:rFonts w:ascii="Aptos" w:hAnsi="Aptos"/>
          <w:b/>
          <w:color w:val="000000"/>
        </w:rPr>
        <w:t>1.5 Evidence status and limits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2088"/>
            <w:shd w:fill="17365D"/>
            <w:tcMar>
              <w:top w:w="110" w:type="dxa"/>
              <w:start w:w="120" w:type="dxa"/>
              <w:bottom w:w="110" w:type="dxa"/>
              <w:end w:w="120" w:type="dxa"/>
            </w:tcMar>
            <w:vAlign w:val="center"/>
          </w:tcPr>
          <w:p>
            <w:pPr>
              <w:spacing w:after="0"/>
              <w:jc w:val="center"/>
            </w:pPr>
            <w:r>
              <w:rPr>
                <w:rFonts w:ascii="Aptos" w:hAnsi="Aptos"/>
                <w:b/>
                <w:color w:val="FFFFFF"/>
                <w:sz w:val="16"/>
              </w:rPr>
              <w:t>Evidence class</w:t>
            </w:r>
          </w:p>
        </w:tc>
        <w:tc>
          <w:tcPr>
            <w:tcW w:type="dxa" w:w="3816"/>
            <w:shd w:fill="17365D"/>
            <w:tcMar>
              <w:top w:w="110" w:type="dxa"/>
              <w:start w:w="120" w:type="dxa"/>
              <w:bottom w:w="110" w:type="dxa"/>
              <w:end w:w="120" w:type="dxa"/>
            </w:tcMar>
            <w:vAlign w:val="center"/>
          </w:tcPr>
          <w:p>
            <w:pPr>
              <w:spacing w:after="0"/>
              <w:jc w:val="center"/>
            </w:pPr>
            <w:r>
              <w:rPr>
                <w:rFonts w:ascii="Aptos" w:hAnsi="Aptos"/>
                <w:b/>
                <w:color w:val="FFFFFF"/>
                <w:sz w:val="16"/>
              </w:rPr>
              <w:t>What it can establish</w:t>
            </w:r>
          </w:p>
        </w:tc>
        <w:tc>
          <w:tcPr>
            <w:tcW w:type="dxa" w:w="3744"/>
            <w:shd w:fill="17365D"/>
            <w:tcMar>
              <w:top w:w="110" w:type="dxa"/>
              <w:start w:w="120" w:type="dxa"/>
              <w:bottom w:w="110" w:type="dxa"/>
              <w:end w:w="120" w:type="dxa"/>
            </w:tcMar>
            <w:vAlign w:val="center"/>
          </w:tcPr>
          <w:p>
            <w:pPr>
              <w:spacing w:after="0"/>
              <w:jc w:val="center"/>
            </w:pPr>
            <w:r>
              <w:rPr>
                <w:rFonts w:ascii="Aptos" w:hAnsi="Aptos"/>
                <w:b/>
                <w:color w:val="FFFFFF"/>
                <w:sz w:val="16"/>
              </w:rPr>
              <w:t>Required treatment</w:t>
            </w:r>
          </w:p>
        </w:tc>
      </w:tr>
      <w:tr>
        <w:trPr>
          <w:cantSplit/>
        </w:trPr>
        <w:tc>
          <w:tcPr>
            <w:tcW w:type="dxa" w:w="2088"/>
            <w:tcMar>
              <w:top w:w="110" w:type="dxa"/>
              <w:start w:w="120" w:type="dxa"/>
              <w:bottom w:w="110" w:type="dxa"/>
              <w:end w:w="120" w:type="dxa"/>
            </w:tcMar>
            <w:vAlign w:val="center"/>
          </w:tcPr>
          <w:p>
            <w:pPr>
              <w:spacing w:after="0" w:line="247" w:lineRule="auto"/>
              <w:jc w:val="center"/>
            </w:pPr>
            <w:r>
              <w:rPr>
                <w:rFonts w:ascii="Aptos" w:hAnsi="Aptos"/>
                <w:sz w:val="16"/>
              </w:rPr>
              <w:t>First person account</w:t>
            </w:r>
          </w:p>
        </w:tc>
        <w:tc>
          <w:tcPr>
            <w:tcW w:type="dxa" w:w="3816"/>
            <w:tcMar>
              <w:top w:w="110" w:type="dxa"/>
              <w:start w:w="120" w:type="dxa"/>
              <w:bottom w:w="110" w:type="dxa"/>
              <w:end w:w="120" w:type="dxa"/>
            </w:tcMar>
            <w:vAlign w:val="center"/>
          </w:tcPr>
          <w:p>
            <w:pPr>
              <w:spacing w:after="0" w:line="247" w:lineRule="auto"/>
              <w:jc w:val="left"/>
            </w:pPr>
            <w:r>
              <w:rPr>
                <w:rFonts w:ascii="Aptos" w:hAnsi="Aptos"/>
                <w:sz w:val="16"/>
              </w:rPr>
              <w:t>The barriers, distress, burden, loss of trust and events as experienced and reported by the contributor.</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6"/>
              </w:rPr>
              <w:t>Treat as evidence of experience and a trigger for safeguarding, correction and investigation; do not relabel it as a proven national fact.</w:t>
            </w:r>
          </w:p>
        </w:tc>
      </w:tr>
      <w:tr>
        <w:trPr>
          <w:cantSplit/>
        </w:trPr>
        <w:tc>
          <w:tcPr>
            <w:tcW w:type="dxa" w:w="2088"/>
            <w:tcMar>
              <w:top w:w="110" w:type="dxa"/>
              <w:start w:w="120" w:type="dxa"/>
              <w:bottom w:w="110" w:type="dxa"/>
              <w:end w:w="120" w:type="dxa"/>
            </w:tcMar>
            <w:vAlign w:val="center"/>
            <w:shd w:fill="F3F5F7"/>
          </w:tcPr>
          <w:p>
            <w:pPr>
              <w:spacing w:after="0" w:line="247" w:lineRule="auto"/>
              <w:jc w:val="center"/>
            </w:pPr>
            <w:r>
              <w:rPr>
                <w:rFonts w:ascii="Aptos" w:hAnsi="Aptos"/>
                <w:sz w:val="16"/>
              </w:rPr>
              <w:t>Patient and administrative records</w:t>
            </w:r>
          </w:p>
        </w:tc>
        <w:tc>
          <w:tcPr>
            <w:tcW w:type="dxa" w:w="3816"/>
            <w:tcMar>
              <w:top w:w="110" w:type="dxa"/>
              <w:start w:w="120" w:type="dxa"/>
              <w:bottom w:w="110" w:type="dxa"/>
              <w:end w:w="120" w:type="dxa"/>
            </w:tcMar>
            <w:vAlign w:val="center"/>
            <w:shd w:fill="F3F5F7"/>
          </w:tcPr>
          <w:p>
            <w:pPr>
              <w:spacing w:after="0" w:line="247" w:lineRule="auto"/>
              <w:jc w:val="left"/>
            </w:pPr>
            <w:r>
              <w:rPr>
                <w:rFonts w:ascii="Aptos" w:hAnsi="Aptos"/>
                <w:sz w:val="16"/>
              </w:rPr>
              <w:t>Referral dates, e Referral messages, advice and guidance, calls, letters, closures, reinstatements, data access and named decision makers.</w:t>
            </w:r>
          </w:p>
        </w:tc>
        <w:tc>
          <w:tcPr>
            <w:tcW w:type="dxa" w:w="3744"/>
            <w:tcMar>
              <w:top w:w="110" w:type="dxa"/>
              <w:start w:w="120" w:type="dxa"/>
              <w:bottom w:w="110" w:type="dxa"/>
              <w:end w:w="120" w:type="dxa"/>
            </w:tcMar>
            <w:vAlign w:val="center"/>
            <w:shd w:fill="F3F5F7"/>
          </w:tcPr>
          <w:p>
            <w:pPr>
              <w:spacing w:after="0" w:line="247" w:lineRule="auto"/>
              <w:jc w:val="left"/>
            </w:pPr>
            <w:r>
              <w:rPr>
                <w:rFonts w:ascii="Aptos" w:hAnsi="Aptos"/>
                <w:sz w:val="16"/>
              </w:rPr>
              <w:t>Preserve, disclose and reconcile the complete chronology, including conflicts and missing records.</w:t>
            </w:r>
          </w:p>
        </w:tc>
      </w:tr>
      <w:tr>
        <w:trPr>
          <w:cantSplit/>
        </w:trPr>
        <w:tc>
          <w:tcPr>
            <w:tcW w:type="dxa" w:w="2088"/>
            <w:tcMar>
              <w:top w:w="110" w:type="dxa"/>
              <w:start w:w="120" w:type="dxa"/>
              <w:bottom w:w="110" w:type="dxa"/>
              <w:end w:w="120" w:type="dxa"/>
            </w:tcMar>
            <w:vAlign w:val="center"/>
          </w:tcPr>
          <w:p>
            <w:pPr>
              <w:spacing w:after="0" w:line="247" w:lineRule="auto"/>
              <w:jc w:val="center"/>
            </w:pPr>
            <w:r>
              <w:rPr>
                <w:rFonts w:ascii="Aptos" w:hAnsi="Aptos"/>
                <w:sz w:val="16"/>
              </w:rPr>
              <w:t>Workforce and contract records</w:t>
            </w:r>
          </w:p>
        </w:tc>
        <w:tc>
          <w:tcPr>
            <w:tcW w:type="dxa" w:w="3816"/>
            <w:tcMar>
              <w:top w:w="110" w:type="dxa"/>
              <w:start w:w="120" w:type="dxa"/>
              <w:bottom w:w="110" w:type="dxa"/>
              <w:end w:w="120" w:type="dxa"/>
            </w:tcMar>
            <w:vAlign w:val="center"/>
          </w:tcPr>
          <w:p>
            <w:pPr>
              <w:spacing w:after="0" w:line="247" w:lineRule="auto"/>
              <w:jc w:val="left"/>
            </w:pPr>
            <w:r>
              <w:rPr>
                <w:rFonts w:ascii="Aptos" w:hAnsi="Aptos"/>
                <w:sz w:val="16"/>
              </w:rPr>
              <w:t>Who performed each task, employer and subcontractor, professional registration, scope, competence assurance, contract milestone and claim.</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6"/>
              </w:rPr>
              <w:t>Commissioner obtains and audits dated records; absence of evidence blocks payment or renewal rather than being passed to the patient.</w:t>
            </w:r>
          </w:p>
        </w:tc>
      </w:tr>
      <w:tr>
        <w:trPr>
          <w:cantSplit/>
        </w:trPr>
        <w:tc>
          <w:tcPr>
            <w:tcW w:type="dxa" w:w="2088"/>
            <w:tcMar>
              <w:top w:w="110" w:type="dxa"/>
              <w:start w:w="120" w:type="dxa"/>
              <w:bottom w:w="110" w:type="dxa"/>
              <w:end w:w="120" w:type="dxa"/>
            </w:tcMar>
            <w:vAlign w:val="center"/>
            <w:shd w:fill="F3F5F7"/>
          </w:tcPr>
          <w:p>
            <w:pPr>
              <w:spacing w:after="0" w:line="247" w:lineRule="auto"/>
              <w:jc w:val="center"/>
            </w:pPr>
            <w:r>
              <w:rPr>
                <w:rFonts w:ascii="Aptos" w:hAnsi="Aptos"/>
                <w:sz w:val="16"/>
              </w:rPr>
              <w:t>National evidence</w:t>
            </w:r>
          </w:p>
        </w:tc>
        <w:tc>
          <w:tcPr>
            <w:tcW w:type="dxa" w:w="3816"/>
            <w:tcMar>
              <w:top w:w="110" w:type="dxa"/>
              <w:start w:w="120" w:type="dxa"/>
              <w:bottom w:w="110" w:type="dxa"/>
              <w:end w:w="120" w:type="dxa"/>
            </w:tcMar>
            <w:vAlign w:val="center"/>
            <w:shd w:fill="F3F5F7"/>
          </w:tcPr>
          <w:p>
            <w:pPr>
              <w:spacing w:after="0" w:line="247" w:lineRule="auto"/>
              <w:jc w:val="left"/>
            </w:pPr>
            <w:r>
              <w:rPr>
                <w:rFonts w:ascii="Aptos" w:hAnsi="Aptos"/>
                <w:sz w:val="16"/>
              </w:rPr>
              <w:t>Waiting times, provider level activity, complaints, completion, outcomes, spend and equality effects.</w:t>
            </w:r>
          </w:p>
        </w:tc>
        <w:tc>
          <w:tcPr>
            <w:tcW w:type="dxa" w:w="3744"/>
            <w:tcMar>
              <w:top w:w="110" w:type="dxa"/>
              <w:start w:w="120" w:type="dxa"/>
              <w:bottom w:w="110" w:type="dxa"/>
              <w:end w:w="120" w:type="dxa"/>
            </w:tcMar>
            <w:vAlign w:val="center"/>
            <w:shd w:fill="F3F5F7"/>
          </w:tcPr>
          <w:p>
            <w:pPr>
              <w:spacing w:after="0" w:line="247" w:lineRule="auto"/>
              <w:jc w:val="left"/>
            </w:pPr>
            <w:r>
              <w:rPr>
                <w:rFonts w:ascii="Aptos" w:hAnsi="Aptos"/>
                <w:sz w:val="16"/>
              </w:rPr>
              <w:t>Publish comparable aggregate data and state limitations; do not infer fraud, competence or causation from unusual patterns alone.</w:t>
            </w:r>
          </w:p>
        </w:tc>
      </w:tr>
      <w:tr>
        <w:trPr>
          <w:cantSplit/>
        </w:trPr>
        <w:tc>
          <w:tcPr>
            <w:tcW w:type="dxa" w:w="2088"/>
            <w:tcMar>
              <w:top w:w="110" w:type="dxa"/>
              <w:start w:w="120" w:type="dxa"/>
              <w:bottom w:w="110" w:type="dxa"/>
              <w:end w:w="120" w:type="dxa"/>
            </w:tcMar>
            <w:vAlign w:val="center"/>
          </w:tcPr>
          <w:p>
            <w:pPr>
              <w:spacing w:after="0" w:line="247" w:lineRule="auto"/>
              <w:jc w:val="left"/>
            </w:pPr>
            <w:r>
              <w:rPr>
                <w:rFonts w:ascii="Aptos" w:hAnsi="Aptos"/>
                <w:sz w:val="16"/>
              </w:rPr>
              <w:t>Allegations requiring determination</w:t>
            </w:r>
          </w:p>
        </w:tc>
        <w:tc>
          <w:tcPr>
            <w:tcW w:type="dxa" w:w="3816"/>
            <w:tcMar>
              <w:top w:w="110" w:type="dxa"/>
              <w:start w:w="120" w:type="dxa"/>
              <w:bottom w:w="110" w:type="dxa"/>
              <w:end w:w="120" w:type="dxa"/>
            </w:tcMar>
            <w:vAlign w:val="center"/>
          </w:tcPr>
          <w:p>
            <w:pPr>
              <w:spacing w:after="0" w:line="247" w:lineRule="auto"/>
              <w:jc w:val="left"/>
            </w:pPr>
            <w:r>
              <w:rPr>
                <w:rFonts w:ascii="Aptos" w:hAnsi="Aptos"/>
                <w:sz w:val="16"/>
              </w:rPr>
              <w:t>Claims of unlawful data sharing, unqualified practice, deliberate profit seeking, duplicate charging or indifference to patient welfare.</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6"/>
              </w:rPr>
              <w:t>Investigate independently through clinical, contractual, data protection, professional or counter fraud routes. Record substantiated, unsubstantiated and unresolved findings separately.</w:t>
            </w:r>
          </w:p>
        </w:tc>
      </w:tr>
    </w:tbl>
    <w:p>
      <w:pPr>
        <w:spacing w:after="20"/>
      </w:pPr>
    </w:p>
    <w:p>
      <w:pPr>
        <w:pStyle w:val="Heading1"/>
        <w:keepNext/>
      </w:pPr>
      <w:r>
        <w:rPr>
          <w:rFonts w:ascii="Aptos" w:hAnsi="Aptos"/>
          <w:b/>
          <w:color w:val="000000"/>
        </w:rPr>
        <w:t>2 Existing rights and the operational gap</w:t>
      </w:r>
    </w:p>
    <w:p>
      <w:pPr>
        <w:pStyle w:val="Heading2"/>
        <w:keepNext/>
      </w:pPr>
      <w:r>
        <w:rPr>
          <w:rFonts w:ascii="Aptos" w:hAnsi="Aptos"/>
          <w:b/>
          <w:color w:val="000000"/>
        </w:rPr>
        <w:t>2.1 Equality law already looks beyond labels</w:t>
      </w:r>
    </w:p>
    <w:p>
      <w:pPr>
        <w:spacing w:after="140" w:line="269" w:lineRule="auto"/>
      </w:pPr>
      <w:r>
        <w:rPr>
          <w:rFonts w:ascii="Aptos" w:hAnsi="Aptos"/>
        </w:rPr>
        <w:t>The Equality Act 2010 definition is based on a physical or mental impairment having a substantial and long term adverse effect on normal day to day activities. Apart from specified automatically protected conditions, a formal diagnosis is not the general legal test. Service providers and employers can therefore owe reasonable adjustment duties before diagnostic work is complete when the legal test is met and they know, or ought reasonably to know, of the disability.</w:t>
      </w:r>
    </w:p>
    <w:p>
      <w:pPr>
        <w:spacing w:after="140" w:line="269" w:lineRule="auto"/>
      </w:pPr>
      <w:r>
        <w:rPr>
          <w:rFonts w:ascii="Aptos" w:hAnsi="Aptos"/>
        </w:rPr>
        <w:t>INAC must not be framed as the source of disability rights. That would risk excluding people who cannot obtain the certificate. Its immediate role is evidence, communication and consistent administration. If Parliament later creates an interim statutory presumption, the legislation must state that non possession does not imply that the person is not disabled.</w:t>
      </w:r>
    </w:p>
    <w:p>
      <w:pPr>
        <w:pStyle w:val="Heading2"/>
        <w:keepNext/>
      </w:pPr>
      <w:r>
        <w:rPr>
          <w:rFonts w:ascii="Aptos" w:hAnsi="Aptos"/>
          <w:b/>
          <w:color w:val="000000"/>
        </w:rPr>
        <w:t>2.2 NHS duties and infrastructure</w:t>
      </w:r>
    </w:p>
    <w:p>
      <w:pPr>
        <w:spacing w:after="140" w:line="269" w:lineRule="auto"/>
      </w:pPr>
      <w:r>
        <w:rPr>
          <w:rFonts w:ascii="Aptos" w:hAnsi="Aptos"/>
        </w:rPr>
        <w:t>The NHS Constitution requires access based on clinical need rather than ability to pay, appropriate care that meets individual needs, smooth transitions between services, proper standards of care and best value for taxpayers. It applies to private and voluntary providers supplying NHS services as well as NHS bodies.</w:t>
      </w:r>
    </w:p>
    <w:p>
      <w:pPr>
        <w:spacing w:after="140" w:line="269" w:lineRule="auto"/>
      </w:pPr>
      <w:r>
        <w:rPr>
          <w:rFonts w:ascii="Aptos" w:hAnsi="Aptos"/>
        </w:rPr>
        <w:t>The Reasonable Adjustment Digital Flag already provides a national mechanism for recording and sharing adjustments across NHS and publicly funded social care. The current information standard covers NHS providers, independent contractors and private or voluntary providers of publicly funded care. Full conformance is scheduled for 30 September 2026. INAC should therefore extend and operationalise this infrastructure, not duplicate it.</w:t>
      </w:r>
    </w:p>
    <w:p>
      <w:pPr>
        <w:pStyle w:val="Heading2"/>
        <w:keepNext/>
      </w:pPr>
      <w:r>
        <w:rPr>
          <w:rFonts w:ascii="Aptos" w:hAnsi="Aptos"/>
          <w:b/>
          <w:color w:val="000000"/>
        </w:rPr>
        <w:t>2.3 The remaining gap</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2232"/>
            <w:shd w:fill="17365D"/>
            <w:tcMar>
              <w:top w:w="110" w:type="dxa"/>
              <w:start w:w="120" w:type="dxa"/>
              <w:bottom w:w="110" w:type="dxa"/>
              <w:end w:w="120" w:type="dxa"/>
            </w:tcMar>
            <w:vAlign w:val="center"/>
          </w:tcPr>
          <w:p>
            <w:pPr>
              <w:spacing w:after="0"/>
              <w:jc w:val="center"/>
            </w:pPr>
            <w:r>
              <w:rPr>
                <w:rFonts w:ascii="Aptos" w:hAnsi="Aptos"/>
                <w:b/>
                <w:color w:val="FFFFFF"/>
                <w:sz w:val="17"/>
              </w:rPr>
              <w:t>Existing mechanism</w:t>
            </w:r>
          </w:p>
        </w:tc>
        <w:tc>
          <w:tcPr>
            <w:tcW w:type="dxa" w:w="3240"/>
            <w:shd w:fill="17365D"/>
            <w:tcMar>
              <w:top w:w="110" w:type="dxa"/>
              <w:start w:w="120" w:type="dxa"/>
              <w:bottom w:w="110" w:type="dxa"/>
              <w:end w:w="120" w:type="dxa"/>
            </w:tcMar>
            <w:vAlign w:val="center"/>
          </w:tcPr>
          <w:p>
            <w:pPr>
              <w:spacing w:after="0"/>
              <w:jc w:val="center"/>
            </w:pPr>
            <w:r>
              <w:rPr>
                <w:rFonts w:ascii="Aptos" w:hAnsi="Aptos"/>
                <w:b/>
                <w:color w:val="FFFFFF"/>
                <w:sz w:val="17"/>
              </w:rPr>
              <w:t>What it does</w:t>
            </w:r>
          </w:p>
        </w:tc>
        <w:tc>
          <w:tcPr>
            <w:tcW w:type="dxa" w:w="4176"/>
            <w:shd w:fill="17365D"/>
            <w:tcMar>
              <w:top w:w="110" w:type="dxa"/>
              <w:start w:w="120" w:type="dxa"/>
              <w:bottom w:w="110" w:type="dxa"/>
              <w:end w:w="120" w:type="dxa"/>
            </w:tcMar>
            <w:vAlign w:val="center"/>
          </w:tcPr>
          <w:p>
            <w:pPr>
              <w:spacing w:after="0"/>
              <w:jc w:val="center"/>
            </w:pPr>
            <w:r>
              <w:rPr>
                <w:rFonts w:ascii="Aptos" w:hAnsi="Aptos"/>
                <w:b/>
                <w:color w:val="FFFFFF"/>
                <w:sz w:val="17"/>
              </w:rPr>
              <w:t>What remains missing</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7"/>
              </w:rPr>
              <w:t>Equality Act 2010</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7"/>
              </w:rPr>
              <w:t>Protects qualifying disabled people and creates adjustment duties.</w:t>
            </w:r>
          </w:p>
        </w:tc>
        <w:tc>
          <w:tcPr>
            <w:tcW w:type="dxa" w:w="4176"/>
            <w:tcMar>
              <w:top w:w="110" w:type="dxa"/>
              <w:start w:w="120" w:type="dxa"/>
              <w:bottom w:w="110" w:type="dxa"/>
              <w:end w:w="120" w:type="dxa"/>
            </w:tcMar>
            <w:vAlign w:val="center"/>
          </w:tcPr>
          <w:p>
            <w:pPr>
              <w:spacing w:after="0" w:line="247" w:lineRule="auto"/>
              <w:jc w:val="left"/>
            </w:pPr>
            <w:r>
              <w:rPr>
                <w:rFonts w:ascii="Aptos" w:hAnsi="Aptos"/>
                <w:sz w:val="17"/>
              </w:rPr>
              <w:t>A quick, trusted, portable record of assessed functional needs during a diagnostic wait.</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7"/>
              </w:rPr>
              <w:t>Reasonable Adjustment Digital Flag</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7"/>
              </w:rPr>
              <w:t>Shares impairments and key adjustments across relevant health and care settings.</w:t>
            </w:r>
          </w:p>
        </w:tc>
        <w:tc>
          <w:tcPr>
            <w:tcW w:type="dxa" w:w="4176"/>
            <w:tcMar>
              <w:top w:w="110" w:type="dxa"/>
              <w:start w:w="120" w:type="dxa"/>
              <w:bottom w:w="110" w:type="dxa"/>
              <w:end w:w="120" w:type="dxa"/>
            </w:tcMar>
            <w:vAlign w:val="center"/>
            <w:shd w:fill="F3F5F7"/>
          </w:tcPr>
          <w:p>
            <w:pPr>
              <w:spacing w:after="0" w:line="247" w:lineRule="auto"/>
              <w:jc w:val="left"/>
            </w:pPr>
            <w:r>
              <w:rPr>
                <w:rFonts w:ascii="Aptos" w:hAnsi="Aptos"/>
                <w:sz w:val="17"/>
              </w:rPr>
              <w:t>A patient held certificate, pathway continuity rules and payment controls tied to one referral.</w:t>
            </w:r>
          </w:p>
        </w:tc>
      </w:tr>
      <w:tr>
        <w:trPr>
          <w:cantSplit/>
        </w:trPr>
        <w:tc>
          <w:tcPr>
            <w:tcW w:type="dxa" w:w="2232"/>
            <w:tcMar>
              <w:top w:w="110" w:type="dxa"/>
              <w:start w:w="120" w:type="dxa"/>
              <w:bottom w:w="110" w:type="dxa"/>
              <w:end w:w="120" w:type="dxa"/>
            </w:tcMar>
            <w:vAlign w:val="center"/>
          </w:tcPr>
          <w:p>
            <w:pPr>
              <w:spacing w:after="0" w:line="247" w:lineRule="auto"/>
              <w:jc w:val="left"/>
            </w:pPr>
            <w:r>
              <w:rPr>
                <w:rFonts w:ascii="Aptos" w:hAnsi="Aptos"/>
                <w:sz w:val="17"/>
              </w:rPr>
              <w:t>NHS e Referral and local waiting lists</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7"/>
              </w:rPr>
              <w:t>Route and manage referrals.</w:t>
            </w:r>
          </w:p>
        </w:tc>
        <w:tc>
          <w:tcPr>
            <w:tcW w:type="dxa" w:w="4176"/>
            <w:tcMar>
              <w:top w:w="110" w:type="dxa"/>
              <w:start w:w="120" w:type="dxa"/>
              <w:bottom w:w="110" w:type="dxa"/>
              <w:end w:w="120" w:type="dxa"/>
            </w:tcMar>
            <w:vAlign w:val="center"/>
          </w:tcPr>
          <w:p>
            <w:pPr>
              <w:spacing w:after="0" w:line="247" w:lineRule="auto"/>
              <w:jc w:val="left"/>
            </w:pPr>
            <w:r>
              <w:rPr>
                <w:rFonts w:ascii="Aptos" w:hAnsi="Aptos"/>
                <w:sz w:val="17"/>
              </w:rPr>
              <w:t>A guaranteed persistent identity when providers change or registrations fail.</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7"/>
              </w:rPr>
              <w:t>Clinical records</w:t>
            </w:r>
          </w:p>
        </w:tc>
        <w:tc>
          <w:tcPr>
            <w:tcW w:type="dxa" w:w="3240"/>
            <w:tcMar>
              <w:top w:w="110" w:type="dxa"/>
              <w:start w:w="120" w:type="dxa"/>
              <w:bottom w:w="110" w:type="dxa"/>
              <w:end w:w="120" w:type="dxa"/>
            </w:tcMar>
            <w:vAlign w:val="center"/>
            <w:shd w:fill="F3F5F7"/>
          </w:tcPr>
          <w:p>
            <w:pPr>
              <w:spacing w:after="0" w:line="247" w:lineRule="auto"/>
              <w:jc w:val="left"/>
            </w:pPr>
            <w:r>
              <w:rPr>
                <w:rFonts w:ascii="Aptos" w:hAnsi="Aptos"/>
                <w:sz w:val="17"/>
              </w:rPr>
              <w:t>Hold detailed health information.</w:t>
            </w:r>
          </w:p>
        </w:tc>
        <w:tc>
          <w:tcPr>
            <w:tcW w:type="dxa" w:w="4176"/>
            <w:tcMar>
              <w:top w:w="110" w:type="dxa"/>
              <w:start w:w="120" w:type="dxa"/>
              <w:bottom w:w="110" w:type="dxa"/>
              <w:end w:w="120" w:type="dxa"/>
            </w:tcMar>
            <w:vAlign w:val="center"/>
            <w:shd w:fill="F3F5F7"/>
          </w:tcPr>
          <w:p>
            <w:pPr>
              <w:spacing w:after="0" w:line="247" w:lineRule="auto"/>
              <w:jc w:val="left"/>
            </w:pPr>
            <w:r>
              <w:rPr>
                <w:rFonts w:ascii="Aptos" w:hAnsi="Aptos"/>
                <w:sz w:val="17"/>
              </w:rPr>
              <w:t>A minimum disclosure format suitable for day to day use outside the full care record.</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7"/>
              </w:rPr>
              <w:t>Complaints and ombudsman routes</w:t>
            </w:r>
          </w:p>
        </w:tc>
        <w:tc>
          <w:tcPr>
            <w:tcW w:type="dxa" w:w="3240"/>
            <w:tcMar>
              <w:top w:w="110" w:type="dxa"/>
              <w:start w:w="120" w:type="dxa"/>
              <w:bottom w:w="110" w:type="dxa"/>
              <w:end w:w="120" w:type="dxa"/>
            </w:tcMar>
            <w:vAlign w:val="center"/>
          </w:tcPr>
          <w:p>
            <w:pPr>
              <w:spacing w:after="0" w:line="247" w:lineRule="auto"/>
              <w:jc w:val="left"/>
            </w:pPr>
            <w:r>
              <w:rPr>
                <w:rFonts w:ascii="Aptos" w:hAnsi="Aptos"/>
                <w:sz w:val="17"/>
              </w:rPr>
              <w:t>Provide redress after failure.</w:t>
            </w:r>
          </w:p>
        </w:tc>
        <w:tc>
          <w:tcPr>
            <w:tcW w:type="dxa" w:w="4176"/>
            <w:tcMar>
              <w:top w:w="110" w:type="dxa"/>
              <w:start w:w="120" w:type="dxa"/>
              <w:bottom w:w="110" w:type="dxa"/>
              <w:end w:w="120" w:type="dxa"/>
            </w:tcMar>
            <w:vAlign w:val="center"/>
          </w:tcPr>
          <w:p>
            <w:pPr>
              <w:spacing w:after="0" w:line="247" w:lineRule="auto"/>
              <w:jc w:val="left"/>
            </w:pPr>
            <w:r>
              <w:rPr>
                <w:rFonts w:ascii="Aptos" w:hAnsi="Aptos"/>
                <w:sz w:val="17"/>
              </w:rPr>
              <w:t>Fast correction before a person loses access, position or money.</w:t>
            </w:r>
          </w:p>
        </w:tc>
      </w:tr>
    </w:tbl>
    <w:p>
      <w:pPr>
        <w:spacing w:after="20"/>
      </w:pPr>
    </w:p>
    <w:p>
      <w:pPr>
        <w:pStyle w:val="Heading1"/>
        <w:keepNext/>
      </w:pPr>
      <w:r>
        <w:rPr>
          <w:rFonts w:ascii="Aptos" w:hAnsi="Aptos"/>
          <w:b/>
          <w:color w:val="000000"/>
        </w:rPr>
        <w:t>3 Policy objectives and design principles</w:t>
      </w:r>
    </w:p>
    <w:p>
      <w:pPr>
        <w:pStyle w:val="Heading2"/>
        <w:keepNext/>
      </w:pPr>
      <w:r>
        <w:rPr>
          <w:rFonts w:ascii="Aptos" w:hAnsi="Aptos"/>
          <w:b/>
          <w:color w:val="000000"/>
        </w:rPr>
        <w:t>3.1 Objectives</w:t>
      </w:r>
    </w:p>
    <w:p>
      <w:pPr>
        <w:pStyle w:val="ListBullet"/>
        <w:spacing w:after="80" w:line="259" w:lineRule="auto"/>
      </w:pPr>
      <w:r>
        <w:rPr>
          <w:rFonts w:ascii="Aptos" w:hAnsi="Aptos"/>
        </w:rPr>
        <w:t>Provide useful support from the initial assessment rather than making protection wait for a final label.</w:t>
      </w:r>
    </w:p>
    <w:p>
      <w:pPr>
        <w:pStyle w:val="ListBullet"/>
        <w:spacing w:after="80" w:line="259" w:lineRule="auto"/>
      </w:pPr>
      <w:r>
        <w:rPr>
          <w:rFonts w:ascii="Aptos" w:hAnsi="Aptos"/>
        </w:rPr>
        <w:t>Reduce repeated disclosure and create a reliable written record of communication and access needs.</w:t>
      </w:r>
    </w:p>
    <w:p>
      <w:pPr>
        <w:pStyle w:val="ListBullet"/>
        <w:spacing w:after="80" w:line="259" w:lineRule="auto"/>
      </w:pPr>
      <w:r>
        <w:rPr>
          <w:rFonts w:ascii="Aptos" w:hAnsi="Aptos"/>
        </w:rPr>
        <w:t>Preserve referral identity, evidence, waiting time and clinical responsibility across organisational transfers.</w:t>
      </w:r>
    </w:p>
    <w:p>
      <w:pPr>
        <w:pStyle w:val="ListBullet"/>
        <w:spacing w:after="80" w:line="259" w:lineRule="auto"/>
      </w:pPr>
      <w:r>
        <w:rPr>
          <w:rFonts w:ascii="Aptos" w:hAnsi="Aptos"/>
        </w:rPr>
        <w:t>Prevent duplicate public payment, avoidable repeated assessments and commercial exploitation of pathway failure.</w:t>
      </w:r>
    </w:p>
    <w:p>
      <w:pPr>
        <w:pStyle w:val="ListBullet"/>
        <w:spacing w:after="80" w:line="259" w:lineRule="auto"/>
      </w:pPr>
      <w:r>
        <w:rPr>
          <w:rFonts w:ascii="Aptos" w:hAnsi="Aptos"/>
        </w:rPr>
        <w:t>Retain NHS clinical ownership, records, workforce knowledge and public funds, using independent capacity only where it passes a transparent public interest test.</w:t>
      </w:r>
    </w:p>
    <w:p>
      <w:pPr>
        <w:pStyle w:val="ListBullet"/>
        <w:spacing w:after="80" w:line="259" w:lineRule="auto"/>
      </w:pPr>
      <w:r>
        <w:rPr>
          <w:rFonts w:ascii="Aptos" w:hAnsi="Aptos"/>
        </w:rPr>
        <w:t>Protect access to diagnosis where it remains clinically useful or necessary for treatment, understanding, safety or legal purposes.</w:t>
      </w:r>
    </w:p>
    <w:p>
      <w:pPr>
        <w:pStyle w:val="ListBullet"/>
        <w:spacing w:after="80" w:line="259" w:lineRule="auto"/>
      </w:pPr>
      <w:r>
        <w:rPr>
          <w:rFonts w:ascii="Aptos" w:hAnsi="Aptos"/>
        </w:rPr>
        <w:t>Generate transparent data on delays, administrative closures, provider performance and inequity without exposing identifiable patient information.</w:t>
      </w:r>
    </w:p>
    <w:p>
      <w:pPr>
        <w:pStyle w:val="Heading2"/>
        <w:keepNext/>
      </w:pPr>
      <w:r>
        <w:rPr>
          <w:rFonts w:ascii="Aptos" w:hAnsi="Aptos"/>
          <w:b/>
          <w:color w:val="000000"/>
        </w:rPr>
        <w:t>3.2 Non negotiable principles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448"/>
            <w:shd w:fill="17365D"/>
            <w:tcMar>
              <w:top w:w="110" w:type="dxa"/>
              <w:start w:w="120" w:type="dxa"/>
              <w:bottom w:w="110" w:type="dxa"/>
              <w:end w:w="120" w:type="dxa"/>
            </w:tcMar>
            <w:vAlign w:val="center"/>
          </w:tcPr>
          <w:p>
            <w:pPr>
              <w:spacing w:after="0"/>
              <w:jc w:val="center"/>
            </w:pPr>
            <w:r>
              <w:rPr>
                <w:rFonts w:ascii="Aptos" w:hAnsi="Aptos"/>
                <w:b/>
                <w:color w:val="FFFFFF"/>
                <w:sz w:val="18"/>
              </w:rPr>
              <w:t>Principle</w:t>
            </w:r>
          </w:p>
        </w:tc>
        <w:tc>
          <w:tcPr>
            <w:tcW w:type="dxa" w:w="7200"/>
            <w:shd w:fill="17365D"/>
            <w:tcMar>
              <w:top w:w="110" w:type="dxa"/>
              <w:start w:w="120" w:type="dxa"/>
              <w:bottom w:w="110" w:type="dxa"/>
              <w:end w:w="120" w:type="dxa"/>
            </w:tcMar>
            <w:vAlign w:val="center"/>
          </w:tcPr>
          <w:p>
            <w:pPr>
              <w:spacing w:after="0"/>
              <w:jc w:val="center"/>
            </w:pPr>
            <w:r>
              <w:rPr>
                <w:rFonts w:ascii="Aptos" w:hAnsi="Aptos"/>
                <w:b/>
                <w:color w:val="FFFFFF"/>
                <w:sz w:val="18"/>
              </w:rPr>
              <w:t>Operational meaning</w:t>
            </w:r>
          </w:p>
        </w:tc>
      </w:tr>
      <w:tr>
        <w:trPr>
          <w:cantSplit/>
        </w:trPr>
        <w:tc>
          <w:tcPr>
            <w:tcW w:type="dxa" w:w="2448"/>
            <w:tcMar>
              <w:top w:w="110" w:type="dxa"/>
              <w:start w:w="120" w:type="dxa"/>
              <w:bottom w:w="110" w:type="dxa"/>
              <w:end w:w="120" w:type="dxa"/>
            </w:tcMar>
            <w:vAlign w:val="center"/>
          </w:tcPr>
          <w:p>
            <w:pPr>
              <w:spacing w:after="0" w:line="247" w:lineRule="auto"/>
              <w:jc w:val="center"/>
            </w:pPr>
            <w:r>
              <w:rPr>
                <w:rFonts w:ascii="Aptos" w:hAnsi="Aptos"/>
                <w:sz w:val="18"/>
              </w:rPr>
              <w:t>Needs before labels</w:t>
            </w:r>
          </w:p>
        </w:tc>
        <w:tc>
          <w:tcPr>
            <w:tcW w:type="dxa" w:w="7200"/>
            <w:tcMar>
              <w:top w:w="110" w:type="dxa"/>
              <w:start w:w="120" w:type="dxa"/>
              <w:bottom w:w="110" w:type="dxa"/>
              <w:end w:w="120" w:type="dxa"/>
            </w:tcMar>
            <w:vAlign w:val="center"/>
          </w:tcPr>
          <w:p>
            <w:pPr>
              <w:spacing w:after="0" w:line="247" w:lineRule="auto"/>
              <w:jc w:val="left"/>
            </w:pPr>
            <w:r>
              <w:rPr>
                <w:rFonts w:ascii="Aptos" w:hAnsi="Aptos"/>
                <w:sz w:val="18"/>
              </w:rPr>
              <w:t>Adjustments respond to observed functional barriers. Diagnostic uncertainty is recorded honestly.</w:t>
            </w:r>
          </w:p>
        </w:tc>
      </w:tr>
      <w:tr>
        <w:trPr>
          <w:cantSplit/>
        </w:trPr>
        <w:tc>
          <w:tcPr>
            <w:tcW w:type="dxa" w:w="2448"/>
            <w:tcMar>
              <w:top w:w="110" w:type="dxa"/>
              <w:start w:w="120" w:type="dxa"/>
              <w:bottom w:w="110" w:type="dxa"/>
              <w:end w:w="120" w:type="dxa"/>
            </w:tcMar>
            <w:vAlign w:val="center"/>
            <w:shd w:fill="F3F5F7"/>
          </w:tcPr>
          <w:p>
            <w:pPr>
              <w:spacing w:after="0" w:line="247" w:lineRule="auto"/>
              <w:jc w:val="center"/>
            </w:pPr>
            <w:r>
              <w:rPr>
                <w:rFonts w:ascii="Aptos" w:hAnsi="Aptos"/>
                <w:sz w:val="18"/>
              </w:rPr>
              <w:t>No loss of existing rights</w:t>
            </w:r>
          </w:p>
        </w:tc>
        <w:tc>
          <w:tcPr>
            <w:tcW w:type="dxa" w:w="7200"/>
            <w:tcMar>
              <w:top w:w="110" w:type="dxa"/>
              <w:start w:w="120" w:type="dxa"/>
              <w:bottom w:w="110" w:type="dxa"/>
              <w:end w:w="120" w:type="dxa"/>
            </w:tcMar>
            <w:vAlign w:val="center"/>
            <w:shd w:fill="F3F5F7"/>
          </w:tcPr>
          <w:p>
            <w:pPr>
              <w:spacing w:after="0" w:line="247" w:lineRule="auto"/>
              <w:jc w:val="left"/>
            </w:pPr>
            <w:r>
              <w:rPr>
                <w:rFonts w:ascii="Aptos" w:hAnsi="Aptos"/>
                <w:sz w:val="18"/>
              </w:rPr>
              <w:t>The certificate adds evidence and enforceability. Absence, expiry or refusal never proves absence of disability.</w:t>
            </w:r>
          </w:p>
        </w:tc>
      </w:tr>
      <w:tr>
        <w:trPr>
          <w:cantSplit/>
        </w:trPr>
        <w:tc>
          <w:tcPr>
            <w:tcW w:type="dxa" w:w="2448"/>
            <w:tcMar>
              <w:top w:w="110" w:type="dxa"/>
              <w:start w:w="120" w:type="dxa"/>
              <w:bottom w:w="110" w:type="dxa"/>
              <w:end w:w="120" w:type="dxa"/>
            </w:tcMar>
            <w:vAlign w:val="center"/>
          </w:tcPr>
          <w:p>
            <w:pPr>
              <w:spacing w:after="0" w:line="247" w:lineRule="auto"/>
              <w:jc w:val="center"/>
            </w:pPr>
            <w:r>
              <w:rPr>
                <w:rFonts w:ascii="Aptos" w:hAnsi="Aptos"/>
                <w:sz w:val="18"/>
              </w:rPr>
              <w:t>One person one pathway</w:t>
            </w:r>
          </w:p>
        </w:tc>
        <w:tc>
          <w:tcPr>
            <w:tcW w:type="dxa" w:w="7200"/>
            <w:tcMar>
              <w:top w:w="110" w:type="dxa"/>
              <w:start w:w="120" w:type="dxa"/>
              <w:bottom w:w="110" w:type="dxa"/>
              <w:end w:w="120" w:type="dxa"/>
            </w:tcMar>
            <w:vAlign w:val="center"/>
          </w:tcPr>
          <w:p>
            <w:pPr>
              <w:spacing w:after="0" w:line="247" w:lineRule="auto"/>
              <w:jc w:val="left"/>
            </w:pPr>
            <w:r>
              <w:rPr>
                <w:rFonts w:ascii="Aptos" w:hAnsi="Aptos"/>
                <w:sz w:val="18"/>
              </w:rPr>
              <w:t>There is one active referral identity per clinical question, with an auditable history of transfers and service events.</w:t>
            </w:r>
          </w:p>
        </w:tc>
      </w:tr>
      <w:tr>
        <w:trPr>
          <w:cantSplit/>
        </w:trPr>
        <w:tc>
          <w:tcPr>
            <w:tcW w:type="dxa" w:w="2448"/>
            <w:tcMar>
              <w:top w:w="110" w:type="dxa"/>
              <w:start w:w="120" w:type="dxa"/>
              <w:bottom w:w="110" w:type="dxa"/>
              <w:end w:w="120" w:type="dxa"/>
            </w:tcMar>
            <w:vAlign w:val="center"/>
            <w:shd w:fill="F3F5F7"/>
          </w:tcPr>
          <w:p>
            <w:pPr>
              <w:spacing w:after="0" w:line="247" w:lineRule="auto"/>
              <w:jc w:val="center"/>
            </w:pPr>
            <w:r>
              <w:rPr>
                <w:rFonts w:ascii="Aptos" w:hAnsi="Aptos"/>
                <w:sz w:val="18"/>
              </w:rPr>
              <w:t>No pay for failure</w:t>
            </w:r>
          </w:p>
        </w:tc>
        <w:tc>
          <w:tcPr>
            <w:tcW w:type="dxa" w:w="7200"/>
            <w:tcMar>
              <w:top w:w="110" w:type="dxa"/>
              <w:start w:w="120" w:type="dxa"/>
              <w:bottom w:w="110" w:type="dxa"/>
              <w:end w:w="120" w:type="dxa"/>
            </w:tcMar>
            <w:vAlign w:val="center"/>
            <w:shd w:fill="F3F5F7"/>
          </w:tcPr>
          <w:p>
            <w:pPr>
              <w:spacing w:after="0" w:line="247" w:lineRule="auto"/>
              <w:jc w:val="left"/>
            </w:pPr>
            <w:r>
              <w:rPr>
                <w:rFonts w:ascii="Aptos" w:hAnsi="Aptos"/>
                <w:sz w:val="18"/>
              </w:rPr>
              <w:t>Routine administrative rejection, duplicate intake and avoidable re registration do not create a separate billable episode.</w:t>
            </w:r>
          </w:p>
        </w:tc>
      </w:tr>
      <w:tr>
        <w:trPr>
          <w:cantSplit/>
        </w:trPr>
        <w:tc>
          <w:tcPr>
            <w:tcW w:type="dxa" w:w="2448"/>
            <w:tcMar>
              <w:top w:w="110" w:type="dxa"/>
              <w:start w:w="120" w:type="dxa"/>
              <w:bottom w:w="110" w:type="dxa"/>
              <w:end w:w="120" w:type="dxa"/>
            </w:tcMar>
            <w:vAlign w:val="center"/>
          </w:tcPr>
          <w:p>
            <w:pPr>
              <w:spacing w:after="0" w:line="247" w:lineRule="auto"/>
              <w:jc w:val="center"/>
            </w:pPr>
            <w:r>
              <w:rPr>
                <w:rFonts w:ascii="Aptos" w:hAnsi="Aptos"/>
                <w:sz w:val="18"/>
              </w:rPr>
              <w:t>Public capability first</w:t>
            </w:r>
          </w:p>
        </w:tc>
        <w:tc>
          <w:tcPr>
            <w:tcW w:type="dxa" w:w="7200"/>
            <w:tcMar>
              <w:top w:w="110" w:type="dxa"/>
              <w:start w:w="120" w:type="dxa"/>
              <w:bottom w:w="110" w:type="dxa"/>
              <w:end w:w="120" w:type="dxa"/>
            </w:tcMar>
            <w:vAlign w:val="center"/>
          </w:tcPr>
          <w:p>
            <w:pPr>
              <w:spacing w:after="0" w:line="247" w:lineRule="auto"/>
              <w:jc w:val="left"/>
            </w:pPr>
            <w:r>
              <w:rPr>
                <w:rFonts w:ascii="Aptos" w:hAnsi="Aptos"/>
                <w:sz w:val="18"/>
              </w:rPr>
              <w:t>Core NHS assessment capacity is planned and retained; external capacity is supplementary, time limited and subject to an evidenced public interest test.</w:t>
            </w:r>
          </w:p>
        </w:tc>
      </w:tr>
      <w:tr>
        <w:trPr>
          <w:cantSplit/>
        </w:trPr>
        <w:tc>
          <w:tcPr>
            <w:tcW w:type="dxa" w:w="2448"/>
            <w:tcMar>
              <w:top w:w="110" w:type="dxa"/>
              <w:start w:w="120" w:type="dxa"/>
              <w:bottom w:w="110" w:type="dxa"/>
              <w:end w:w="120" w:type="dxa"/>
            </w:tcMar>
            <w:vAlign w:val="center"/>
            <w:shd w:fill="F3F5F7"/>
          </w:tcPr>
          <w:p>
            <w:pPr>
              <w:spacing w:after="0" w:line="247" w:lineRule="auto"/>
              <w:jc w:val="center"/>
            </w:pPr>
            <w:r>
              <w:rPr>
                <w:rFonts w:ascii="Aptos" w:hAnsi="Aptos"/>
                <w:sz w:val="18"/>
              </w:rPr>
              <w:t>Clinical independence</w:t>
            </w:r>
          </w:p>
        </w:tc>
        <w:tc>
          <w:tcPr>
            <w:tcW w:type="dxa" w:w="7200"/>
            <w:tcMar>
              <w:top w:w="110" w:type="dxa"/>
              <w:start w:w="120" w:type="dxa"/>
              <w:bottom w:w="110" w:type="dxa"/>
              <w:end w:w="120" w:type="dxa"/>
            </w:tcMar>
            <w:vAlign w:val="center"/>
            <w:shd w:fill="F3F5F7"/>
          </w:tcPr>
          <w:p>
            <w:pPr>
              <w:spacing w:after="0" w:line="247" w:lineRule="auto"/>
              <w:jc w:val="left"/>
            </w:pPr>
            <w:r>
              <w:rPr>
                <w:rFonts w:ascii="Aptos" w:hAnsi="Aptos"/>
                <w:sz w:val="18"/>
              </w:rPr>
              <w:t>Payment and performance measures must not reward either diagnosis or non diagnosis.</w:t>
            </w:r>
          </w:p>
        </w:tc>
      </w:tr>
      <w:tr>
        <w:trPr>
          <w:cantSplit/>
        </w:trPr>
        <w:tc>
          <w:tcPr>
            <w:tcW w:type="dxa" w:w="2448"/>
            <w:tcMar>
              <w:top w:w="110" w:type="dxa"/>
              <w:start w:w="120" w:type="dxa"/>
              <w:bottom w:w="110" w:type="dxa"/>
              <w:end w:w="120" w:type="dxa"/>
            </w:tcMar>
            <w:vAlign w:val="center"/>
          </w:tcPr>
          <w:p>
            <w:pPr>
              <w:spacing w:after="0" w:line="247" w:lineRule="auto"/>
              <w:jc w:val="center"/>
            </w:pPr>
            <w:r>
              <w:rPr>
                <w:rFonts w:ascii="Aptos" w:hAnsi="Aptos"/>
                <w:sz w:val="18"/>
              </w:rPr>
              <w:t>Minimum necessary disclosure</w:t>
            </w:r>
          </w:p>
        </w:tc>
        <w:tc>
          <w:tcPr>
            <w:tcW w:type="dxa" w:w="7200"/>
            <w:tcMar>
              <w:top w:w="110" w:type="dxa"/>
              <w:start w:w="120" w:type="dxa"/>
              <w:bottom w:w="110" w:type="dxa"/>
              <w:end w:w="120" w:type="dxa"/>
            </w:tcMar>
            <w:vAlign w:val="center"/>
          </w:tcPr>
          <w:p>
            <w:pPr>
              <w:spacing w:after="0" w:line="247" w:lineRule="auto"/>
              <w:jc w:val="left"/>
            </w:pPr>
            <w:r>
              <w:rPr>
                <w:rFonts w:ascii="Aptos" w:hAnsi="Aptos"/>
                <w:sz w:val="18"/>
              </w:rPr>
              <w:t>The default certificate states needs and adjustments, not sensitive diagnostic speculation.</w:t>
            </w:r>
          </w:p>
        </w:tc>
      </w:tr>
      <w:tr>
        <w:trPr>
          <w:cantSplit/>
        </w:trPr>
        <w:tc>
          <w:tcPr>
            <w:tcW w:type="dxa" w:w="2448"/>
            <w:tcMar>
              <w:top w:w="110" w:type="dxa"/>
              <w:start w:w="120" w:type="dxa"/>
              <w:bottom w:w="110" w:type="dxa"/>
              <w:end w:w="120" w:type="dxa"/>
            </w:tcMar>
            <w:vAlign w:val="center"/>
            <w:shd w:fill="F3F5F7"/>
          </w:tcPr>
          <w:p>
            <w:pPr>
              <w:spacing w:after="0" w:line="247" w:lineRule="auto"/>
              <w:jc w:val="center"/>
            </w:pPr>
            <w:r>
              <w:rPr>
                <w:rFonts w:ascii="Aptos" w:hAnsi="Aptos"/>
                <w:sz w:val="18"/>
              </w:rPr>
              <w:t>Accessible by default</w:t>
            </w:r>
          </w:p>
        </w:tc>
        <w:tc>
          <w:tcPr>
            <w:tcW w:type="dxa" w:w="7200"/>
            <w:tcMar>
              <w:top w:w="110" w:type="dxa"/>
              <w:start w:w="120" w:type="dxa"/>
              <w:bottom w:w="110" w:type="dxa"/>
              <w:end w:w="120" w:type="dxa"/>
            </w:tcMar>
            <w:vAlign w:val="center"/>
            <w:shd w:fill="F3F5F7"/>
          </w:tcPr>
          <w:p>
            <w:pPr>
              <w:spacing w:after="0" w:line="247" w:lineRule="auto"/>
              <w:jc w:val="left"/>
            </w:pPr>
            <w:r>
              <w:rPr>
                <w:rFonts w:ascii="Aptos" w:hAnsi="Aptos"/>
                <w:sz w:val="18"/>
              </w:rPr>
              <w:t>Written, digital, Easy Read, large print, translated and supported communication formats are available without telephone dependence.</w:t>
            </w:r>
          </w:p>
        </w:tc>
      </w:tr>
      <w:tr>
        <w:trPr>
          <w:cantSplit/>
        </w:trPr>
        <w:tc>
          <w:tcPr>
            <w:tcW w:type="dxa" w:w="2448"/>
            <w:tcMar>
              <w:top w:w="110" w:type="dxa"/>
              <w:start w:w="120" w:type="dxa"/>
              <w:bottom w:w="110" w:type="dxa"/>
              <w:end w:w="120" w:type="dxa"/>
            </w:tcMar>
            <w:vAlign w:val="center"/>
          </w:tcPr>
          <w:p>
            <w:pPr>
              <w:spacing w:after="0" w:line="247" w:lineRule="auto"/>
              <w:jc w:val="center"/>
            </w:pPr>
            <w:r>
              <w:rPr>
                <w:rFonts w:ascii="Aptos" w:hAnsi="Aptos"/>
                <w:sz w:val="18"/>
              </w:rPr>
              <w:t>Diagnosis remains available</w:t>
            </w:r>
          </w:p>
        </w:tc>
        <w:tc>
          <w:tcPr>
            <w:tcW w:type="dxa" w:w="7200"/>
            <w:tcMar>
              <w:top w:w="110" w:type="dxa"/>
              <w:start w:w="120" w:type="dxa"/>
              <w:bottom w:w="110" w:type="dxa"/>
              <w:end w:w="120" w:type="dxa"/>
            </w:tcMar>
            <w:vAlign w:val="center"/>
          </w:tcPr>
          <w:p>
            <w:pPr>
              <w:spacing w:after="0" w:line="247" w:lineRule="auto"/>
              <w:jc w:val="left"/>
            </w:pPr>
            <w:r>
              <w:rPr>
                <w:rFonts w:ascii="Aptos" w:hAnsi="Aptos"/>
                <w:sz w:val="18"/>
              </w:rPr>
              <w:t>Early support is not a substitute for specialist assessment when diagnosis affects treatment, risk, identity, rights or informed choice.</w:t>
            </w:r>
          </w:p>
        </w:tc>
      </w:tr>
    </w:tbl>
    <w:p>
      <w:pPr>
        <w:spacing w:after="20"/>
      </w:pPr>
    </w:p>
    <w:p>
      <w:pPr>
        <w:pStyle w:val="Heading1"/>
        <w:keepNext/>
      </w:pPr>
      <w:r>
        <w:rPr>
          <w:rFonts w:ascii="Aptos" w:hAnsi="Aptos"/>
          <w:b/>
          <w:color w:val="000000"/>
        </w:rPr>
        <w:t>4 The proposed certificate</w:t>
      </w:r>
    </w:p>
    <w:p>
      <w:pPr>
        <w:pStyle w:val="Heading2"/>
        <w:keepNext/>
      </w:pPr>
      <w:r>
        <w:rPr>
          <w:rFonts w:ascii="Aptos" w:hAnsi="Aptos"/>
          <w:b/>
          <w:color w:val="000000"/>
        </w:rPr>
        <w:t>4.1 Name and status</w:t>
      </w:r>
    </w:p>
    <w:p>
      <w:pPr>
        <w:spacing w:after="140" w:line="269" w:lineRule="auto"/>
      </w:pPr>
      <w:r>
        <w:rPr>
          <w:rFonts w:ascii="Aptos" w:hAnsi="Aptos"/>
        </w:rPr>
        <w:t>The NHS Interim Needs and Adjustments Certificate is a time limited but automatically continuing clinical and administrative record. It confirms that an authorised clinician has assessed current functional effects and that listed adjustments or interim actions are reasonable to implement while diagnostic work continues. It must carry the words Not a final diagnosis.</w:t>
      </w:r>
    </w:p>
    <w:p>
      <w:pPr>
        <w:pStyle w:val="Heading2"/>
        <w:keepNext/>
      </w:pPr>
      <w:r>
        <w:rPr>
          <w:rFonts w:ascii="Aptos" w:hAnsi="Aptos"/>
          <w:b/>
          <w:color w:val="000000"/>
        </w:rPr>
        <w:t>4.2 What the certificate contains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160"/>
            <w:shd w:fill="17365D"/>
            <w:tcMar>
              <w:top w:w="110" w:type="dxa"/>
              <w:start w:w="120" w:type="dxa"/>
              <w:bottom w:w="110" w:type="dxa"/>
              <w:end w:w="120" w:type="dxa"/>
            </w:tcMar>
            <w:vAlign w:val="center"/>
          </w:tcPr>
          <w:p>
            <w:pPr>
              <w:spacing w:after="0"/>
              <w:jc w:val="center"/>
            </w:pPr>
            <w:r>
              <w:rPr>
                <w:rFonts w:ascii="Aptos" w:hAnsi="Aptos"/>
                <w:b/>
                <w:color w:val="FFFFFF"/>
                <w:sz w:val="17"/>
              </w:rPr>
              <w:t>Field</w:t>
            </w:r>
          </w:p>
        </w:tc>
        <w:tc>
          <w:tcPr>
            <w:tcW w:type="dxa" w:w="7488"/>
            <w:shd w:fill="17365D"/>
            <w:tcMar>
              <w:top w:w="110" w:type="dxa"/>
              <w:start w:w="120" w:type="dxa"/>
              <w:bottom w:w="110" w:type="dxa"/>
              <w:end w:w="120" w:type="dxa"/>
            </w:tcMar>
            <w:vAlign w:val="center"/>
          </w:tcPr>
          <w:p>
            <w:pPr>
              <w:spacing w:after="0"/>
              <w:jc w:val="center"/>
            </w:pPr>
            <w:r>
              <w:rPr>
                <w:rFonts w:ascii="Aptos" w:hAnsi="Aptos"/>
                <w:b/>
                <w:color w:val="FFFFFF"/>
                <w:sz w:val="17"/>
              </w:rPr>
              <w:t>Required content</w:t>
            </w:r>
          </w:p>
        </w:tc>
      </w:tr>
      <w:tr>
        <w:trPr>
          <w:cantSplit/>
        </w:trPr>
        <w:tc>
          <w:tcPr>
            <w:tcW w:type="dxa" w:w="2160"/>
            <w:tcMar>
              <w:top w:w="110" w:type="dxa"/>
              <w:start w:w="120" w:type="dxa"/>
              <w:bottom w:w="110" w:type="dxa"/>
              <w:end w:w="120" w:type="dxa"/>
            </w:tcMar>
            <w:vAlign w:val="center"/>
          </w:tcPr>
          <w:p>
            <w:pPr>
              <w:spacing w:after="0" w:line="247" w:lineRule="auto"/>
              <w:jc w:val="center"/>
            </w:pPr>
            <w:r>
              <w:rPr>
                <w:rFonts w:ascii="Aptos" w:hAnsi="Aptos"/>
                <w:sz w:val="17"/>
              </w:rPr>
              <w:t>Identity</w:t>
            </w:r>
          </w:p>
        </w:tc>
        <w:tc>
          <w:tcPr>
            <w:tcW w:type="dxa" w:w="7488"/>
            <w:tcMar>
              <w:top w:w="110" w:type="dxa"/>
              <w:start w:w="120" w:type="dxa"/>
              <w:bottom w:w="110" w:type="dxa"/>
              <w:end w:w="120" w:type="dxa"/>
            </w:tcMar>
            <w:vAlign w:val="center"/>
          </w:tcPr>
          <w:p>
            <w:pPr>
              <w:spacing w:after="0" w:line="247" w:lineRule="auto"/>
              <w:jc w:val="left"/>
            </w:pPr>
            <w:r>
              <w:rPr>
                <w:rFonts w:ascii="Aptos" w:hAnsi="Aptos"/>
                <w:sz w:val="17"/>
              </w:rPr>
              <w:t>Name, date of birth, NHS number and preferred name, subject to identity verification rules.</w:t>
            </w:r>
          </w:p>
        </w:tc>
      </w:tr>
      <w:tr>
        <w:trPr>
          <w:cantSplit/>
        </w:trPr>
        <w:tc>
          <w:tcPr>
            <w:tcW w:type="dxa" w:w="2160"/>
            <w:tcMar>
              <w:top w:w="110" w:type="dxa"/>
              <w:start w:w="120" w:type="dxa"/>
              <w:bottom w:w="110" w:type="dxa"/>
              <w:end w:w="120" w:type="dxa"/>
            </w:tcMar>
            <w:vAlign w:val="center"/>
            <w:shd w:fill="F3F5F7"/>
          </w:tcPr>
          <w:p>
            <w:pPr>
              <w:spacing w:after="0" w:line="247" w:lineRule="auto"/>
              <w:jc w:val="center"/>
            </w:pPr>
            <w:r>
              <w:rPr>
                <w:rFonts w:ascii="Aptos" w:hAnsi="Aptos"/>
                <w:sz w:val="17"/>
              </w:rPr>
              <w:t>Issuer</w:t>
            </w:r>
          </w:p>
        </w:tc>
        <w:tc>
          <w:tcPr>
            <w:tcW w:type="dxa" w:w="7488"/>
            <w:tcMar>
              <w:top w:w="110" w:type="dxa"/>
              <w:start w:w="120" w:type="dxa"/>
              <w:bottom w:w="110" w:type="dxa"/>
              <w:end w:w="120" w:type="dxa"/>
            </w:tcMar>
            <w:vAlign w:val="center"/>
            <w:shd w:fill="F3F5F7"/>
          </w:tcPr>
          <w:p>
            <w:pPr>
              <w:spacing w:after="0" w:line="247" w:lineRule="auto"/>
              <w:jc w:val="left"/>
            </w:pPr>
            <w:r>
              <w:rPr>
                <w:rFonts w:ascii="Aptos" w:hAnsi="Aptos"/>
                <w:sz w:val="17"/>
              </w:rPr>
              <w:t>Name, professional role, organisation, registration details and issue date.</w:t>
            </w:r>
          </w:p>
        </w:tc>
      </w:tr>
      <w:tr>
        <w:trPr>
          <w:cantSplit/>
        </w:trPr>
        <w:tc>
          <w:tcPr>
            <w:tcW w:type="dxa" w:w="2160"/>
            <w:tcMar>
              <w:top w:w="110" w:type="dxa"/>
              <w:start w:w="120" w:type="dxa"/>
              <w:bottom w:w="110" w:type="dxa"/>
              <w:end w:w="120" w:type="dxa"/>
            </w:tcMar>
            <w:vAlign w:val="center"/>
          </w:tcPr>
          <w:p>
            <w:pPr>
              <w:spacing w:after="0" w:line="247" w:lineRule="auto"/>
              <w:jc w:val="center"/>
            </w:pPr>
            <w:r>
              <w:rPr>
                <w:rFonts w:ascii="Aptos" w:hAnsi="Aptos"/>
                <w:sz w:val="17"/>
              </w:rPr>
              <w:t>Status</w:t>
            </w:r>
          </w:p>
        </w:tc>
        <w:tc>
          <w:tcPr>
            <w:tcW w:type="dxa" w:w="7488"/>
            <w:tcMar>
              <w:top w:w="110" w:type="dxa"/>
              <w:start w:w="120" w:type="dxa"/>
              <w:bottom w:w="110" w:type="dxa"/>
              <w:end w:w="120" w:type="dxa"/>
            </w:tcMar>
            <w:vAlign w:val="center"/>
          </w:tcPr>
          <w:p>
            <w:pPr>
              <w:spacing w:after="0" w:line="247" w:lineRule="auto"/>
              <w:jc w:val="left"/>
            </w:pPr>
            <w:r>
              <w:rPr>
                <w:rFonts w:ascii="Aptos" w:hAnsi="Aptos"/>
                <w:sz w:val="17"/>
              </w:rPr>
              <w:t>Under assessment, referral requested, referral accepted, awaiting provider, active assessment or review pending.</w:t>
            </w:r>
          </w:p>
        </w:tc>
      </w:tr>
      <w:tr>
        <w:trPr>
          <w:cantSplit/>
        </w:trPr>
        <w:tc>
          <w:tcPr>
            <w:tcW w:type="dxa" w:w="2160"/>
            <w:tcMar>
              <w:top w:w="110" w:type="dxa"/>
              <w:start w:w="120" w:type="dxa"/>
              <w:bottom w:w="110" w:type="dxa"/>
              <w:end w:w="120" w:type="dxa"/>
            </w:tcMar>
            <w:vAlign w:val="center"/>
            <w:shd w:fill="F3F5F7"/>
          </w:tcPr>
          <w:p>
            <w:pPr>
              <w:spacing w:after="0" w:line="247" w:lineRule="auto"/>
              <w:jc w:val="center"/>
            </w:pPr>
            <w:r>
              <w:rPr>
                <w:rFonts w:ascii="Aptos" w:hAnsi="Aptos"/>
                <w:sz w:val="17"/>
              </w:rPr>
              <w:t>Functional effects</w:t>
            </w:r>
          </w:p>
        </w:tc>
        <w:tc>
          <w:tcPr>
            <w:tcW w:type="dxa" w:w="7488"/>
            <w:tcMar>
              <w:top w:w="110" w:type="dxa"/>
              <w:start w:w="120" w:type="dxa"/>
              <w:bottom w:w="110" w:type="dxa"/>
              <w:end w:w="120" w:type="dxa"/>
            </w:tcMar>
            <w:vAlign w:val="center"/>
            <w:shd w:fill="F3F5F7"/>
          </w:tcPr>
          <w:p>
            <w:pPr>
              <w:spacing w:after="0" w:line="247" w:lineRule="auto"/>
              <w:jc w:val="left"/>
            </w:pPr>
            <w:r>
              <w:rPr>
                <w:rFonts w:ascii="Aptos" w:hAnsi="Aptos"/>
                <w:sz w:val="17"/>
              </w:rPr>
              <w:t>Plain language description of relevant barriers, variability, triggers and risk. A condition name is optional and consent based unless clinically essential.</w:t>
            </w:r>
          </w:p>
        </w:tc>
      </w:tr>
      <w:tr>
        <w:trPr>
          <w:cantSplit/>
        </w:trPr>
        <w:tc>
          <w:tcPr>
            <w:tcW w:type="dxa" w:w="2160"/>
            <w:tcMar>
              <w:top w:w="110" w:type="dxa"/>
              <w:start w:w="120" w:type="dxa"/>
              <w:bottom w:w="110" w:type="dxa"/>
              <w:end w:w="120" w:type="dxa"/>
            </w:tcMar>
            <w:vAlign w:val="center"/>
          </w:tcPr>
          <w:p>
            <w:pPr>
              <w:spacing w:after="0" w:line="247" w:lineRule="auto"/>
              <w:jc w:val="center"/>
            </w:pPr>
            <w:r>
              <w:rPr>
                <w:rFonts w:ascii="Aptos" w:hAnsi="Aptos"/>
                <w:sz w:val="17"/>
              </w:rPr>
              <w:t>Adjustments</w:t>
            </w:r>
          </w:p>
        </w:tc>
        <w:tc>
          <w:tcPr>
            <w:tcW w:type="dxa" w:w="7488"/>
            <w:tcMar>
              <w:top w:w="110" w:type="dxa"/>
              <w:start w:w="120" w:type="dxa"/>
              <w:bottom w:w="110" w:type="dxa"/>
              <w:end w:w="120" w:type="dxa"/>
            </w:tcMar>
            <w:vAlign w:val="center"/>
          </w:tcPr>
          <w:p>
            <w:pPr>
              <w:spacing w:after="0" w:line="247" w:lineRule="auto"/>
              <w:jc w:val="left"/>
            </w:pPr>
            <w:r>
              <w:rPr>
                <w:rFonts w:ascii="Aptos" w:hAnsi="Aptos"/>
                <w:sz w:val="17"/>
              </w:rPr>
              <w:t>Specific actions, responsible setting and any urgency. Examples include written only contact, longer appointments, predictable scheduling, quiet waiting, supporter attendance and deadline flexibility.</w:t>
            </w:r>
          </w:p>
        </w:tc>
      </w:tr>
      <w:tr>
        <w:trPr>
          <w:cantSplit/>
        </w:trPr>
        <w:tc>
          <w:tcPr>
            <w:tcW w:type="dxa" w:w="2160"/>
            <w:tcMar>
              <w:top w:w="110" w:type="dxa"/>
              <w:start w:w="120" w:type="dxa"/>
              <w:bottom w:w="110" w:type="dxa"/>
              <w:end w:w="120" w:type="dxa"/>
            </w:tcMar>
            <w:vAlign w:val="center"/>
            <w:shd w:fill="F3F5F7"/>
          </w:tcPr>
          <w:p>
            <w:pPr>
              <w:spacing w:after="0" w:line="247" w:lineRule="auto"/>
              <w:jc w:val="center"/>
            </w:pPr>
            <w:r>
              <w:rPr>
                <w:rFonts w:ascii="Aptos" w:hAnsi="Aptos"/>
                <w:sz w:val="17"/>
              </w:rPr>
              <w:t>Interim care</w:t>
            </w:r>
          </w:p>
        </w:tc>
        <w:tc>
          <w:tcPr>
            <w:tcW w:type="dxa" w:w="7488"/>
            <w:tcMar>
              <w:top w:w="110" w:type="dxa"/>
              <w:start w:w="120" w:type="dxa"/>
              <w:bottom w:w="110" w:type="dxa"/>
              <w:end w:w="120" w:type="dxa"/>
            </w:tcMar>
            <w:vAlign w:val="center"/>
            <w:shd w:fill="F3F5F7"/>
          </w:tcPr>
          <w:p>
            <w:pPr>
              <w:spacing w:after="0" w:line="247" w:lineRule="auto"/>
              <w:jc w:val="left"/>
            </w:pPr>
            <w:r>
              <w:rPr>
                <w:rFonts w:ascii="Aptos" w:hAnsi="Aptos"/>
                <w:sz w:val="17"/>
              </w:rPr>
              <w:t>Actions that can safely start now, management of coexisting needs, named clinical owner and escalation route.</w:t>
            </w:r>
          </w:p>
        </w:tc>
      </w:tr>
      <w:tr>
        <w:trPr>
          <w:cantSplit/>
        </w:trPr>
        <w:tc>
          <w:tcPr>
            <w:tcW w:type="dxa" w:w="2160"/>
            <w:tcMar>
              <w:top w:w="110" w:type="dxa"/>
              <w:start w:w="120" w:type="dxa"/>
              <w:bottom w:w="110" w:type="dxa"/>
              <w:end w:w="120" w:type="dxa"/>
            </w:tcMar>
            <w:vAlign w:val="center"/>
          </w:tcPr>
          <w:p>
            <w:pPr>
              <w:spacing w:after="0" w:line="247" w:lineRule="auto"/>
              <w:jc w:val="center"/>
            </w:pPr>
            <w:r>
              <w:rPr>
                <w:rFonts w:ascii="Aptos" w:hAnsi="Aptos"/>
                <w:sz w:val="17"/>
              </w:rPr>
              <w:t>Pathway key</w:t>
            </w:r>
          </w:p>
        </w:tc>
        <w:tc>
          <w:tcPr>
            <w:tcW w:type="dxa" w:w="7488"/>
            <w:tcMar>
              <w:top w:w="110" w:type="dxa"/>
              <w:start w:w="120" w:type="dxa"/>
              <w:bottom w:w="110" w:type="dxa"/>
              <w:end w:w="120" w:type="dxa"/>
            </w:tcMar>
            <w:vAlign w:val="center"/>
          </w:tcPr>
          <w:p>
            <w:pPr>
              <w:spacing w:after="0" w:line="247" w:lineRule="auto"/>
              <w:jc w:val="left"/>
            </w:pPr>
            <w:r>
              <w:rPr>
                <w:rFonts w:ascii="Aptos" w:hAnsi="Aptos"/>
                <w:sz w:val="17"/>
              </w:rPr>
              <w:t>Unique persistent referral identifier, original referral date, current provider and transfer history.</w:t>
            </w:r>
          </w:p>
        </w:tc>
      </w:tr>
      <w:tr>
        <w:trPr>
          <w:cantSplit/>
        </w:trPr>
        <w:tc>
          <w:tcPr>
            <w:tcW w:type="dxa" w:w="2160"/>
            <w:tcMar>
              <w:top w:w="110" w:type="dxa"/>
              <w:start w:w="120" w:type="dxa"/>
              <w:bottom w:w="110" w:type="dxa"/>
              <w:end w:w="120" w:type="dxa"/>
            </w:tcMar>
            <w:vAlign w:val="center"/>
            <w:shd w:fill="F3F5F7"/>
          </w:tcPr>
          <w:p>
            <w:pPr>
              <w:spacing w:after="0" w:line="247" w:lineRule="auto"/>
              <w:jc w:val="center"/>
            </w:pPr>
            <w:r>
              <w:rPr>
                <w:rFonts w:ascii="Aptos" w:hAnsi="Aptos"/>
                <w:sz w:val="17"/>
              </w:rPr>
              <w:t>Validity</w:t>
            </w:r>
          </w:p>
        </w:tc>
        <w:tc>
          <w:tcPr>
            <w:tcW w:type="dxa" w:w="7488"/>
            <w:tcMar>
              <w:top w:w="110" w:type="dxa"/>
              <w:start w:w="120" w:type="dxa"/>
              <w:bottom w:w="110" w:type="dxa"/>
              <w:end w:w="120" w:type="dxa"/>
            </w:tcMar>
            <w:vAlign w:val="center"/>
            <w:shd w:fill="F3F5F7"/>
          </w:tcPr>
          <w:p>
            <w:pPr>
              <w:spacing w:after="0" w:line="247" w:lineRule="auto"/>
              <w:jc w:val="left"/>
            </w:pPr>
            <w:r>
              <w:rPr>
                <w:rFonts w:ascii="Aptos" w:hAnsi="Aptos"/>
                <w:sz w:val="17"/>
              </w:rPr>
              <w:t>Review date and automatic continuation rule while the relevant NHS pathway remains active.</w:t>
            </w:r>
          </w:p>
        </w:tc>
      </w:tr>
      <w:tr>
        <w:trPr>
          <w:cantSplit/>
        </w:trPr>
        <w:tc>
          <w:tcPr>
            <w:tcW w:type="dxa" w:w="2160"/>
            <w:tcMar>
              <w:top w:w="110" w:type="dxa"/>
              <w:start w:w="120" w:type="dxa"/>
              <w:bottom w:w="110" w:type="dxa"/>
              <w:end w:w="120" w:type="dxa"/>
            </w:tcMar>
            <w:vAlign w:val="center"/>
          </w:tcPr>
          <w:p>
            <w:pPr>
              <w:spacing w:after="0" w:line="247" w:lineRule="auto"/>
              <w:jc w:val="center"/>
            </w:pPr>
            <w:r>
              <w:rPr>
                <w:rFonts w:ascii="Aptos" w:hAnsi="Aptos"/>
                <w:sz w:val="17"/>
              </w:rPr>
              <w:t>Verification</w:t>
            </w:r>
          </w:p>
        </w:tc>
        <w:tc>
          <w:tcPr>
            <w:tcW w:type="dxa" w:w="7488"/>
            <w:tcMar>
              <w:top w:w="110" w:type="dxa"/>
              <w:start w:w="120" w:type="dxa"/>
              <w:bottom w:w="110" w:type="dxa"/>
              <w:end w:w="120" w:type="dxa"/>
            </w:tcMar>
            <w:vAlign w:val="center"/>
          </w:tcPr>
          <w:p>
            <w:pPr>
              <w:spacing w:after="0" w:line="247" w:lineRule="auto"/>
              <w:jc w:val="left"/>
            </w:pPr>
            <w:r>
              <w:rPr>
                <w:rFonts w:ascii="Aptos" w:hAnsi="Aptos"/>
                <w:sz w:val="17"/>
              </w:rPr>
              <w:t>Privacy preserving verification code showing validity and issuer without exposing clinical detail.</w:t>
            </w:r>
          </w:p>
        </w:tc>
      </w:tr>
      <w:tr>
        <w:trPr>
          <w:cantSplit/>
        </w:trPr>
        <w:tc>
          <w:tcPr>
            <w:tcW w:type="dxa" w:w="2160"/>
            <w:tcMar>
              <w:top w:w="110" w:type="dxa"/>
              <w:start w:w="120" w:type="dxa"/>
              <w:bottom w:w="110" w:type="dxa"/>
              <w:end w:w="120" w:type="dxa"/>
            </w:tcMar>
            <w:vAlign w:val="center"/>
            <w:shd w:fill="F3F5F7"/>
          </w:tcPr>
          <w:p>
            <w:pPr>
              <w:spacing w:after="0" w:line="247" w:lineRule="auto"/>
              <w:jc w:val="center"/>
            </w:pPr>
            <w:r>
              <w:rPr>
                <w:rFonts w:ascii="Aptos" w:hAnsi="Aptos"/>
                <w:sz w:val="17"/>
              </w:rPr>
              <w:t>Correction and review</w:t>
            </w:r>
          </w:p>
        </w:tc>
        <w:tc>
          <w:tcPr>
            <w:tcW w:type="dxa" w:w="7488"/>
            <w:tcMar>
              <w:top w:w="110" w:type="dxa"/>
              <w:start w:w="120" w:type="dxa"/>
              <w:bottom w:w="110" w:type="dxa"/>
              <w:end w:w="120" w:type="dxa"/>
            </w:tcMar>
            <w:vAlign w:val="center"/>
            <w:shd w:fill="F3F5F7"/>
          </w:tcPr>
          <w:p>
            <w:pPr>
              <w:spacing w:after="0" w:line="247" w:lineRule="auto"/>
              <w:jc w:val="left"/>
            </w:pPr>
            <w:r>
              <w:rPr>
                <w:rFonts w:ascii="Aptos" w:hAnsi="Aptos"/>
                <w:sz w:val="17"/>
              </w:rPr>
              <w:t>Written and online routes to correct facts, challenge an adjustment decision or report a lost referral.</w:t>
            </w:r>
          </w:p>
        </w:tc>
      </w:tr>
    </w:tbl>
    <w:p>
      <w:pPr>
        <w:spacing w:after="20"/>
      </w:pPr>
    </w:p>
    <w:p>
      <w:pPr>
        <w:pStyle w:val="Heading2"/>
        <w:keepNext/>
      </w:pPr>
      <w:r>
        <w:rPr>
          <w:rFonts w:ascii="Aptos" w:hAnsi="Aptos"/>
          <w:b/>
          <w:color w:val="000000"/>
        </w:rPr>
        <w:t>4.3 Formats</w:t>
      </w:r>
    </w:p>
    <w:p>
      <w:pPr>
        <w:spacing w:after="140" w:line="269" w:lineRule="auto"/>
      </w:pPr>
      <w:r>
        <w:rPr>
          <w:rFonts w:ascii="Aptos" w:hAnsi="Aptos"/>
        </w:rPr>
        <w:t>The person chooses one or more formats: printable PDF, paper copy, NHS App view, Easy Read, large print, translated version or supported communication format. A person who cannot use the NHS App must not be disadvantaged. The certificate should be readable without a login when the person presents their own copy, while verification should disclose only validity and issuing organisation.</w:t>
      </w:r>
    </w:p>
    <w:p>
      <w:pPr>
        <w:pStyle w:val="Heading2"/>
        <w:keepNext/>
      </w:pPr>
      <w:r>
        <w:rPr>
          <w:rFonts w:ascii="Aptos" w:hAnsi="Aptos"/>
          <w:b/>
          <w:color w:val="000000"/>
        </w:rPr>
        <w:t>4.4 Duration</w:t>
      </w:r>
    </w:p>
    <w:p>
      <w:pPr>
        <w:spacing w:after="140" w:line="269" w:lineRule="auto"/>
      </w:pPr>
      <w:r>
        <w:rPr>
          <w:rFonts w:ascii="Aptos" w:hAnsi="Aptos"/>
        </w:rPr>
        <w:t>The default review point is 12 months. The certificate remains in force beyond that date if the diagnostic pathway is still active and delay is not attributable to an informed withdrawal by the person. A review updates needs; it must not make support lapse merely because the NHS has not completed assessment. An urgent 90 day version may be issued when immediate adjustments are required before a fuller initial assessment.</w:t>
      </w:r>
    </w:p>
    <w:p>
      <w:pPr>
        <w:pStyle w:val="Heading1"/>
        <w:keepNext/>
      </w:pPr>
      <w:r>
        <w:rPr>
          <w:rFonts w:ascii="Aptos" w:hAnsi="Aptos"/>
          <w:b/>
          <w:color w:val="000000"/>
        </w:rPr>
        <w:t>5 Eligibility and issue process</w:t>
      </w:r>
    </w:p>
    <w:p>
      <w:pPr>
        <w:pStyle w:val="Heading2"/>
        <w:keepNext/>
      </w:pPr>
      <w:r>
        <w:rPr>
          <w:rFonts w:ascii="Aptos" w:hAnsi="Aptos"/>
          <w:b/>
          <w:color w:val="000000"/>
        </w:rPr>
        <w:t>5.1 Condition neutral eligibility</w:t>
      </w:r>
    </w:p>
    <w:p>
      <w:pPr>
        <w:spacing w:after="140" w:line="269" w:lineRule="auto"/>
      </w:pPr>
      <w:r>
        <w:rPr>
          <w:rFonts w:ascii="Aptos" w:hAnsi="Aptos"/>
        </w:rPr>
        <w:t>Eligibility is based on functional impact and an active need for further assessment, not on a shortlist of diagnoses. Autism and ADHD should be the first pilot pathways because of long waits and cross setting support needs, but the framework should also cover other physical, neurological, sensory, cognitive, mental health and fluctuating conditions.</w:t>
      </w:r>
    </w:p>
    <w:p>
      <w:pPr>
        <w:pStyle w:val="Heading2"/>
        <w:keepNext/>
      </w:pPr>
      <w:r>
        <w:rPr>
          <w:rFonts w:ascii="Aptos" w:hAnsi="Aptos"/>
          <w:b/>
          <w:color w:val="000000"/>
        </w:rPr>
        <w:t>5.2 Threshold</w:t>
      </w:r>
    </w:p>
    <w:p>
      <w:pPr>
        <w:spacing w:after="140" w:line="269" w:lineRule="auto"/>
      </w:pPr>
      <w:r>
        <w:rPr>
          <w:rFonts w:ascii="Aptos" w:hAnsi="Aptos"/>
        </w:rPr>
        <w:t>A certificate may be issued where an authorised clinician has reasonable grounds to believe that all three elements are present:</w:t>
      </w:r>
    </w:p>
    <w:p>
      <w:pPr>
        <w:spacing w:after="100" w:line="259" w:lineRule="auto"/>
        <w:ind w:left="403" w:hanging="403"/>
      </w:pPr>
      <w:r>
        <w:rPr>
          <w:rFonts w:ascii="Aptos" w:hAnsi="Aptos"/>
        </w:rPr>
        <w:t>1.  The person has an impairment, symptoms or functional difference that may require further diagnostic assessment or specialist clarification.</w:t>
      </w:r>
    </w:p>
    <w:p>
      <w:pPr>
        <w:spacing w:after="100" w:line="259" w:lineRule="auto"/>
        <w:ind w:left="403" w:hanging="403"/>
      </w:pPr>
      <w:r>
        <w:rPr>
          <w:rFonts w:ascii="Aptos" w:hAnsi="Aptos"/>
        </w:rPr>
        <w:t>2.  The effect creates a material barrier, safety concern or support need in healthcare or another important area of daily life.</w:t>
      </w:r>
    </w:p>
    <w:p>
      <w:pPr>
        <w:spacing w:after="100" w:line="259" w:lineRule="auto"/>
        <w:ind w:left="403" w:hanging="403"/>
      </w:pPr>
      <w:r>
        <w:rPr>
          <w:rFonts w:ascii="Aptos" w:hAnsi="Aptos"/>
        </w:rPr>
        <w:t>3.  One or more proportionate adjustments or interim actions can be identified now.</w:t>
      </w:r>
    </w:p>
    <w:p>
      <w:pPr>
        <w:spacing w:after="140" w:line="269" w:lineRule="auto"/>
      </w:pPr>
      <w:r>
        <w:rPr>
          <w:rFonts w:ascii="Aptos" w:hAnsi="Aptos"/>
        </w:rPr>
        <w:t>The issuer does not need to predict the final diagnosis or decide the ultimate Equality Act question. The record must distinguish observed facts, the person's account, clinical opinion and unresolved uncertainty.</w:t>
      </w:r>
    </w:p>
    <w:p>
      <w:pPr>
        <w:pStyle w:val="Heading2"/>
        <w:keepNext/>
      </w:pPr>
      <w:r>
        <w:rPr>
          <w:rFonts w:ascii="Aptos" w:hAnsi="Aptos"/>
          <w:b/>
          <w:color w:val="000000"/>
        </w:rPr>
        <w:t>5.3 Who may issue</w:t>
      </w:r>
    </w:p>
    <w:p>
      <w:pPr>
        <w:spacing w:after="140" w:line="269" w:lineRule="auto"/>
      </w:pPr>
      <w:r>
        <w:rPr>
          <w:rFonts w:ascii="Aptos" w:hAnsi="Aptos"/>
        </w:rPr>
        <w:t>During the pilot, issuers should be GPs, suitably trained advanced practitioners and clinicians working in recognised referral hubs, community paediatrics, mental health or neurodevelopmental services. Expansion to other regulated professionals should follow competency assessment. Issuers require training in functional assessment, reasonable adjustments, safeguarding, data minimisation and differential risk.</w:t>
      </w:r>
    </w:p>
    <w:p>
      <w:pPr>
        <w:pStyle w:val="Heading2"/>
        <w:keepNext/>
      </w:pPr>
      <w:r>
        <w:rPr>
          <w:rFonts w:ascii="Aptos" w:hAnsi="Aptos"/>
          <w:b/>
          <w:color w:val="000000"/>
        </w:rPr>
        <w:t>5.4 Route to issue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1584"/>
            <w:shd w:fill="17365D"/>
            <w:tcMar>
              <w:top w:w="110" w:type="dxa"/>
              <w:start w:w="120" w:type="dxa"/>
              <w:bottom w:w="110" w:type="dxa"/>
              <w:end w:w="120" w:type="dxa"/>
            </w:tcMar>
            <w:vAlign w:val="center"/>
          </w:tcPr>
          <w:p>
            <w:pPr>
              <w:spacing w:after="0"/>
              <w:jc w:val="center"/>
            </w:pPr>
            <w:r>
              <w:rPr>
                <w:rFonts w:ascii="Aptos" w:hAnsi="Aptos"/>
                <w:b/>
                <w:color w:val="FFFFFF"/>
                <w:sz w:val="17"/>
              </w:rPr>
              <w:t>Stage</w:t>
            </w:r>
          </w:p>
        </w:tc>
        <w:tc>
          <w:tcPr>
            <w:tcW w:type="dxa" w:w="6408"/>
            <w:shd w:fill="17365D"/>
            <w:tcMar>
              <w:top w:w="110" w:type="dxa"/>
              <w:start w:w="120" w:type="dxa"/>
              <w:bottom w:w="110" w:type="dxa"/>
              <w:end w:w="120" w:type="dxa"/>
            </w:tcMar>
            <w:vAlign w:val="center"/>
          </w:tcPr>
          <w:p>
            <w:pPr>
              <w:spacing w:after="0"/>
              <w:jc w:val="center"/>
            </w:pPr>
            <w:r>
              <w:rPr>
                <w:rFonts w:ascii="Aptos" w:hAnsi="Aptos"/>
                <w:b/>
                <w:color w:val="FFFFFF"/>
                <w:sz w:val="17"/>
              </w:rPr>
              <w:t>Action</w:t>
            </w:r>
          </w:p>
        </w:tc>
        <w:tc>
          <w:tcPr>
            <w:tcW w:type="dxa" w:w="1655"/>
            <w:shd w:fill="17365D"/>
            <w:tcMar>
              <w:top w:w="110" w:type="dxa"/>
              <w:start w:w="120" w:type="dxa"/>
              <w:bottom w:w="110" w:type="dxa"/>
              <w:end w:w="120" w:type="dxa"/>
            </w:tcMar>
            <w:vAlign w:val="center"/>
          </w:tcPr>
          <w:p>
            <w:pPr>
              <w:spacing w:after="0"/>
              <w:jc w:val="center"/>
            </w:pPr>
            <w:r>
              <w:rPr>
                <w:rFonts w:ascii="Aptos" w:hAnsi="Aptos"/>
                <w:b/>
                <w:color w:val="FFFFFF"/>
                <w:sz w:val="17"/>
              </w:rPr>
              <w:t>Time standard</w:t>
            </w:r>
          </w:p>
        </w:tc>
      </w:tr>
      <w:tr>
        <w:trPr>
          <w:cantSplit/>
        </w:trPr>
        <w:tc>
          <w:tcPr>
            <w:tcW w:type="dxa" w:w="1584"/>
            <w:tcMar>
              <w:top w:w="110" w:type="dxa"/>
              <w:start w:w="120" w:type="dxa"/>
              <w:bottom w:w="110" w:type="dxa"/>
              <w:end w:w="120" w:type="dxa"/>
            </w:tcMar>
            <w:vAlign w:val="center"/>
          </w:tcPr>
          <w:p>
            <w:pPr>
              <w:spacing w:after="0" w:line="247" w:lineRule="auto"/>
              <w:jc w:val="center"/>
            </w:pPr>
            <w:r>
              <w:rPr>
                <w:rFonts w:ascii="Aptos" w:hAnsi="Aptos"/>
                <w:sz w:val="17"/>
              </w:rPr>
              <w:t>Request</w:t>
            </w:r>
          </w:p>
        </w:tc>
        <w:tc>
          <w:tcPr>
            <w:tcW w:type="dxa" w:w="6408"/>
            <w:tcMar>
              <w:top w:w="110" w:type="dxa"/>
              <w:start w:w="120" w:type="dxa"/>
              <w:bottom w:w="110" w:type="dxa"/>
              <w:end w:w="120" w:type="dxa"/>
            </w:tcMar>
            <w:vAlign w:val="center"/>
          </w:tcPr>
          <w:p>
            <w:pPr>
              <w:spacing w:after="0" w:line="247" w:lineRule="auto"/>
              <w:jc w:val="left"/>
            </w:pPr>
            <w:r>
              <w:rPr>
                <w:rFonts w:ascii="Aptos" w:hAnsi="Aptos"/>
                <w:sz w:val="17"/>
              </w:rPr>
              <w:t>Person, parent, carer with authority or clinician requests an interim assessment through accessible written, online, in person or supported routes.</w:t>
            </w:r>
          </w:p>
        </w:tc>
        <w:tc>
          <w:tcPr>
            <w:tcW w:type="dxa" w:w="1655"/>
            <w:tcMar>
              <w:top w:w="110" w:type="dxa"/>
              <w:start w:w="120" w:type="dxa"/>
              <w:bottom w:w="110" w:type="dxa"/>
              <w:end w:w="120" w:type="dxa"/>
            </w:tcMar>
            <w:vAlign w:val="center"/>
          </w:tcPr>
          <w:p>
            <w:pPr>
              <w:spacing w:after="0" w:line="247" w:lineRule="auto"/>
              <w:jc w:val="left"/>
            </w:pPr>
            <w:r>
              <w:rPr>
                <w:rFonts w:ascii="Aptos" w:hAnsi="Aptos"/>
                <w:sz w:val="17"/>
              </w:rPr>
              <w:t>Acknowledgement within 2 working days</w:t>
            </w:r>
          </w:p>
        </w:tc>
      </w:tr>
      <w:tr>
        <w:trPr>
          <w:cantSplit/>
        </w:trPr>
        <w:tc>
          <w:tcPr>
            <w:tcW w:type="dxa" w:w="1584"/>
            <w:tcMar>
              <w:top w:w="110" w:type="dxa"/>
              <w:start w:w="120" w:type="dxa"/>
              <w:bottom w:w="110" w:type="dxa"/>
              <w:end w:w="120" w:type="dxa"/>
            </w:tcMar>
            <w:vAlign w:val="center"/>
            <w:shd w:fill="F3F5F7"/>
          </w:tcPr>
          <w:p>
            <w:pPr>
              <w:spacing w:after="0" w:line="247" w:lineRule="auto"/>
              <w:jc w:val="center"/>
            </w:pPr>
            <w:r>
              <w:rPr>
                <w:rFonts w:ascii="Aptos" w:hAnsi="Aptos"/>
                <w:sz w:val="17"/>
              </w:rPr>
              <w:t>Initial review</w:t>
            </w:r>
          </w:p>
        </w:tc>
        <w:tc>
          <w:tcPr>
            <w:tcW w:type="dxa" w:w="6408"/>
            <w:tcMar>
              <w:top w:w="110" w:type="dxa"/>
              <w:start w:w="120" w:type="dxa"/>
              <w:bottom w:w="110" w:type="dxa"/>
              <w:end w:w="120" w:type="dxa"/>
            </w:tcMar>
            <w:vAlign w:val="center"/>
            <w:shd w:fill="F3F5F7"/>
          </w:tcPr>
          <w:p>
            <w:pPr>
              <w:spacing w:after="0" w:line="247" w:lineRule="auto"/>
              <w:jc w:val="left"/>
            </w:pPr>
            <w:r>
              <w:rPr>
                <w:rFonts w:ascii="Aptos" w:hAnsi="Aptos"/>
                <w:sz w:val="17"/>
              </w:rPr>
              <w:t>Clinician reviews history, current effects, urgent risks, existing evidence and communication needs.</w:t>
            </w:r>
          </w:p>
        </w:tc>
        <w:tc>
          <w:tcPr>
            <w:tcW w:type="dxa" w:w="1655"/>
            <w:tcMar>
              <w:top w:w="110" w:type="dxa"/>
              <w:start w:w="120" w:type="dxa"/>
              <w:bottom w:w="110" w:type="dxa"/>
              <w:end w:w="120" w:type="dxa"/>
            </w:tcMar>
            <w:vAlign w:val="center"/>
            <w:shd w:fill="F3F5F7"/>
          </w:tcPr>
          <w:p>
            <w:pPr>
              <w:spacing w:after="0" w:line="247" w:lineRule="auto"/>
              <w:jc w:val="left"/>
            </w:pPr>
            <w:r>
              <w:rPr>
                <w:rFonts w:ascii="Aptos" w:hAnsi="Aptos"/>
                <w:sz w:val="17"/>
              </w:rPr>
              <w:t>Normally within 10 working days</w:t>
            </w:r>
          </w:p>
        </w:tc>
      </w:tr>
      <w:tr>
        <w:trPr>
          <w:cantSplit/>
        </w:trPr>
        <w:tc>
          <w:tcPr>
            <w:tcW w:type="dxa" w:w="1584"/>
            <w:tcMar>
              <w:top w:w="110" w:type="dxa"/>
              <w:start w:w="120" w:type="dxa"/>
              <w:bottom w:w="110" w:type="dxa"/>
              <w:end w:w="120" w:type="dxa"/>
            </w:tcMar>
            <w:vAlign w:val="center"/>
          </w:tcPr>
          <w:p>
            <w:pPr>
              <w:spacing w:after="0" w:line="247" w:lineRule="auto"/>
              <w:jc w:val="center"/>
            </w:pPr>
            <w:r>
              <w:rPr>
                <w:rFonts w:ascii="Aptos" w:hAnsi="Aptos"/>
                <w:sz w:val="17"/>
              </w:rPr>
              <w:t>Decision</w:t>
            </w:r>
          </w:p>
        </w:tc>
        <w:tc>
          <w:tcPr>
            <w:tcW w:type="dxa" w:w="6408"/>
            <w:tcMar>
              <w:top w:w="110" w:type="dxa"/>
              <w:start w:w="120" w:type="dxa"/>
              <w:bottom w:w="110" w:type="dxa"/>
              <w:end w:w="120" w:type="dxa"/>
            </w:tcMar>
            <w:vAlign w:val="center"/>
          </w:tcPr>
          <w:p>
            <w:pPr>
              <w:spacing w:after="0" w:line="247" w:lineRule="auto"/>
              <w:jc w:val="left"/>
            </w:pPr>
            <w:r>
              <w:rPr>
                <w:rFonts w:ascii="Aptos" w:hAnsi="Aptos"/>
                <w:sz w:val="17"/>
              </w:rPr>
              <w:t>Issue, request limited further information, or refuse with written reasons and review route.</w:t>
            </w:r>
          </w:p>
        </w:tc>
        <w:tc>
          <w:tcPr>
            <w:tcW w:type="dxa" w:w="1655"/>
            <w:tcMar>
              <w:top w:w="110" w:type="dxa"/>
              <w:start w:w="120" w:type="dxa"/>
              <w:bottom w:w="110" w:type="dxa"/>
              <w:end w:w="120" w:type="dxa"/>
            </w:tcMar>
            <w:vAlign w:val="center"/>
          </w:tcPr>
          <w:p>
            <w:pPr>
              <w:spacing w:after="0" w:line="247" w:lineRule="auto"/>
              <w:jc w:val="left"/>
            </w:pPr>
            <w:r>
              <w:rPr>
                <w:rFonts w:ascii="Aptos" w:hAnsi="Aptos"/>
                <w:sz w:val="17"/>
              </w:rPr>
              <w:t>Same day as completed review</w:t>
            </w:r>
          </w:p>
        </w:tc>
      </w:tr>
      <w:tr>
        <w:trPr>
          <w:cantSplit/>
        </w:trPr>
        <w:tc>
          <w:tcPr>
            <w:tcW w:type="dxa" w:w="1584"/>
            <w:tcMar>
              <w:top w:w="110" w:type="dxa"/>
              <w:start w:w="120" w:type="dxa"/>
              <w:bottom w:w="110" w:type="dxa"/>
              <w:end w:w="120" w:type="dxa"/>
            </w:tcMar>
            <w:vAlign w:val="center"/>
            <w:shd w:fill="F3F5F7"/>
          </w:tcPr>
          <w:p>
            <w:pPr>
              <w:spacing w:after="0" w:line="247" w:lineRule="auto"/>
              <w:jc w:val="center"/>
            </w:pPr>
            <w:r>
              <w:rPr>
                <w:rFonts w:ascii="Aptos" w:hAnsi="Aptos"/>
                <w:sz w:val="17"/>
              </w:rPr>
              <w:t>Record</w:t>
            </w:r>
          </w:p>
        </w:tc>
        <w:tc>
          <w:tcPr>
            <w:tcW w:type="dxa" w:w="6408"/>
            <w:tcMar>
              <w:top w:w="110" w:type="dxa"/>
              <w:start w:w="120" w:type="dxa"/>
              <w:bottom w:w="110" w:type="dxa"/>
              <w:end w:w="120" w:type="dxa"/>
            </w:tcMar>
            <w:vAlign w:val="center"/>
            <w:shd w:fill="F3F5F7"/>
          </w:tcPr>
          <w:p>
            <w:pPr>
              <w:spacing w:after="0" w:line="247" w:lineRule="auto"/>
              <w:jc w:val="left"/>
            </w:pPr>
            <w:r>
              <w:rPr>
                <w:rFonts w:ascii="Aptos" w:hAnsi="Aptos"/>
                <w:sz w:val="17"/>
              </w:rPr>
              <w:t>Give the person a copy, create or update the digital flag and attach the persistent pathway key.</w:t>
            </w:r>
          </w:p>
        </w:tc>
        <w:tc>
          <w:tcPr>
            <w:tcW w:type="dxa" w:w="1655"/>
            <w:tcMar>
              <w:top w:w="110" w:type="dxa"/>
              <w:start w:w="120" w:type="dxa"/>
              <w:bottom w:w="110" w:type="dxa"/>
              <w:end w:w="120" w:type="dxa"/>
            </w:tcMar>
            <w:vAlign w:val="center"/>
            <w:shd w:fill="F3F5F7"/>
          </w:tcPr>
          <w:p>
            <w:pPr>
              <w:spacing w:after="0" w:line="247" w:lineRule="auto"/>
              <w:jc w:val="left"/>
            </w:pPr>
            <w:r>
              <w:rPr>
                <w:rFonts w:ascii="Aptos" w:hAnsi="Aptos"/>
                <w:sz w:val="17"/>
              </w:rPr>
              <w:t>Within 1 working day</w:t>
            </w:r>
          </w:p>
        </w:tc>
      </w:tr>
      <w:tr>
        <w:trPr>
          <w:cantSplit/>
        </w:trPr>
        <w:tc>
          <w:tcPr>
            <w:tcW w:type="dxa" w:w="1584"/>
            <w:tcMar>
              <w:top w:w="110" w:type="dxa"/>
              <w:start w:w="120" w:type="dxa"/>
              <w:bottom w:w="110" w:type="dxa"/>
              <w:end w:w="120" w:type="dxa"/>
            </w:tcMar>
            <w:vAlign w:val="center"/>
          </w:tcPr>
          <w:p>
            <w:pPr>
              <w:spacing w:after="0" w:line="247" w:lineRule="auto"/>
              <w:jc w:val="center"/>
            </w:pPr>
            <w:r>
              <w:rPr>
                <w:rFonts w:ascii="Aptos" w:hAnsi="Aptos"/>
                <w:sz w:val="17"/>
              </w:rPr>
              <w:t>Activation</w:t>
            </w:r>
          </w:p>
        </w:tc>
        <w:tc>
          <w:tcPr>
            <w:tcW w:type="dxa" w:w="6408"/>
            <w:tcMar>
              <w:top w:w="110" w:type="dxa"/>
              <w:start w:w="120" w:type="dxa"/>
              <w:bottom w:w="110" w:type="dxa"/>
              <w:end w:w="120" w:type="dxa"/>
            </w:tcMar>
            <w:vAlign w:val="center"/>
          </w:tcPr>
          <w:p>
            <w:pPr>
              <w:spacing w:after="0" w:line="247" w:lineRule="auto"/>
              <w:jc w:val="left"/>
            </w:pPr>
            <w:r>
              <w:rPr>
                <w:rFonts w:ascii="Aptos" w:hAnsi="Aptos"/>
                <w:sz w:val="17"/>
              </w:rPr>
              <w:t>Provider confirms how each adjustment will be delivered and identifies any alternative needed for safety.</w:t>
            </w:r>
          </w:p>
        </w:tc>
        <w:tc>
          <w:tcPr>
            <w:tcW w:type="dxa" w:w="1655"/>
            <w:tcMar>
              <w:top w:w="110" w:type="dxa"/>
              <w:start w:w="120" w:type="dxa"/>
              <w:bottom w:w="110" w:type="dxa"/>
              <w:end w:w="120" w:type="dxa"/>
            </w:tcMar>
            <w:vAlign w:val="center"/>
          </w:tcPr>
          <w:p>
            <w:pPr>
              <w:spacing w:after="0" w:line="247" w:lineRule="auto"/>
              <w:jc w:val="left"/>
            </w:pPr>
            <w:r>
              <w:rPr>
                <w:rFonts w:ascii="Aptos" w:hAnsi="Aptos"/>
                <w:sz w:val="17"/>
              </w:rPr>
              <w:t>Before next contact or appointment</w:t>
            </w:r>
          </w:p>
        </w:tc>
      </w:tr>
      <w:tr>
        <w:trPr>
          <w:cantSplit/>
        </w:trPr>
        <w:tc>
          <w:tcPr>
            <w:tcW w:type="dxa" w:w="1584"/>
            <w:tcMar>
              <w:top w:w="110" w:type="dxa"/>
              <w:start w:w="120" w:type="dxa"/>
              <w:bottom w:w="110" w:type="dxa"/>
              <w:end w:w="120" w:type="dxa"/>
            </w:tcMar>
            <w:vAlign w:val="center"/>
            <w:shd w:fill="F3F5F7"/>
          </w:tcPr>
          <w:p>
            <w:pPr>
              <w:spacing w:after="0" w:line="247" w:lineRule="auto"/>
              <w:jc w:val="center"/>
            </w:pPr>
            <w:r>
              <w:rPr>
                <w:rFonts w:ascii="Aptos" w:hAnsi="Aptos"/>
                <w:sz w:val="17"/>
              </w:rPr>
              <w:t>Review</w:t>
            </w:r>
          </w:p>
        </w:tc>
        <w:tc>
          <w:tcPr>
            <w:tcW w:type="dxa" w:w="6408"/>
            <w:tcMar>
              <w:top w:w="110" w:type="dxa"/>
              <w:start w:w="120" w:type="dxa"/>
              <w:bottom w:w="110" w:type="dxa"/>
              <w:end w:w="120" w:type="dxa"/>
            </w:tcMar>
            <w:vAlign w:val="center"/>
            <w:shd w:fill="F3F5F7"/>
          </w:tcPr>
          <w:p>
            <w:pPr>
              <w:spacing w:after="0" w:line="247" w:lineRule="auto"/>
              <w:jc w:val="left"/>
            </w:pPr>
            <w:r>
              <w:rPr>
                <w:rFonts w:ascii="Aptos" w:hAnsi="Aptos"/>
                <w:sz w:val="17"/>
              </w:rPr>
              <w:t>Update when needs materially change, at pathway transfer, or at the annual review point.</w:t>
            </w:r>
          </w:p>
        </w:tc>
        <w:tc>
          <w:tcPr>
            <w:tcW w:type="dxa" w:w="1655"/>
            <w:tcMar>
              <w:top w:w="110" w:type="dxa"/>
              <w:start w:w="120" w:type="dxa"/>
              <w:bottom w:w="110" w:type="dxa"/>
              <w:end w:w="120" w:type="dxa"/>
            </w:tcMar>
            <w:vAlign w:val="center"/>
            <w:shd w:fill="F3F5F7"/>
          </w:tcPr>
          <w:p>
            <w:pPr>
              <w:spacing w:after="0" w:line="247" w:lineRule="auto"/>
              <w:jc w:val="left"/>
            </w:pPr>
            <w:r>
              <w:rPr>
                <w:rFonts w:ascii="Aptos" w:hAnsi="Aptos"/>
                <w:sz w:val="17"/>
              </w:rPr>
              <w:t>No lapse during NHS delay</w:t>
            </w:r>
          </w:p>
        </w:tc>
      </w:tr>
    </w:tbl>
    <w:p>
      <w:pPr>
        <w:spacing w:after="20"/>
      </w:pPr>
    </w:p>
    <w:p>
      <w:pPr>
        <w:pStyle w:val="Heading2"/>
        <w:keepNext/>
      </w:pPr>
      <w:r>
        <w:rPr>
          <w:rFonts w:ascii="Aptos" w:hAnsi="Aptos"/>
          <w:b/>
          <w:color w:val="000000"/>
        </w:rPr>
        <w:t>5.5 Refusal and correction</w:t>
      </w:r>
    </w:p>
    <w:p>
      <w:pPr>
        <w:spacing w:after="140" w:line="269" w:lineRule="auto"/>
      </w:pPr>
      <w:r>
        <w:rPr>
          <w:rFonts w:ascii="Aptos" w:hAnsi="Aptos"/>
        </w:rPr>
        <w:t>Refusal must never be communicated only by telephone. The person receives reasons, the evidence considered, immediate support alternatives and a rapid review route independent of the original decision maker. Factual corrections should be completed within five working days where straightforward. A clinical disagreement may remain on the record alongside the person's statement, consistent with records law and clinical safety.</w:t>
      </w:r>
    </w:p>
    <w:p>
      <w:pPr>
        <w:pStyle w:val="Heading1"/>
        <w:keepNext/>
      </w:pPr>
      <w:r>
        <w:rPr>
          <w:rFonts w:ascii="Aptos" w:hAnsi="Aptos"/>
          <w:b/>
          <w:color w:val="000000"/>
        </w:rPr>
        <w:t>6 Legal and practical effect</w:t>
      </w:r>
    </w:p>
    <w:p>
      <w:pPr>
        <w:pStyle w:val="Heading2"/>
        <w:keepNext/>
      </w:pPr>
      <w:r>
        <w:rPr>
          <w:rFonts w:ascii="Aptos" w:hAnsi="Aptos"/>
          <w:b/>
          <w:color w:val="000000"/>
        </w:rPr>
        <w:t>6.1 Immediate administrative effect</w:t>
      </w:r>
    </w:p>
    <w:p>
      <w:pPr>
        <w:spacing w:after="140" w:line="269" w:lineRule="auto"/>
      </w:pPr>
      <w:r>
        <w:rPr>
          <w:rFonts w:ascii="Aptos" w:hAnsi="Aptos"/>
        </w:rPr>
        <w:t>The first phase can operate through an NHS England information standard, the NHS Standard Contract, primary care guidance and integrated care board commissioning terms. Within NHS funded care, providers would be required to read the recorded adjustments, confirm delivery, document any justified alternative and preserve referral continuity.</w:t>
      </w:r>
    </w:p>
    <w:p>
      <w:pPr>
        <w:pStyle w:val="Heading2"/>
        <w:keepNext/>
      </w:pPr>
      <w:r>
        <w:rPr>
          <w:rFonts w:ascii="Aptos" w:hAnsi="Aptos"/>
          <w:b/>
          <w:color w:val="000000"/>
        </w:rPr>
        <w:t>6.2 Proposed interim legal presumption</w:t>
      </w:r>
    </w:p>
    <w:p>
      <w:pPr>
        <w:spacing w:after="140" w:line="269" w:lineRule="auto"/>
      </w:pPr>
      <w:r>
        <w:rPr>
          <w:rFonts w:ascii="Aptos" w:hAnsi="Aptos"/>
        </w:rPr>
        <w:t>Primary legislation should create a limited, rebuttable presumption that a current certificate is sufficient evidence of the need to consider and implement its listed adjustments across specified public services and employment settings. The presumption should concern functional needs and adjustment duties, not establish a final medical diagnosis. It should apply from the initial assessment date and end only after a lawful review, not merely because a certificate reaches an administrative date.</w:t>
      </w:r>
    </w:p>
    <w:p>
      <w:pPr>
        <w:spacing w:after="140" w:line="269" w:lineRule="auto"/>
      </w:pPr>
      <w:r>
        <w:rPr>
          <w:rFonts w:ascii="Aptos" w:hAnsi="Aptos"/>
        </w:rPr>
        <w:t>The legislation must include a non regression clause: a person without a certificate, or whose certificate has expired or been refused, may still meet the Equality Act definition and rely on any other evidence. Decision makers must not demand INAC where the law does not require medical certification.</w:t>
      </w:r>
    </w:p>
    <w:p>
      <w:pPr>
        <w:pStyle w:val="Heading2"/>
        <w:keepNext/>
      </w:pPr>
      <w:r>
        <w:rPr>
          <w:rFonts w:ascii="Aptos" w:hAnsi="Aptos"/>
          <w:b/>
          <w:color w:val="000000"/>
        </w:rPr>
        <w:t>6.3 What the certificate does not decide</w:t>
      </w:r>
    </w:p>
    <w:p>
      <w:pPr>
        <w:pStyle w:val="ListBullet"/>
        <w:spacing w:after="80" w:line="259" w:lineRule="auto"/>
      </w:pPr>
      <w:r>
        <w:rPr>
          <w:rFonts w:ascii="Aptos" w:hAnsi="Aptos"/>
        </w:rPr>
        <w:t>It does not confirm autism, ADHD or any other final diagnosis.</w:t>
      </w:r>
    </w:p>
    <w:p>
      <w:pPr>
        <w:pStyle w:val="ListBullet"/>
        <w:spacing w:after="80" w:line="259" w:lineRule="auto"/>
      </w:pPr>
      <w:r>
        <w:rPr>
          <w:rFonts w:ascii="Aptos" w:hAnsi="Aptos"/>
        </w:rPr>
        <w:t>It does not authorise medication that requires specialist diagnosis, initiation or monitoring.</w:t>
      </w:r>
    </w:p>
    <w:p>
      <w:pPr>
        <w:pStyle w:val="ListBullet"/>
        <w:spacing w:after="80" w:line="259" w:lineRule="auto"/>
      </w:pPr>
      <w:r>
        <w:rPr>
          <w:rFonts w:ascii="Aptos" w:hAnsi="Aptos"/>
        </w:rPr>
        <w:t>It does not by itself award a benefit, Education Health and Care Plan, social care package, housing priority or driving entitlement; those schemes retain their lawful tests.</w:t>
      </w:r>
    </w:p>
    <w:p>
      <w:pPr>
        <w:pStyle w:val="ListBullet"/>
        <w:spacing w:after="80" w:line="259" w:lineRule="auto"/>
      </w:pPr>
      <w:r>
        <w:rPr>
          <w:rFonts w:ascii="Aptos" w:hAnsi="Aptos"/>
        </w:rPr>
        <w:t>It does not prevent a service from declining a particular adjustment when it is objectively unsafe or genuinely unreasonable, but the service must explain why and offer the nearest effective alternative.</w:t>
      </w:r>
    </w:p>
    <w:p>
      <w:pPr>
        <w:pStyle w:val="ListBullet"/>
        <w:spacing w:after="80" w:line="259" w:lineRule="auto"/>
      </w:pPr>
      <w:r>
        <w:rPr>
          <w:rFonts w:ascii="Aptos" w:hAnsi="Aptos"/>
        </w:rPr>
        <w:t>It does not permit commissioners to close access to diagnosis merely because support has begun.</w:t>
      </w:r>
    </w:p>
    <w:p>
      <w:pPr>
        <w:pStyle w:val="Heading2"/>
        <w:keepNext/>
      </w:pPr>
      <w:r>
        <w:rPr>
          <w:rFonts w:ascii="Aptos" w:hAnsi="Aptos"/>
          <w:b/>
          <w:color w:val="000000"/>
        </w:rPr>
        <w:t>6.4 External use</w:t>
      </w:r>
    </w:p>
    <w:p>
      <w:pPr>
        <w:spacing w:after="140" w:line="269" w:lineRule="auto"/>
      </w:pPr>
      <w:r>
        <w:rPr>
          <w:rFonts w:ascii="Aptos" w:hAnsi="Aptos"/>
        </w:rPr>
        <w:t>With the person's choice and a lawful basis, a short needs only version may be shared with an employer, school, college, university, local authority, benefits decision maker, court, police custody healthcare team or housing provider. Each body remains responsible for its own legal decision. The certificate should be accepted as relevant evidence and should normally remove the need for another basic account of the same functional effects.</w:t>
      </w:r>
    </w:p>
    <w:p>
      <w:pPr>
        <w:pStyle w:val="Heading1"/>
        <w:keepNext/>
      </w:pPr>
      <w:r>
        <w:rPr>
          <w:rFonts w:ascii="Aptos" w:hAnsi="Aptos"/>
          <w:b/>
          <w:color w:val="000000"/>
        </w:rPr>
        <w:t>7 End to end operating model</w:t>
      </w:r>
    </w:p>
    <w:p>
      <w:pPr>
        <w:pStyle w:val="Heading2"/>
        <w:keepNext/>
      </w:pPr>
      <w:r>
        <w:rPr>
          <w:rFonts w:ascii="Aptos" w:hAnsi="Aptos"/>
          <w:b/>
          <w:color w:val="000000"/>
        </w:rPr>
        <w:t>7.1 Core flow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cantSplit/>
        </w:trPr>
        <w:tc>
          <w:tcPr>
            <w:tcW w:type="dxa" w:w="2419"/>
            <w:shd w:fill="17365D"/>
            <w:tcMar>
              <w:top w:w="110" w:type="dxa"/>
              <w:start w:w="120" w:type="dxa"/>
              <w:bottom w:w="110" w:type="dxa"/>
              <w:end w:w="120" w:type="dxa"/>
            </w:tcMar>
            <w:vAlign w:val="center"/>
          </w:tcPr>
          <w:p>
            <w:pPr>
              <w:spacing w:after="0"/>
              <w:jc w:val="center"/>
            </w:pPr>
            <w:r>
              <w:rPr>
                <w:rFonts w:ascii="Aptos" w:hAnsi="Aptos"/>
                <w:b/>
                <w:color w:val="FFFFFF"/>
                <w:sz w:val="17"/>
              </w:rPr>
              <w:t>1 Initial contact</w:t>
            </w:r>
          </w:p>
        </w:tc>
        <w:tc>
          <w:tcPr>
            <w:tcW w:type="dxa" w:w="2419"/>
            <w:shd w:fill="17365D"/>
            <w:tcMar>
              <w:top w:w="110" w:type="dxa"/>
              <w:start w:w="120" w:type="dxa"/>
              <w:bottom w:w="110" w:type="dxa"/>
              <w:end w:w="120" w:type="dxa"/>
            </w:tcMar>
            <w:vAlign w:val="center"/>
          </w:tcPr>
          <w:p>
            <w:pPr>
              <w:spacing w:after="0"/>
              <w:jc w:val="center"/>
            </w:pPr>
            <w:r>
              <w:rPr>
                <w:rFonts w:ascii="Aptos" w:hAnsi="Aptos"/>
                <w:b/>
                <w:color w:val="FFFFFF"/>
                <w:sz w:val="17"/>
              </w:rPr>
              <w:t>2 Certificate</w:t>
            </w:r>
          </w:p>
        </w:tc>
        <w:tc>
          <w:tcPr>
            <w:tcW w:type="dxa" w:w="2419"/>
            <w:shd w:fill="17365D"/>
            <w:tcMar>
              <w:top w:w="110" w:type="dxa"/>
              <w:start w:w="120" w:type="dxa"/>
              <w:bottom w:w="110" w:type="dxa"/>
              <w:end w:w="120" w:type="dxa"/>
            </w:tcMar>
            <w:vAlign w:val="center"/>
          </w:tcPr>
          <w:p>
            <w:pPr>
              <w:spacing w:after="0"/>
              <w:jc w:val="center"/>
            </w:pPr>
            <w:r>
              <w:rPr>
                <w:rFonts w:ascii="Aptos" w:hAnsi="Aptos"/>
                <w:b/>
                <w:color w:val="FFFFFF"/>
                <w:sz w:val="17"/>
              </w:rPr>
              <w:t>3 Active pathway</w:t>
            </w:r>
          </w:p>
        </w:tc>
        <w:tc>
          <w:tcPr>
            <w:tcW w:type="dxa" w:w="2419"/>
            <w:shd w:fill="17365D"/>
            <w:tcMar>
              <w:top w:w="110" w:type="dxa"/>
              <w:start w:w="120" w:type="dxa"/>
              <w:bottom w:w="110" w:type="dxa"/>
              <w:end w:w="120" w:type="dxa"/>
            </w:tcMar>
            <w:vAlign w:val="center"/>
          </w:tcPr>
          <w:p>
            <w:pPr>
              <w:spacing w:after="0"/>
              <w:jc w:val="center"/>
            </w:pPr>
            <w:r>
              <w:rPr>
                <w:rFonts w:ascii="Aptos" w:hAnsi="Aptos"/>
                <w:b/>
                <w:color w:val="FFFFFF"/>
                <w:sz w:val="17"/>
              </w:rPr>
              <w:t>4 Outcome and handover</w:t>
            </w:r>
          </w:p>
        </w:tc>
      </w:tr>
      <w:tr>
        <w:trPr>
          <w:cantSplit/>
        </w:trPr>
        <w:tc>
          <w:tcPr>
            <w:tcW w:type="dxa" w:w="2419"/>
            <w:tcMar>
              <w:top w:w="110" w:type="dxa"/>
              <w:start w:w="120" w:type="dxa"/>
              <w:bottom w:w="110" w:type="dxa"/>
              <w:end w:w="120" w:type="dxa"/>
            </w:tcMar>
            <w:vAlign w:val="center"/>
          </w:tcPr>
          <w:p>
            <w:pPr>
              <w:spacing w:after="0" w:line="247" w:lineRule="auto"/>
              <w:jc w:val="left"/>
            </w:pPr>
            <w:r>
              <w:rPr>
                <w:rFonts w:ascii="Aptos" w:hAnsi="Aptos"/>
                <w:sz w:val="17"/>
              </w:rPr>
              <w:t>Identify barriers, urgent risk, coexisting needs and preferred communication.</w:t>
            </w:r>
          </w:p>
        </w:tc>
        <w:tc>
          <w:tcPr>
            <w:tcW w:type="dxa" w:w="2419"/>
            <w:tcMar>
              <w:top w:w="110" w:type="dxa"/>
              <w:start w:w="120" w:type="dxa"/>
              <w:bottom w:w="110" w:type="dxa"/>
              <w:end w:w="120" w:type="dxa"/>
            </w:tcMar>
            <w:vAlign w:val="center"/>
          </w:tcPr>
          <w:p>
            <w:pPr>
              <w:spacing w:after="0" w:line="247" w:lineRule="auto"/>
              <w:jc w:val="left"/>
            </w:pPr>
            <w:r>
              <w:rPr>
                <w:rFonts w:ascii="Aptos" w:hAnsi="Aptos"/>
                <w:sz w:val="17"/>
              </w:rPr>
              <w:t>Issue INAC, give patient copy, update digital flag and create one pathway key.</w:t>
            </w:r>
          </w:p>
        </w:tc>
        <w:tc>
          <w:tcPr>
            <w:tcW w:type="dxa" w:w="2419"/>
            <w:tcMar>
              <w:top w:w="110" w:type="dxa"/>
              <w:start w:w="120" w:type="dxa"/>
              <w:bottom w:w="110" w:type="dxa"/>
              <w:end w:w="120" w:type="dxa"/>
            </w:tcMar>
            <w:vAlign w:val="center"/>
          </w:tcPr>
          <w:p>
            <w:pPr>
              <w:spacing w:after="0" w:line="247" w:lineRule="auto"/>
              <w:jc w:val="left"/>
            </w:pPr>
            <w:r>
              <w:rPr>
                <w:rFonts w:ascii="Aptos" w:hAnsi="Aptos"/>
                <w:sz w:val="17"/>
              </w:rPr>
              <w:t>Deliver adjustments, provide interim care, preserve place through provider changes and record service events.</w:t>
            </w:r>
          </w:p>
        </w:tc>
        <w:tc>
          <w:tcPr>
            <w:tcW w:type="dxa" w:w="2419"/>
            <w:tcMar>
              <w:top w:w="110" w:type="dxa"/>
              <w:start w:w="120" w:type="dxa"/>
              <w:bottom w:w="110" w:type="dxa"/>
              <w:end w:w="120" w:type="dxa"/>
            </w:tcMar>
            <w:vAlign w:val="center"/>
          </w:tcPr>
          <w:p>
            <w:pPr>
              <w:spacing w:after="0" w:line="247" w:lineRule="auto"/>
              <w:jc w:val="left"/>
            </w:pPr>
            <w:r>
              <w:rPr>
                <w:rFonts w:ascii="Aptos" w:hAnsi="Aptos"/>
                <w:sz w:val="17"/>
              </w:rPr>
              <w:t>Complete diagnosis or alternative formulation, update support plan, reconcile payments and close only with confirmed handover.</w:t>
            </w:r>
          </w:p>
        </w:tc>
      </w:tr>
    </w:tbl>
    <w:p>
      <w:pPr>
        <w:spacing w:after="20"/>
      </w:pPr>
    </w:p>
    <w:p>
      <w:pPr>
        <w:pStyle w:val="Heading2"/>
        <w:keepNext/>
      </w:pPr>
      <w:r>
        <w:rPr>
          <w:rFonts w:ascii="Aptos" w:hAnsi="Aptos"/>
          <w:b/>
          <w:color w:val="000000"/>
        </w:rPr>
        <w:t>7.2 Ownership does not disappear between organisations</w:t>
      </w:r>
    </w:p>
    <w:p>
      <w:pPr>
        <w:spacing w:after="140" w:line="269" w:lineRule="auto"/>
      </w:pPr>
      <w:r>
        <w:rPr>
          <w:rFonts w:ascii="Aptos" w:hAnsi="Aptos"/>
        </w:rPr>
        <w:t>The referring organisation retains a named continuity responsibility until the receiving provider confirms acceptance. The commissioned provider becomes responsible for assessment delivery but cannot erase the original referral date. The integrated care board remains accountable for pathway availability and contractor performance. When a provider exits, the commissioner must transfer the record and certificate in bulk without requiring the person to reapply.</w:t>
      </w:r>
    </w:p>
    <w:p>
      <w:pPr>
        <w:pStyle w:val="Heading2"/>
        <w:keepNext/>
      </w:pPr>
      <w:r>
        <w:rPr>
          <w:rFonts w:ascii="Aptos" w:hAnsi="Aptos"/>
          <w:b/>
          <w:color w:val="000000"/>
        </w:rPr>
        <w:t>7.3 Closure controls</w:t>
      </w:r>
    </w:p>
    <w:p>
      <w:pPr>
        <w:spacing w:after="140" w:line="269" w:lineRule="auto"/>
      </w:pPr>
      <w:r>
        <w:rPr>
          <w:rFonts w:ascii="Aptos" w:hAnsi="Aptos"/>
        </w:rPr>
        <w:t>A pathway may be closed only for a defined clinical or patient initiated reason. Administrative non response is not sufficient unless the service used the recorded communication method, made proportionate supported attempts, checked reasonable adjustments and gave written warning. Closure notices must state the consequence, evidence, reinstatement route and the date by which review can be requested. Where the provider caused the failure, reinstatement preserves the original waiting date.</w:t>
      </w:r>
    </w:p>
    <w:p>
      <w:pPr>
        <w:pStyle w:val="Heading1"/>
        <w:keepNext/>
      </w:pPr>
      <w:r>
        <w:rPr>
          <w:rFonts w:ascii="Aptos" w:hAnsi="Aptos"/>
          <w:b/>
          <w:color w:val="000000"/>
        </w:rPr>
        <w:t>8 Protection against administrative and financial abuse</w:t>
      </w:r>
    </w:p>
    <w:p>
      <w:pPr>
        <w:pStyle w:val="Heading2"/>
        <w:keepNext/>
      </w:pPr>
      <w:r>
        <w:rPr>
          <w:rFonts w:ascii="Aptos" w:hAnsi="Aptos"/>
          <w:b/>
          <w:color w:val="000000"/>
        </w:rPr>
        <w:t>8.1 Purpose</w:t>
      </w:r>
    </w:p>
    <w:p>
      <w:pPr>
        <w:spacing w:after="140" w:line="269" w:lineRule="auto"/>
      </w:pPr>
      <w:r>
        <w:rPr>
          <w:rFonts w:ascii="Aptos" w:hAnsi="Aptos"/>
        </w:rPr>
        <w:t>The controls below address the risk of public or personal loss without presuming that any named provider has acted dishonestly. Poor administration, weak contracts and deliberate exploitation can produce similar financial effects; the evidence and intent must be investigated separately.</w:t>
      </w:r>
    </w:p>
    <w:p>
      <w:pPr>
        <w:pStyle w:val="Heading2"/>
        <w:keepNext/>
      </w:pPr>
      <w:r>
        <w:rPr>
          <w:rFonts w:ascii="Aptos" w:hAnsi="Aptos"/>
          <w:b/>
          <w:color w:val="000000"/>
        </w:rPr>
        <w:t>8.2 One referral and one auditable ledger</w:t>
      </w:r>
    </w:p>
    <w:p>
      <w:pPr>
        <w:pStyle w:val="ListBullet"/>
        <w:spacing w:after="80" w:line="259" w:lineRule="auto"/>
      </w:pPr>
      <w:r>
        <w:rPr>
          <w:rFonts w:ascii="Aptos" w:hAnsi="Aptos"/>
        </w:rPr>
        <w:t>Create one persistent pathway identifier for each clinical question and link every registration, transfer, questionnaire, contact, assessment and payment claim to it.</w:t>
      </w:r>
    </w:p>
    <w:p>
      <w:pPr>
        <w:pStyle w:val="ListBullet"/>
        <w:spacing w:after="80" w:line="259" w:lineRule="auto"/>
      </w:pPr>
      <w:r>
        <w:rPr>
          <w:rFonts w:ascii="Aptos" w:hAnsi="Aptos"/>
        </w:rPr>
        <w:t>Block a second active pathway for the same question unless a clinician records a distinct reason, such as a formal second opinion or materially different assessment scope.</w:t>
      </w:r>
    </w:p>
    <w:p>
      <w:pPr>
        <w:pStyle w:val="ListBullet"/>
        <w:spacing w:after="80" w:line="259" w:lineRule="auto"/>
      </w:pPr>
      <w:r>
        <w:rPr>
          <w:rFonts w:ascii="Aptos" w:hAnsi="Aptos"/>
        </w:rPr>
        <w:t>Retain the original referral date and a complete event history when a provider, commissioner or software system changes.</w:t>
      </w:r>
    </w:p>
    <w:p>
      <w:pPr>
        <w:pStyle w:val="ListBullet"/>
        <w:spacing w:after="80" w:line="259" w:lineRule="auto"/>
      </w:pPr>
      <w:r>
        <w:rPr>
          <w:rFonts w:ascii="Aptos" w:hAnsi="Aptos"/>
        </w:rPr>
        <w:t>Allow the person to view the current provider, pathway status, last action, next expected action and any closure reason through the NHS App or an accessible paper or written route.</w:t>
      </w:r>
    </w:p>
    <w:p>
      <w:pPr>
        <w:pStyle w:val="Heading2"/>
        <w:keepNext/>
      </w:pPr>
      <w:r>
        <w:rPr>
          <w:rFonts w:ascii="Aptos" w:hAnsi="Aptos"/>
          <w:b/>
          <w:color w:val="000000"/>
        </w:rPr>
        <w:t>8.3 Payment rules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1944"/>
            <w:shd w:fill="17365D"/>
            <w:tcMar>
              <w:top w:w="110" w:type="dxa"/>
              <w:start w:w="120" w:type="dxa"/>
              <w:bottom w:w="110" w:type="dxa"/>
              <w:end w:w="120" w:type="dxa"/>
            </w:tcMar>
            <w:vAlign w:val="center"/>
          </w:tcPr>
          <w:p>
            <w:pPr>
              <w:spacing w:after="0"/>
              <w:jc w:val="center"/>
            </w:pPr>
            <w:r>
              <w:rPr>
                <w:rFonts w:ascii="Aptos" w:hAnsi="Aptos"/>
                <w:b/>
                <w:color w:val="FFFFFF"/>
                <w:sz w:val="17"/>
              </w:rPr>
              <w:t>Event</w:t>
            </w:r>
          </w:p>
        </w:tc>
        <w:tc>
          <w:tcPr>
            <w:tcW w:type="dxa" w:w="3960"/>
            <w:shd w:fill="17365D"/>
            <w:tcMar>
              <w:top w:w="110" w:type="dxa"/>
              <w:start w:w="120" w:type="dxa"/>
              <w:bottom w:w="110" w:type="dxa"/>
              <w:end w:w="120" w:type="dxa"/>
            </w:tcMar>
            <w:vAlign w:val="center"/>
          </w:tcPr>
          <w:p>
            <w:pPr>
              <w:spacing w:after="0"/>
              <w:jc w:val="center"/>
            </w:pPr>
            <w:r>
              <w:rPr>
                <w:rFonts w:ascii="Aptos" w:hAnsi="Aptos"/>
                <w:b/>
                <w:color w:val="FFFFFF"/>
                <w:sz w:val="17"/>
              </w:rPr>
              <w:t>Payment rule</w:t>
            </w:r>
          </w:p>
        </w:tc>
        <w:tc>
          <w:tcPr>
            <w:tcW w:type="dxa" w:w="3744"/>
            <w:shd w:fill="17365D"/>
            <w:tcMar>
              <w:top w:w="110" w:type="dxa"/>
              <w:start w:w="120" w:type="dxa"/>
              <w:bottom w:w="110" w:type="dxa"/>
              <w:end w:w="120" w:type="dxa"/>
            </w:tcMar>
            <w:vAlign w:val="center"/>
          </w:tcPr>
          <w:p>
            <w:pPr>
              <w:spacing w:after="0"/>
              <w:jc w:val="center"/>
            </w:pPr>
            <w:r>
              <w:rPr>
                <w:rFonts w:ascii="Aptos" w:hAnsi="Aptos"/>
                <w:b/>
                <w:color w:val="FFFFFF"/>
                <w:sz w:val="17"/>
              </w:rPr>
              <w:t>Required evidence</w:t>
            </w:r>
          </w:p>
        </w:tc>
      </w:tr>
      <w:tr>
        <w:trPr>
          <w:cantSplit/>
        </w:trPr>
        <w:tc>
          <w:tcPr>
            <w:tcW w:type="dxa" w:w="1944"/>
            <w:tcMar>
              <w:top w:w="110" w:type="dxa"/>
              <w:start w:w="120" w:type="dxa"/>
              <w:bottom w:w="110" w:type="dxa"/>
              <w:end w:w="120" w:type="dxa"/>
            </w:tcMar>
            <w:vAlign w:val="center"/>
          </w:tcPr>
          <w:p>
            <w:pPr>
              <w:spacing w:after="0" w:line="247" w:lineRule="auto"/>
              <w:jc w:val="center"/>
            </w:pPr>
            <w:r>
              <w:rPr>
                <w:rFonts w:ascii="Aptos" w:hAnsi="Aptos"/>
                <w:sz w:val="17"/>
              </w:rPr>
              <w:t>Referral receipt</w:t>
            </w:r>
          </w:p>
        </w:tc>
        <w:tc>
          <w:tcPr>
            <w:tcW w:type="dxa" w:w="3960"/>
            <w:tcMar>
              <w:top w:w="110" w:type="dxa"/>
              <w:start w:w="120" w:type="dxa"/>
              <w:bottom w:w="110" w:type="dxa"/>
              <w:end w:w="120" w:type="dxa"/>
            </w:tcMar>
            <w:vAlign w:val="center"/>
          </w:tcPr>
          <w:p>
            <w:pPr>
              <w:spacing w:after="0" w:line="247" w:lineRule="auto"/>
              <w:jc w:val="left"/>
            </w:pPr>
            <w:r>
              <w:rPr>
                <w:rFonts w:ascii="Aptos" w:hAnsi="Aptos"/>
                <w:sz w:val="17"/>
              </w:rPr>
              <w:t>Included in pathway administration; not repeatedly billable after transfer or failed import.</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7"/>
              </w:rPr>
              <w:t>Timestamp, pathway key and acceptance or lawful rejection reason.</w:t>
            </w:r>
          </w:p>
        </w:tc>
      </w:tr>
      <w:tr>
        <w:trPr>
          <w:cantSplit/>
        </w:trPr>
        <w:tc>
          <w:tcPr>
            <w:tcW w:type="dxa" w:w="1944"/>
            <w:tcMar>
              <w:top w:w="110" w:type="dxa"/>
              <w:start w:w="120" w:type="dxa"/>
              <w:bottom w:w="110" w:type="dxa"/>
              <w:end w:w="120" w:type="dxa"/>
            </w:tcMar>
            <w:vAlign w:val="center"/>
            <w:shd w:fill="F3F5F7"/>
          </w:tcPr>
          <w:p>
            <w:pPr>
              <w:spacing w:after="0" w:line="247" w:lineRule="auto"/>
              <w:jc w:val="center"/>
            </w:pPr>
            <w:r>
              <w:rPr>
                <w:rFonts w:ascii="Aptos" w:hAnsi="Aptos"/>
                <w:sz w:val="17"/>
              </w:rPr>
              <w:t>Initial clinical contact</w:t>
            </w:r>
          </w:p>
        </w:tc>
        <w:tc>
          <w:tcPr>
            <w:tcW w:type="dxa" w:w="3960"/>
            <w:tcMar>
              <w:top w:w="110" w:type="dxa"/>
              <w:start w:w="120" w:type="dxa"/>
              <w:bottom w:w="110" w:type="dxa"/>
              <w:end w:w="120" w:type="dxa"/>
            </w:tcMar>
            <w:vAlign w:val="center"/>
            <w:shd w:fill="F3F5F7"/>
          </w:tcPr>
          <w:p>
            <w:pPr>
              <w:spacing w:after="0" w:line="247" w:lineRule="auto"/>
              <w:jc w:val="left"/>
            </w:pPr>
            <w:r>
              <w:rPr>
                <w:rFonts w:ascii="Aptos" w:hAnsi="Aptos"/>
                <w:sz w:val="17"/>
              </w:rPr>
              <w:t>Payable once when clinically meaningful work is completed.</w:t>
            </w:r>
          </w:p>
        </w:tc>
        <w:tc>
          <w:tcPr>
            <w:tcW w:type="dxa" w:w="3744"/>
            <w:tcMar>
              <w:top w:w="110" w:type="dxa"/>
              <w:start w:w="120" w:type="dxa"/>
              <w:bottom w:w="110" w:type="dxa"/>
              <w:end w:w="120" w:type="dxa"/>
            </w:tcMar>
            <w:vAlign w:val="center"/>
            <w:shd w:fill="F3F5F7"/>
          </w:tcPr>
          <w:p>
            <w:pPr>
              <w:spacing w:after="0" w:line="247" w:lineRule="auto"/>
              <w:jc w:val="left"/>
            </w:pPr>
            <w:r>
              <w:rPr>
                <w:rFonts w:ascii="Aptos" w:hAnsi="Aptos"/>
                <w:sz w:val="17"/>
              </w:rPr>
              <w:t>Named clinician, duration, functional assessment and agreed next action.</w:t>
            </w:r>
          </w:p>
        </w:tc>
      </w:tr>
      <w:tr>
        <w:trPr>
          <w:cantSplit/>
        </w:trPr>
        <w:tc>
          <w:tcPr>
            <w:tcW w:type="dxa" w:w="1944"/>
            <w:tcMar>
              <w:top w:w="110" w:type="dxa"/>
              <w:start w:w="120" w:type="dxa"/>
              <w:bottom w:w="110" w:type="dxa"/>
              <w:end w:w="120" w:type="dxa"/>
            </w:tcMar>
            <w:vAlign w:val="center"/>
          </w:tcPr>
          <w:p>
            <w:pPr>
              <w:spacing w:after="0" w:line="247" w:lineRule="auto"/>
              <w:jc w:val="center"/>
            </w:pPr>
            <w:r>
              <w:rPr>
                <w:rFonts w:ascii="Aptos" w:hAnsi="Aptos"/>
                <w:sz w:val="17"/>
              </w:rPr>
              <w:t>Repeated questionnaire or intake</w:t>
            </w:r>
          </w:p>
        </w:tc>
        <w:tc>
          <w:tcPr>
            <w:tcW w:type="dxa" w:w="3960"/>
            <w:tcMar>
              <w:top w:w="110" w:type="dxa"/>
              <w:start w:w="120" w:type="dxa"/>
              <w:bottom w:w="110" w:type="dxa"/>
              <w:end w:w="120" w:type="dxa"/>
            </w:tcMar>
            <w:vAlign w:val="center"/>
          </w:tcPr>
          <w:p>
            <w:pPr>
              <w:spacing w:after="0" w:line="247" w:lineRule="auto"/>
              <w:jc w:val="left"/>
            </w:pPr>
            <w:r>
              <w:rPr>
                <w:rFonts w:ascii="Aptos" w:hAnsi="Aptos"/>
                <w:sz w:val="17"/>
              </w:rPr>
              <w:t>Not payable unless new clinical need is documented and commissioner rules permit it.</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7"/>
              </w:rPr>
              <w:t>Reason existing evidence was insufficient and patient informed consent.</w:t>
            </w:r>
          </w:p>
        </w:tc>
      </w:tr>
      <w:tr>
        <w:trPr>
          <w:cantSplit/>
        </w:trPr>
        <w:tc>
          <w:tcPr>
            <w:tcW w:type="dxa" w:w="1944"/>
            <w:tcMar>
              <w:top w:w="110" w:type="dxa"/>
              <w:start w:w="120" w:type="dxa"/>
              <w:bottom w:w="110" w:type="dxa"/>
              <w:end w:w="120" w:type="dxa"/>
            </w:tcMar>
            <w:vAlign w:val="center"/>
            <w:shd w:fill="F3F5F7"/>
          </w:tcPr>
          <w:p>
            <w:pPr>
              <w:spacing w:after="0" w:line="247" w:lineRule="auto"/>
              <w:jc w:val="center"/>
            </w:pPr>
            <w:r>
              <w:rPr>
                <w:rFonts w:ascii="Aptos" w:hAnsi="Aptos"/>
                <w:sz w:val="17"/>
              </w:rPr>
              <w:t>Assessment milestone</w:t>
            </w:r>
          </w:p>
        </w:tc>
        <w:tc>
          <w:tcPr>
            <w:tcW w:type="dxa" w:w="3960"/>
            <w:tcMar>
              <w:top w:w="110" w:type="dxa"/>
              <w:start w:w="120" w:type="dxa"/>
              <w:bottom w:w="110" w:type="dxa"/>
              <w:end w:w="120" w:type="dxa"/>
            </w:tcMar>
            <w:vAlign w:val="center"/>
            <w:shd w:fill="F3F5F7"/>
          </w:tcPr>
          <w:p>
            <w:pPr>
              <w:spacing w:after="0" w:line="247" w:lineRule="auto"/>
              <w:jc w:val="left"/>
            </w:pPr>
            <w:r>
              <w:rPr>
                <w:rFonts w:ascii="Aptos" w:hAnsi="Aptos"/>
                <w:sz w:val="17"/>
              </w:rPr>
              <w:t>Pay against completed, outcome neutral clinical work rather than a particular diagnosis.</w:t>
            </w:r>
          </w:p>
        </w:tc>
        <w:tc>
          <w:tcPr>
            <w:tcW w:type="dxa" w:w="3744"/>
            <w:tcMar>
              <w:top w:w="110" w:type="dxa"/>
              <w:start w:w="120" w:type="dxa"/>
              <w:bottom w:w="110" w:type="dxa"/>
              <w:end w:w="120" w:type="dxa"/>
            </w:tcMar>
            <w:vAlign w:val="center"/>
            <w:shd w:fill="F3F5F7"/>
          </w:tcPr>
          <w:p>
            <w:pPr>
              <w:spacing w:after="0" w:line="247" w:lineRule="auto"/>
              <w:jc w:val="left"/>
            </w:pPr>
            <w:r>
              <w:rPr>
                <w:rFonts w:ascii="Aptos" w:hAnsi="Aptos"/>
                <w:sz w:val="17"/>
              </w:rPr>
              <w:t>Required components, clinician credentials, report status and quality checks.</w:t>
            </w:r>
          </w:p>
        </w:tc>
      </w:tr>
      <w:tr>
        <w:trPr>
          <w:cantSplit/>
        </w:trPr>
        <w:tc>
          <w:tcPr>
            <w:tcW w:type="dxa" w:w="1944"/>
            <w:tcMar>
              <w:top w:w="110" w:type="dxa"/>
              <w:start w:w="120" w:type="dxa"/>
              <w:bottom w:w="110" w:type="dxa"/>
              <w:end w:w="120" w:type="dxa"/>
            </w:tcMar>
            <w:vAlign w:val="center"/>
          </w:tcPr>
          <w:p>
            <w:pPr>
              <w:spacing w:after="0" w:line="247" w:lineRule="auto"/>
              <w:jc w:val="center"/>
            </w:pPr>
            <w:r>
              <w:rPr>
                <w:rFonts w:ascii="Aptos" w:hAnsi="Aptos"/>
                <w:sz w:val="17"/>
              </w:rPr>
              <w:t>Transfer</w:t>
            </w:r>
          </w:p>
        </w:tc>
        <w:tc>
          <w:tcPr>
            <w:tcW w:type="dxa" w:w="3960"/>
            <w:tcMar>
              <w:top w:w="110" w:type="dxa"/>
              <w:start w:w="120" w:type="dxa"/>
              <w:bottom w:w="110" w:type="dxa"/>
              <w:end w:w="120" w:type="dxa"/>
            </w:tcMar>
            <w:vAlign w:val="center"/>
          </w:tcPr>
          <w:p>
            <w:pPr>
              <w:spacing w:after="0" w:line="247" w:lineRule="auto"/>
              <w:jc w:val="left"/>
            </w:pPr>
            <w:r>
              <w:rPr>
                <w:rFonts w:ascii="Aptos" w:hAnsi="Aptos"/>
                <w:sz w:val="17"/>
              </w:rPr>
              <w:t>No new intake fee solely because the provider or contract changed.</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7"/>
              </w:rPr>
              <w:t>Complete handover and receipt confirmation.</w:t>
            </w:r>
          </w:p>
        </w:tc>
      </w:tr>
      <w:tr>
        <w:trPr>
          <w:cantSplit/>
        </w:trPr>
        <w:tc>
          <w:tcPr>
            <w:tcW w:type="dxa" w:w="1944"/>
            <w:tcMar>
              <w:top w:w="110" w:type="dxa"/>
              <w:start w:w="120" w:type="dxa"/>
              <w:bottom w:w="110" w:type="dxa"/>
              <w:end w:w="120" w:type="dxa"/>
            </w:tcMar>
            <w:vAlign w:val="center"/>
            <w:shd w:fill="F3F5F7"/>
          </w:tcPr>
          <w:p>
            <w:pPr>
              <w:spacing w:after="0" w:line="247" w:lineRule="auto"/>
              <w:jc w:val="center"/>
            </w:pPr>
            <w:r>
              <w:rPr>
                <w:rFonts w:ascii="Aptos" w:hAnsi="Aptos"/>
                <w:sz w:val="17"/>
              </w:rPr>
              <w:t>Administrative closure</w:t>
            </w:r>
          </w:p>
        </w:tc>
        <w:tc>
          <w:tcPr>
            <w:tcW w:type="dxa" w:w="3960"/>
            <w:tcMar>
              <w:top w:w="110" w:type="dxa"/>
              <w:start w:w="120" w:type="dxa"/>
              <w:bottom w:w="110" w:type="dxa"/>
              <w:end w:w="120" w:type="dxa"/>
            </w:tcMar>
            <w:vAlign w:val="center"/>
            <w:shd w:fill="F3F5F7"/>
          </w:tcPr>
          <w:p>
            <w:pPr>
              <w:spacing w:after="0" w:line="247" w:lineRule="auto"/>
              <w:jc w:val="left"/>
            </w:pPr>
            <w:r>
              <w:rPr>
                <w:rFonts w:ascii="Aptos" w:hAnsi="Aptos"/>
                <w:sz w:val="17"/>
              </w:rPr>
              <w:t>No completion payment. Review for provider caused failure and reinstatement cost.</w:t>
            </w:r>
          </w:p>
        </w:tc>
        <w:tc>
          <w:tcPr>
            <w:tcW w:type="dxa" w:w="3744"/>
            <w:tcMar>
              <w:top w:w="110" w:type="dxa"/>
              <w:start w:w="120" w:type="dxa"/>
              <w:bottom w:w="110" w:type="dxa"/>
              <w:end w:w="120" w:type="dxa"/>
            </w:tcMar>
            <w:vAlign w:val="center"/>
            <w:shd w:fill="F3F5F7"/>
          </w:tcPr>
          <w:p>
            <w:pPr>
              <w:spacing w:after="0" w:line="247" w:lineRule="auto"/>
              <w:jc w:val="left"/>
            </w:pPr>
            <w:r>
              <w:rPr>
                <w:rFonts w:ascii="Aptos" w:hAnsi="Aptos"/>
                <w:sz w:val="17"/>
              </w:rPr>
              <w:t>Adjustment attempts, notice, reason and authorisation.</w:t>
            </w:r>
          </w:p>
        </w:tc>
      </w:tr>
      <w:tr>
        <w:trPr>
          <w:cantSplit/>
        </w:trPr>
        <w:tc>
          <w:tcPr>
            <w:tcW w:type="dxa" w:w="1944"/>
            <w:tcMar>
              <w:top w:w="110" w:type="dxa"/>
              <w:start w:w="120" w:type="dxa"/>
              <w:bottom w:w="110" w:type="dxa"/>
              <w:end w:w="120" w:type="dxa"/>
            </w:tcMar>
            <w:vAlign w:val="center"/>
          </w:tcPr>
          <w:p>
            <w:pPr>
              <w:spacing w:after="0" w:line="247" w:lineRule="auto"/>
              <w:jc w:val="center"/>
            </w:pPr>
            <w:r>
              <w:rPr>
                <w:rFonts w:ascii="Aptos" w:hAnsi="Aptos"/>
                <w:sz w:val="17"/>
              </w:rPr>
              <w:t>Final handover</w:t>
            </w:r>
          </w:p>
        </w:tc>
        <w:tc>
          <w:tcPr>
            <w:tcW w:type="dxa" w:w="3960"/>
            <w:tcMar>
              <w:top w:w="110" w:type="dxa"/>
              <w:start w:w="120" w:type="dxa"/>
              <w:bottom w:w="110" w:type="dxa"/>
              <w:end w:w="120" w:type="dxa"/>
            </w:tcMar>
            <w:vAlign w:val="center"/>
          </w:tcPr>
          <w:p>
            <w:pPr>
              <w:spacing w:after="0" w:line="247" w:lineRule="auto"/>
              <w:jc w:val="left"/>
            </w:pPr>
            <w:r>
              <w:rPr>
                <w:rFonts w:ascii="Aptos" w:hAnsi="Aptos"/>
                <w:sz w:val="17"/>
              </w:rPr>
              <w:t>Final payment only after report, care plan, data return and patient accessible copy are delivered.</w:t>
            </w:r>
          </w:p>
        </w:tc>
        <w:tc>
          <w:tcPr>
            <w:tcW w:type="dxa" w:w="3744"/>
            <w:tcMar>
              <w:top w:w="110" w:type="dxa"/>
              <w:start w:w="120" w:type="dxa"/>
              <w:bottom w:w="110" w:type="dxa"/>
              <w:end w:w="120" w:type="dxa"/>
            </w:tcMar>
            <w:vAlign w:val="center"/>
          </w:tcPr>
          <w:p>
            <w:pPr>
              <w:spacing w:after="0" w:line="247" w:lineRule="auto"/>
              <w:jc w:val="left"/>
            </w:pPr>
            <w:r>
              <w:rPr>
                <w:rFonts w:ascii="Aptos" w:hAnsi="Aptos"/>
                <w:sz w:val="17"/>
              </w:rPr>
              <w:t>Handover checklist and patient notification.</w:t>
            </w:r>
          </w:p>
        </w:tc>
      </w:tr>
    </w:tbl>
    <w:p>
      <w:pPr>
        <w:spacing w:after="20"/>
      </w:pPr>
    </w:p>
    <w:p>
      <w:pPr>
        <w:pStyle w:val="Heading2"/>
        <w:keepNext/>
      </w:pPr>
      <w:r>
        <w:rPr>
          <w:rFonts w:ascii="Aptos" w:hAnsi="Aptos"/>
          <w:b/>
          <w:color w:val="000000"/>
        </w:rPr>
        <w:t>8.4 Contract requirements for independent providers</w:t>
      </w:r>
    </w:p>
    <w:p>
      <w:pPr>
        <w:pStyle w:val="ListBullet"/>
        <w:spacing w:after="80" w:line="259" w:lineRule="auto"/>
      </w:pPr>
      <w:r>
        <w:rPr>
          <w:rFonts w:ascii="Aptos" w:hAnsi="Aptos"/>
        </w:rPr>
        <w:t>Apply the same access, equality, information, complaints, clinical safety and continuity requirements as the public pathway.</w:t>
      </w:r>
    </w:p>
    <w:p>
      <w:pPr>
        <w:pStyle w:val="ListBullet"/>
        <w:spacing w:after="80" w:line="259" w:lineRule="auto"/>
      </w:pPr>
      <w:r>
        <w:rPr>
          <w:rFonts w:ascii="Aptos" w:hAnsi="Aptos"/>
        </w:rPr>
        <w:t>Prohibit charging or upselling an NHS referred person for faster access to a step already commissioned by the NHS, unless the person independently requests a clearly separate private service after transparent explanation.</w:t>
      </w:r>
    </w:p>
    <w:p>
      <w:pPr>
        <w:pStyle w:val="ListBullet"/>
        <w:spacing w:after="80" w:line="259" w:lineRule="auto"/>
      </w:pPr>
      <w:r>
        <w:rPr>
          <w:rFonts w:ascii="Aptos" w:hAnsi="Aptos"/>
        </w:rPr>
        <w:t>Publish ownership, controlling interests, subcontractors, related party payments and material referral relationships to commissioners.</w:t>
      </w:r>
    </w:p>
    <w:p>
      <w:pPr>
        <w:pStyle w:val="ListBullet"/>
        <w:spacing w:after="80" w:line="259" w:lineRule="auto"/>
      </w:pPr>
      <w:r>
        <w:rPr>
          <w:rFonts w:ascii="Aptos" w:hAnsi="Aptos"/>
        </w:rPr>
        <w:t>Use clinician level identifiers and validate professional registration and scope of practice.</w:t>
      </w:r>
    </w:p>
    <w:p>
      <w:pPr>
        <w:pStyle w:val="ListBullet"/>
        <w:spacing w:after="80" w:line="259" w:lineRule="auto"/>
      </w:pPr>
      <w:r>
        <w:rPr>
          <w:rFonts w:ascii="Aptos" w:hAnsi="Aptos"/>
        </w:rPr>
        <w:t>Disclose every subcontractor and agency worker, their employing entity, assigned tasks, supervision and dated competence assurance before they handle a patient or record.</w:t>
      </w:r>
    </w:p>
    <w:p>
      <w:pPr>
        <w:pStyle w:val="ListBullet"/>
        <w:spacing w:after="80" w:line="259" w:lineRule="auto"/>
      </w:pPr>
      <w:r>
        <w:rPr>
          <w:rFonts w:ascii="Aptos" w:hAnsi="Aptos"/>
        </w:rPr>
        <w:t>Demonstrate that assessment composition and multidisciplinary input meet applicable NICE guidance and commissioned clinical specifications.</w:t>
      </w:r>
    </w:p>
    <w:p>
      <w:pPr>
        <w:pStyle w:val="ListBullet"/>
        <w:spacing w:after="80" w:line="259" w:lineRule="auto"/>
      </w:pPr>
      <w:r>
        <w:rPr>
          <w:rFonts w:ascii="Aptos" w:hAnsi="Aptos"/>
        </w:rPr>
        <w:t>Require return of structured data and records on completion, termination or insolvency, with no hostage fees.</w:t>
      </w:r>
    </w:p>
    <w:p>
      <w:pPr>
        <w:pStyle w:val="ListBullet"/>
        <w:spacing w:after="80" w:line="259" w:lineRule="auto"/>
      </w:pPr>
      <w:r>
        <w:rPr>
          <w:rFonts w:ascii="Aptos" w:hAnsi="Aptos"/>
        </w:rPr>
        <w:t>Permit commissioner, counter fraud and clinical quality audit, including sampling of duplicate events and closures.</w:t>
      </w:r>
    </w:p>
    <w:p>
      <w:pPr>
        <w:pStyle w:val="ListBullet"/>
        <w:spacing w:after="80" w:line="259" w:lineRule="auto"/>
      </w:pPr>
      <w:r>
        <w:rPr>
          <w:rFonts w:ascii="Aptos" w:hAnsi="Aptos"/>
        </w:rPr>
        <w:t>Provide recovery, service credit, suspension and termination mechanisms for unsupported duplicate claims, data withholding or systematic maladministration.</w:t>
      </w:r>
    </w:p>
    <w:p>
      <w:pPr>
        <w:pStyle w:val="Heading2"/>
        <w:keepNext/>
      </w:pPr>
      <w:r>
        <w:rPr>
          <w:rFonts w:ascii="Aptos" w:hAnsi="Aptos"/>
          <w:b/>
          <w:color w:val="000000"/>
        </w:rPr>
        <w:t>8.5 Patient financial protection</w:t>
      </w:r>
    </w:p>
    <w:p>
      <w:pPr>
        <w:spacing w:after="140" w:line="269" w:lineRule="auto"/>
      </w:pPr>
      <w:r>
        <w:rPr>
          <w:rFonts w:ascii="Aptos" w:hAnsi="Aptos"/>
        </w:rPr>
        <w:t>The person should receive a clear statement that the certificate, NHS pathway administration and commissioned assessment are free. If they consider private assessment, they should receive neutral information on regulation, total price, what the NHS will recognise, medication and shared care limits, refund terms, use of personal data and complaint routes. No NHS provider should receive a referral fee for directing a patient to a related private service without explicit disclosure and lawful approval.</w:t>
      </w:r>
    </w:p>
    <w:p>
      <w:pPr>
        <w:pStyle w:val="Heading2"/>
        <w:keepNext/>
      </w:pPr>
      <w:r>
        <w:rPr>
          <w:rFonts w:ascii="Aptos" w:hAnsi="Aptos"/>
          <w:b/>
          <w:color w:val="000000"/>
        </w:rPr>
        <w:t>8.6 Detection and response</w:t>
      </w:r>
    </w:p>
    <w:p>
      <w:pPr>
        <w:spacing w:after="140" w:line="269" w:lineRule="auto"/>
      </w:pPr>
      <w:r>
        <w:rPr>
          <w:rFonts w:ascii="Aptos" w:hAnsi="Aptos"/>
        </w:rPr>
        <w:t>Commissioners should run routine exception reports for multiple active referrals, repeated intake codes, rapid closures, provider changes followed by new registration fees, unusually high non completion rates and claims after recorded withdrawal or death. An anomaly is a prompt for review, not proof of fraud. Suspected deliberate dishonesty should be referred through established NHS counter fraud processes; quality and maladministration failures should follow contractual, professional and regulatory routes.</w:t>
      </w:r>
    </w:p>
    <w:p>
      <w:pPr>
        <w:pStyle w:val="Heading2"/>
        <w:keepNext/>
      </w:pPr>
      <w:r>
        <w:rPr>
          <w:rFonts w:ascii="Aptos" w:hAnsi="Aptos"/>
          <w:b/>
          <w:color w:val="000000"/>
        </w:rPr>
        <w:t>8.7 NHS-first commissioning presumption</w:t>
      </w:r>
    </w:p>
    <w:p>
      <w:pPr>
        <w:spacing w:after="140" w:line="269" w:lineRule="auto"/>
      </w:pPr>
      <w:r>
        <w:rPr>
          <w:rFonts w:ascii="Aptos" w:hAnsi="Aptos"/>
        </w:rPr>
        <w:t>The long term response to waiting lists should be an NHS workforce and capacity plan, not automatic transfer of core diagnostic functions, records or public funds to private companies. Each ICB should maintain a public pathway capable of accepting and owning the referral. Independent provision may supplement that pathway only where the commissioner publishes an evidence based public interest case covering unmet need, alternatives considered, total lifecycle cost, workforce displacement, quality, patient choice, data return, continuity on exit and how capacity will be rebuilt or retained within the NHS.</w:t>
      </w:r>
    </w:p>
    <w:p>
      <w:pPr>
        <w:spacing w:after="140" w:line="269" w:lineRule="auto"/>
      </w:pPr>
      <w:r>
        <w:rPr>
          <w:rFonts w:ascii="Aptos" w:hAnsi="Aptos"/>
        </w:rPr>
        <w:t>Contracts should be time limited and should not confer a presumption of renewal. The NHS remains the pathway owner and data controller or clearly specifies controller responsibilities; retains the original referral and certificate; sets the clinical standard; receives structured records as work occurs; and can transfer care without a new registration. A patient who refuses an independent provider must be offered an NHS route without punitive loss of waiting time, subject only to transparent clinical prioritisation rules.</w:t>
      </w:r>
    </w:p>
    <w:p>
      <w:pPr>
        <w:pStyle w:val="Heading2"/>
        <w:keepNext/>
      </w:pPr>
      <w:r>
        <w:rPr>
          <w:rFonts w:ascii="Aptos" w:hAnsi="Aptos"/>
          <w:b/>
          <w:color w:val="000000"/>
        </w:rPr>
        <w:t>8.8 Qualification, competence and pre-payment assurance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232"/>
            <w:shd w:fill="17365D"/>
            <w:tcMar>
              <w:top w:w="110" w:type="dxa"/>
              <w:start w:w="120" w:type="dxa"/>
              <w:bottom w:w="110" w:type="dxa"/>
              <w:end w:w="120" w:type="dxa"/>
            </w:tcMar>
            <w:vAlign w:val="center"/>
          </w:tcPr>
          <w:p>
            <w:pPr>
              <w:spacing w:after="0"/>
              <w:jc w:val="center"/>
            </w:pPr>
            <w:r>
              <w:rPr>
                <w:rFonts w:ascii="Aptos" w:hAnsi="Aptos"/>
                <w:b/>
                <w:color w:val="FFFFFF"/>
                <w:sz w:val="16"/>
              </w:rPr>
              <w:t>Control point</w:t>
            </w:r>
          </w:p>
        </w:tc>
        <w:tc>
          <w:tcPr>
            <w:tcW w:type="dxa" w:w="7416"/>
            <w:shd w:fill="17365D"/>
            <w:tcMar>
              <w:top w:w="110" w:type="dxa"/>
              <w:start w:w="120" w:type="dxa"/>
              <w:bottom w:w="110" w:type="dxa"/>
              <w:end w:w="120" w:type="dxa"/>
            </w:tcMar>
            <w:vAlign w:val="center"/>
          </w:tcPr>
          <w:p>
            <w:pPr>
              <w:spacing w:after="0"/>
              <w:jc w:val="center"/>
            </w:pPr>
            <w:r>
              <w:rPr>
                <w:rFonts w:ascii="Aptos" w:hAnsi="Aptos"/>
                <w:b/>
                <w:color w:val="FFFFFF"/>
                <w:sz w:val="16"/>
              </w:rPr>
              <w:t>Minimum proof before access or payment</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Provider status</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6"/>
              </w:rPr>
              <w:t>Legal entity, ownership, applicable CQC registration or exemption, insurance, information governance status, safeguarding arrangements and commissioned scope.</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Worker identity</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6"/>
              </w:rPr>
              <w:t>Verified identity, employer or agency, professional register and number where applicable, current status, declared restrictions and conflict checks.</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Scope and competence</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6"/>
              </w:rPr>
              <w:t>Dated role description, tasks performed, training, supervised competence sign off and evidence that work stayed within professional scope.</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Clinical method</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6"/>
              </w:rPr>
              <w:t>Compliance with applicable NICE guidance and contract specification, including required multidisciplinary input, differential diagnosis and quality review.</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Service event</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6"/>
              </w:rPr>
              <w:t>Named worker, pathway key, timestamp, work completed, report or output, necessity for any repeat and patient notification.</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Payment release</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6"/>
              </w:rPr>
              <w:t>Automated and sampled checks passed; exceptions held for human review. Missing credentials, unsupported repeats or absent handover are not payable.</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Continuing assurance</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6"/>
              </w:rPr>
              <w:t>Risk based record sampling, patient reported experience, complaints, outcomes, access logs and annual revalidation of provider and workforce data.</w:t>
            </w:r>
          </w:p>
        </w:tc>
      </w:tr>
    </w:tbl>
    <w:p>
      <w:pPr>
        <w:spacing w:after="20"/>
      </w:pPr>
    </w:p>
    <w:p>
      <w:pPr>
        <w:pStyle w:val="Heading1"/>
        <w:keepNext/>
      </w:pPr>
      <w:r>
        <w:rPr>
          <w:rFonts w:ascii="Aptos" w:hAnsi="Aptos"/>
          <w:b/>
          <w:color w:val="000000"/>
        </w:rPr>
        <w:t>9 Clinical safety and access safeguards</w:t>
      </w:r>
    </w:p>
    <w:p>
      <w:pPr>
        <w:pStyle w:val="Heading2"/>
        <w:keepNext/>
      </w:pPr>
      <w:r>
        <w:rPr>
          <w:rFonts w:ascii="Aptos" w:hAnsi="Aptos"/>
          <w:b/>
          <w:color w:val="000000"/>
        </w:rPr>
        <w:t>9.1 Diagnosis must not be rationed by support</w:t>
      </w:r>
    </w:p>
    <w:p>
      <w:pPr>
        <w:spacing w:after="140" w:line="269" w:lineRule="auto"/>
      </w:pPr>
      <w:r>
        <w:rPr>
          <w:rFonts w:ascii="Aptos" w:hAnsi="Aptos"/>
        </w:rPr>
        <w:t>Needs based support and diagnosis answer different questions. Immediate adjustments can reduce harm, but diagnosis may remain important for clinical formulation, medication, identification of coexisting conditions, informed self understanding, risk management and access to other lawful services. The certificate cannot be used as a reason to remove a person from an accepted diagnostic pathway without an individual clinical decision, written reasons and review.</w:t>
      </w:r>
    </w:p>
    <w:p>
      <w:pPr>
        <w:pStyle w:val="Heading2"/>
        <w:keepNext/>
      </w:pPr>
      <w:r>
        <w:rPr>
          <w:rFonts w:ascii="Aptos" w:hAnsi="Aptos"/>
          <w:b/>
          <w:color w:val="000000"/>
        </w:rPr>
        <w:t>9.2 Differential diagnosis and coexisting conditions</w:t>
      </w:r>
    </w:p>
    <w:p>
      <w:pPr>
        <w:spacing w:after="140" w:line="269" w:lineRule="auto"/>
      </w:pPr>
      <w:r>
        <w:rPr>
          <w:rFonts w:ascii="Aptos" w:hAnsi="Aptos"/>
        </w:rPr>
        <w:t>Initial assessment must include a proportionate check for urgent and treatable alternatives or coexisting conditions. Symptoms must not be automatically attributed to suspected autism or ADHD. Physical illness, sleep disorder, medication effects, trauma, anxiety, depression, learning difficulty, substance use, pain, sensory impairment and safeguarding concerns may require parallel action. The certificate should record the support need without prematurely naming its cause.</w:t>
      </w:r>
    </w:p>
    <w:p>
      <w:pPr>
        <w:pStyle w:val="Heading2"/>
        <w:keepNext/>
      </w:pPr>
      <w:r>
        <w:rPr>
          <w:rFonts w:ascii="Aptos" w:hAnsi="Aptos"/>
          <w:b/>
          <w:color w:val="000000"/>
        </w:rPr>
        <w:t>9.3 Risk escalation</w:t>
      </w:r>
    </w:p>
    <w:p>
      <w:pPr>
        <w:spacing w:after="140" w:line="269" w:lineRule="auto"/>
      </w:pPr>
      <w:r>
        <w:rPr>
          <w:rFonts w:ascii="Aptos" w:hAnsi="Aptos"/>
        </w:rPr>
        <w:t>INAC is never a substitute for urgent clinical care. A prolonged unsupported bottleneck can contribute to deterioration, withdrawal from care, crisis and self harm risk. The workflow must contain immediate routes for suicidality, self harm, severe deterioration, abuse, neglect, exploitation, acute physical symptoms, medication risk and inability to meet essential daily needs. Staff must explain these routes in the person's accessible communication format and must not rely on telephone or video when either is recorded as unsafe or inaccessible.</w:t>
      </w:r>
    </w:p>
    <w:p>
      <w:pPr>
        <w:pStyle w:val="Heading2"/>
        <w:keepNext/>
      </w:pPr>
      <w:r>
        <w:rPr>
          <w:rFonts w:ascii="Aptos" w:hAnsi="Aptos"/>
          <w:b/>
          <w:color w:val="000000"/>
        </w:rPr>
        <w:t>9.4 Administrative harm is a clinical safety issue</w:t>
      </w:r>
    </w:p>
    <w:p>
      <w:pPr>
        <w:spacing w:after="140" w:line="269" w:lineRule="auto"/>
      </w:pPr>
      <w:r>
        <w:rPr>
          <w:rFonts w:ascii="Aptos" w:hAnsi="Aptos"/>
        </w:rPr>
        <w:t>Repeated questioning, inaccessible deadlines, unexplained closure, loss of records and transfer between unfamiliar staff can cause more than inconvenience. For a person with memory impairment, pain, communication disability, trauma or executive function difficulty, they may produce avoidable clinical risk, loss of essential care and profound distress. Safety governance must therefore include administrative events, near misses and cumulative harm. The commissioner remains accountable for safe pathway design even when a contractor delivers the contact.</w:t>
      </w:r>
    </w:p>
    <w:p>
      <w:pPr>
        <w:pStyle w:val="Heading2"/>
        <w:keepNext/>
      </w:pPr>
      <w:r>
        <w:rPr>
          <w:rFonts w:ascii="Aptos" w:hAnsi="Aptos"/>
          <w:b/>
          <w:color w:val="000000"/>
        </w:rPr>
        <w:t>9.5 Safeguards for children and people who need decision support</w:t>
      </w:r>
    </w:p>
    <w:p>
      <w:pPr>
        <w:spacing w:after="140" w:line="269" w:lineRule="auto"/>
      </w:pPr>
      <w:r>
        <w:rPr>
          <w:rFonts w:ascii="Aptos" w:hAnsi="Aptos"/>
        </w:rPr>
        <w:t>Children and young people should be involved according to age, understanding and communication needs. Parental responsibility, consent, confidentiality and safeguarding rules continue to apply. Adults must be supported to make their own decisions wherever possible. A representative or carer should receive information only with consent or another lawful authority, and the person's own preferences must remain visible.</w:t>
      </w:r>
    </w:p>
    <w:p>
      <w:pPr>
        <w:pStyle w:val="Heading1"/>
        <w:keepNext/>
      </w:pPr>
      <w:r>
        <w:rPr>
          <w:rFonts w:ascii="Aptos" w:hAnsi="Aptos"/>
          <w:b/>
          <w:color w:val="000000"/>
        </w:rPr>
        <w:t>10 Information governance and patient control</w:t>
      </w:r>
    </w:p>
    <w:p>
      <w:pPr>
        <w:pStyle w:val="Heading2"/>
        <w:keepNext/>
      </w:pPr>
      <w:r>
        <w:rPr>
          <w:rFonts w:ascii="Aptos" w:hAnsi="Aptos"/>
          <w:b/>
          <w:color w:val="000000"/>
        </w:rPr>
        <w:t>10.1 Data minimisation</w:t>
      </w:r>
    </w:p>
    <w:p>
      <w:pPr>
        <w:spacing w:after="140" w:line="269" w:lineRule="auto"/>
      </w:pPr>
      <w:r>
        <w:rPr>
          <w:rFonts w:ascii="Aptos" w:hAnsi="Aptos"/>
        </w:rPr>
        <w:t>The default certificate should show only information necessary to deliver adjustments and preserve continuity. Diagnostic hypotheses, trauma histories, family details and full clinical notes remain in the appropriate care record. A verifier outside direct care should see only authenticity, validity, issuer and the adjustment fields the person has chosen to disclose.</w:t>
      </w:r>
    </w:p>
    <w:p>
      <w:pPr>
        <w:pStyle w:val="Heading2"/>
        <w:keepNext/>
      </w:pPr>
      <w:r>
        <w:rPr>
          <w:rFonts w:ascii="Aptos" w:hAnsi="Aptos"/>
          <w:b/>
          <w:color w:val="000000"/>
        </w:rPr>
        <w:t>10.2 Lawful processing and transparency</w:t>
      </w:r>
    </w:p>
    <w:p>
      <w:pPr>
        <w:spacing w:after="140" w:line="269" w:lineRule="auto"/>
      </w:pPr>
      <w:r>
        <w:rPr>
          <w:rFonts w:ascii="Aptos" w:hAnsi="Aptos"/>
        </w:rPr>
        <w:t>Before deployment, NHS England and each controller must complete a data protection impact assessment, clinical safety case and equality impact assessment. Privacy information must identify the controller, purpose, legal basis, recipients, retention, correction rights, objection routes and complaint route to the Information Commissioner's Office. Direct care sharing and optional external sharing must not be blurred together.</w:t>
      </w:r>
    </w:p>
    <w:p>
      <w:pPr>
        <w:pStyle w:val="Heading2"/>
        <w:keepNext/>
      </w:pPr>
      <w:r>
        <w:rPr>
          <w:rFonts w:ascii="Aptos" w:hAnsi="Aptos"/>
          <w:b/>
          <w:color w:val="000000"/>
        </w:rPr>
        <w:t>10.3 Patient controls</w:t>
      </w:r>
    </w:p>
    <w:p>
      <w:pPr>
        <w:pStyle w:val="ListBullet"/>
        <w:spacing w:after="80" w:line="259" w:lineRule="auto"/>
      </w:pPr>
      <w:r>
        <w:rPr>
          <w:rFonts w:ascii="Aptos" w:hAnsi="Aptos"/>
        </w:rPr>
        <w:t>choose whether a suspected condition name appears on the patient held or external version;</w:t>
      </w:r>
    </w:p>
    <w:p>
      <w:pPr>
        <w:pStyle w:val="ListBullet"/>
        <w:spacing w:after="80" w:line="259" w:lineRule="auto"/>
      </w:pPr>
      <w:r>
        <w:rPr>
          <w:rFonts w:ascii="Aptos" w:hAnsi="Aptos"/>
        </w:rPr>
        <w:t>see who created and materially changed the certificate;</w:t>
      </w:r>
    </w:p>
    <w:p>
      <w:pPr>
        <w:pStyle w:val="ListBullet"/>
        <w:spacing w:after="80" w:line="259" w:lineRule="auto"/>
      </w:pPr>
      <w:r>
        <w:rPr>
          <w:rFonts w:ascii="Aptos" w:hAnsi="Aptos"/>
        </w:rPr>
        <w:t>request correction and add a patient statement where clinical opinion remains disputed;</w:t>
      </w:r>
    </w:p>
    <w:p>
      <w:pPr>
        <w:pStyle w:val="ListBullet"/>
        <w:spacing w:after="80" w:line="259" w:lineRule="auto"/>
      </w:pPr>
      <w:r>
        <w:rPr>
          <w:rFonts w:ascii="Aptos" w:hAnsi="Aptos"/>
        </w:rPr>
        <w:t>receive an access log for non routine viewing where technically feasible;</w:t>
      </w:r>
    </w:p>
    <w:p>
      <w:pPr>
        <w:pStyle w:val="ListBullet"/>
        <w:spacing w:after="80" w:line="259" w:lineRule="auto"/>
      </w:pPr>
      <w:r>
        <w:rPr>
          <w:rFonts w:ascii="Aptos" w:hAnsi="Aptos"/>
        </w:rPr>
        <w:t>obtain a paper or accessible copy without using a smartphone; and</w:t>
      </w:r>
    </w:p>
    <w:p>
      <w:pPr>
        <w:pStyle w:val="ListBullet"/>
        <w:spacing w:after="80" w:line="259" w:lineRule="auto"/>
      </w:pPr>
      <w:r>
        <w:rPr>
          <w:rFonts w:ascii="Aptos" w:hAnsi="Aptos"/>
        </w:rPr>
        <w:t>withdraw optional sharing without losing NHS care or core reasonable adjustments.</w:t>
      </w:r>
    </w:p>
    <w:p>
      <w:pPr>
        <w:pStyle w:val="Heading2"/>
        <w:keepNext/>
      </w:pPr>
      <w:r>
        <w:rPr>
          <w:rFonts w:ascii="Aptos" w:hAnsi="Aptos"/>
          <w:b/>
          <w:color w:val="000000"/>
        </w:rPr>
        <w:t>10.4 Security</w:t>
      </w:r>
    </w:p>
    <w:p>
      <w:pPr>
        <w:spacing w:after="140" w:line="269" w:lineRule="auto"/>
      </w:pPr>
      <w:r>
        <w:rPr>
          <w:rFonts w:ascii="Aptos" w:hAnsi="Aptos"/>
        </w:rPr>
        <w:t>Use role based access, strong authentication, immutable audit logs, encryption, structured coding and national clinical safety standards. A QR code, if used, must not contain health data or a guessable patient identifier. It should resolve to a short lived verification response and must have a non digital alternative.</w:t>
      </w:r>
    </w:p>
    <w:p>
      <w:pPr>
        <w:pStyle w:val="Heading1"/>
        <w:keepNext/>
      </w:pPr>
      <w:r>
        <w:rPr>
          <w:rFonts w:ascii="Aptos" w:hAnsi="Aptos"/>
          <w:b/>
          <w:color w:val="000000"/>
        </w:rPr>
        <w:t>11 Delivery ownership and accountability</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376"/>
            <w:shd w:fill="17365D"/>
            <w:tcMar>
              <w:top w:w="110" w:type="dxa"/>
              <w:start w:w="120" w:type="dxa"/>
              <w:bottom w:w="110" w:type="dxa"/>
              <w:end w:w="120" w:type="dxa"/>
            </w:tcMar>
            <w:vAlign w:val="center"/>
          </w:tcPr>
          <w:p>
            <w:pPr>
              <w:spacing w:after="0"/>
              <w:jc w:val="center"/>
            </w:pPr>
            <w:r>
              <w:rPr>
                <w:rFonts w:ascii="Aptos" w:hAnsi="Aptos"/>
                <w:b/>
                <w:color w:val="FFFFFF"/>
                <w:sz w:val="17"/>
              </w:rPr>
              <w:t>Body</w:t>
            </w:r>
          </w:p>
        </w:tc>
        <w:tc>
          <w:tcPr>
            <w:tcW w:type="dxa" w:w="7272"/>
            <w:shd w:fill="17365D"/>
            <w:tcMar>
              <w:top w:w="110" w:type="dxa"/>
              <w:start w:w="120" w:type="dxa"/>
              <w:bottom w:w="110" w:type="dxa"/>
              <w:end w:w="120" w:type="dxa"/>
            </w:tcMar>
            <w:vAlign w:val="center"/>
          </w:tcPr>
          <w:p>
            <w:pPr>
              <w:spacing w:after="0"/>
              <w:jc w:val="center"/>
            </w:pPr>
            <w:r>
              <w:rPr>
                <w:rFonts w:ascii="Aptos" w:hAnsi="Aptos"/>
                <w:b/>
                <w:color w:val="FFFFFF"/>
                <w:sz w:val="17"/>
              </w:rPr>
              <w:t>Core responsibility</w:t>
            </w:r>
          </w:p>
        </w:tc>
      </w:tr>
      <w:tr>
        <w:trPr>
          <w:cantSplit/>
        </w:trPr>
        <w:tc>
          <w:tcPr>
            <w:tcW w:type="dxa" w:w="2376"/>
            <w:tcMar>
              <w:top w:w="110" w:type="dxa"/>
              <w:start w:w="120" w:type="dxa"/>
              <w:bottom w:w="110" w:type="dxa"/>
              <w:end w:w="120" w:type="dxa"/>
            </w:tcMar>
            <w:vAlign w:val="center"/>
          </w:tcPr>
          <w:p>
            <w:pPr>
              <w:spacing w:after="0" w:line="247" w:lineRule="auto"/>
              <w:jc w:val="left"/>
            </w:pPr>
            <w:r>
              <w:rPr>
                <w:rFonts w:ascii="Aptos" w:hAnsi="Aptos"/>
                <w:sz w:val="17"/>
              </w:rPr>
              <w:t>Department of Health and Social Care</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Policy sponsorship, legislation, national funding decision and cross government agreement.</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7"/>
              </w:rPr>
              <w:t>NHS England</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Information standard, clinical policy, digital specification, national contract requirements and performance publication.</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7"/>
              </w:rPr>
              <w:t>Integrated care boards</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Local commissioning, named pathway owner, provider assurance, continuity, patient navigation and financial recovery.</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7"/>
              </w:rPr>
              <w:t>GP and initial assessment services</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Proportionate functional review, issue or reasoned refusal, urgent care and accurate referral.</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7"/>
              </w:rPr>
              <w:t>NHS and independent providers</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Deliver adjustments, preserve pathway history, complete safe assessment and provide structured handover.</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7"/>
              </w:rPr>
              <w:t>Care Quality Commission</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Use existing regulatory powers where applicable and share systemic quality concerns with commissioners.</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7"/>
              </w:rPr>
              <w:t>Professional regulators</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Address individual professional conduct or competence within their statutory remit.</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7"/>
              </w:rPr>
              <w:t>NHS Counter Fraud Authority</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Support prevention, intelligence and investigation where evidence indicates suspected fraud or corruption.</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7"/>
              </w:rPr>
              <w:t>Information Commissioner</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Independent data protection regulation and complaint route.</w:t>
            </w:r>
          </w:p>
        </w:tc>
      </w:tr>
      <w:tr>
        <w:trPr>
          <w:cantSplit/>
        </w:trPr>
        <w:tc>
          <w:tcPr>
            <w:tcW w:type="dxa" w:w="2376"/>
            <w:tcMar>
              <w:top w:w="110" w:type="dxa"/>
              <w:start w:w="120" w:type="dxa"/>
              <w:bottom w:w="110" w:type="dxa"/>
              <w:end w:w="120" w:type="dxa"/>
            </w:tcMar>
            <w:vAlign w:val="center"/>
            <w:shd w:fill="F3F5F7"/>
          </w:tcPr>
          <w:p>
            <w:pPr>
              <w:spacing w:after="0" w:line="247" w:lineRule="auto"/>
              <w:jc w:val="left"/>
            </w:pPr>
            <w:r>
              <w:rPr>
                <w:rFonts w:ascii="Aptos" w:hAnsi="Aptos"/>
                <w:sz w:val="17"/>
              </w:rPr>
              <w:t>Equality and Human Rights Commission</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Equality expertise, strategic monitoring and enforcement within its remit.</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7"/>
              </w:rPr>
              <w:t>Independent evaluation partner</w:t>
            </w:r>
          </w:p>
        </w:tc>
        <w:tc>
          <w:tcPr>
            <w:tcW w:type="dxa" w:w="7272"/>
            <w:tcMar>
              <w:top w:w="110" w:type="dxa"/>
              <w:start w:w="120" w:type="dxa"/>
              <w:bottom w:w="110" w:type="dxa"/>
              <w:end w:w="120" w:type="dxa"/>
            </w:tcMar>
            <w:vAlign w:val="center"/>
          </w:tcPr>
          <w:p>
            <w:pPr>
              <w:spacing w:after="0" w:line="247" w:lineRule="auto"/>
              <w:jc w:val="left"/>
            </w:pPr>
            <w:r>
              <w:rPr>
                <w:rFonts w:ascii="Aptos" w:hAnsi="Aptos"/>
                <w:sz w:val="17"/>
              </w:rPr>
              <w:t>Publish methods, outcomes, costs, distributional effects and limitations.</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7"/>
              </w:rPr>
              <w:t>Lived experience board</w:t>
            </w:r>
          </w:p>
        </w:tc>
        <w:tc>
          <w:tcPr>
            <w:tcW w:type="dxa" w:w="7272"/>
            <w:tcMar>
              <w:top w:w="110" w:type="dxa"/>
              <w:start w:w="120" w:type="dxa"/>
              <w:bottom w:w="110" w:type="dxa"/>
              <w:end w:w="120" w:type="dxa"/>
            </w:tcMar>
            <w:vAlign w:val="center"/>
            <w:shd w:fill="F3F5F7"/>
          </w:tcPr>
          <w:p>
            <w:pPr>
              <w:spacing w:after="0" w:line="247" w:lineRule="auto"/>
              <w:jc w:val="left"/>
            </w:pPr>
            <w:r>
              <w:rPr>
                <w:rFonts w:ascii="Aptos" w:hAnsi="Aptos"/>
                <w:sz w:val="17"/>
              </w:rPr>
              <w:t>Co design, accessibility testing, oversight of harms and power to publish a dissenting report.</w:t>
            </w:r>
          </w:p>
        </w:tc>
      </w:tr>
    </w:tbl>
    <w:p>
      <w:pPr>
        <w:spacing w:after="20"/>
      </w:pPr>
    </w:p>
    <w:p>
      <w:pPr>
        <w:pStyle w:val="Heading2"/>
        <w:keepNext/>
      </w:pPr>
      <w:r>
        <w:rPr>
          <w:rFonts w:ascii="Aptos" w:hAnsi="Aptos"/>
          <w:b/>
          <w:color w:val="000000"/>
        </w:rPr>
        <w:t>11.1 Accountability to the person</w:t>
      </w:r>
    </w:p>
    <w:p>
      <w:pPr>
        <w:spacing w:after="140" w:line="269" w:lineRule="auto"/>
      </w:pPr>
      <w:r>
        <w:rPr>
          <w:rFonts w:ascii="Aptos" w:hAnsi="Aptos"/>
        </w:rPr>
        <w:t>Every certificate must name the organisation responsible for the next action and a written route for help. The person should not have to identify which contractor or commissioner caused the failure before asking for correction. A single front door should route the matter internally and preserve the date of the original complaint or request.</w:t>
      </w:r>
    </w:p>
    <w:p>
      <w:pPr>
        <w:spacing w:after="140" w:line="269" w:lineRule="auto"/>
      </w:pPr>
      <w:r>
        <w:rPr>
          <w:rFonts w:ascii="Aptos" w:hAnsi="Aptos"/>
        </w:rPr>
        <w:t>Commissioning does not outsource the public duty of accountability. The ICB must be able to identify every organisation and worker involved, explain the lawful basis and funding route, obtain the complete record, remedy provider failure and answer the patient in writing. A commercial chain must never become a barrier to correction, safeguarding or continuing NHS care.</w:t>
      </w:r>
    </w:p>
    <w:p>
      <w:pPr>
        <w:pStyle w:val="Heading1"/>
        <w:keepNext/>
      </w:pPr>
      <w:r>
        <w:rPr>
          <w:rFonts w:ascii="Aptos" w:hAnsi="Aptos"/>
          <w:b/>
          <w:color w:val="000000"/>
        </w:rPr>
        <w:t>12 Financial case and evaluation</w:t>
      </w:r>
    </w:p>
    <w:p>
      <w:pPr>
        <w:pStyle w:val="Heading2"/>
        <w:keepNext/>
      </w:pPr>
      <w:r>
        <w:rPr>
          <w:rFonts w:ascii="Aptos" w:hAnsi="Aptos"/>
          <w:b/>
          <w:color w:val="000000"/>
        </w:rPr>
        <w:t>12.1 Financial proposition</w:t>
      </w:r>
    </w:p>
    <w:p>
      <w:pPr>
        <w:spacing w:after="140" w:line="269" w:lineRule="auto"/>
      </w:pPr>
      <w:r>
        <w:rPr>
          <w:rFonts w:ascii="Aptos" w:hAnsi="Aptos"/>
        </w:rPr>
        <w:t>INAC should be treated as a spend to save and harm prevention intervention, but national savings must not be asserted before baseline data and independent evaluation exist. The principal economic mechanism is substitution: a short, reusable initial needs assessment and one pathway record replace repeated intake, repeated evidence gathering, preventable failed contacts, avoidable complaints and unnecessary transfer work.</w:t>
      </w:r>
    </w:p>
    <w:p>
      <w:pPr>
        <w:pStyle w:val="Heading2"/>
        <w:keepNext/>
      </w:pPr>
      <w:r>
        <w:rPr>
          <w:rFonts w:ascii="Aptos" w:hAnsi="Aptos"/>
          <w:b/>
          <w:color w:val="000000"/>
        </w:rPr>
        <w:t>12.2 Cost model</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2232"/>
            <w:shd w:fill="17365D"/>
            <w:tcMar>
              <w:top w:w="110" w:type="dxa"/>
              <w:start w:w="120" w:type="dxa"/>
              <w:bottom w:w="110" w:type="dxa"/>
              <w:end w:w="120" w:type="dxa"/>
            </w:tcMar>
            <w:vAlign w:val="center"/>
          </w:tcPr>
          <w:p>
            <w:pPr>
              <w:spacing w:after="0"/>
              <w:jc w:val="center"/>
            </w:pPr>
            <w:r>
              <w:rPr>
                <w:rFonts w:ascii="Aptos" w:hAnsi="Aptos"/>
                <w:b/>
                <w:color w:val="FFFFFF"/>
                <w:sz w:val="16"/>
              </w:rPr>
              <w:t>Cost or benefit</w:t>
            </w:r>
          </w:p>
        </w:tc>
        <w:tc>
          <w:tcPr>
            <w:tcW w:type="dxa" w:w="4752"/>
            <w:shd w:fill="17365D"/>
            <w:tcMar>
              <w:top w:w="110" w:type="dxa"/>
              <w:start w:w="120" w:type="dxa"/>
              <w:bottom w:w="110" w:type="dxa"/>
              <w:end w:w="120" w:type="dxa"/>
            </w:tcMar>
            <w:vAlign w:val="center"/>
          </w:tcPr>
          <w:p>
            <w:pPr>
              <w:spacing w:after="0"/>
              <w:jc w:val="center"/>
            </w:pPr>
            <w:r>
              <w:rPr>
                <w:rFonts w:ascii="Aptos" w:hAnsi="Aptos"/>
                <w:b/>
                <w:color w:val="FFFFFF"/>
                <w:sz w:val="16"/>
              </w:rPr>
              <w:t>Measurement formula</w:t>
            </w:r>
          </w:p>
        </w:tc>
        <w:tc>
          <w:tcPr>
            <w:tcW w:type="dxa" w:w="2664"/>
            <w:shd w:fill="17365D"/>
            <w:tcMar>
              <w:top w:w="110" w:type="dxa"/>
              <w:start w:w="120" w:type="dxa"/>
              <w:bottom w:w="110" w:type="dxa"/>
              <w:end w:w="120" w:type="dxa"/>
            </w:tcMar>
            <w:vAlign w:val="center"/>
          </w:tcPr>
          <w:p>
            <w:pPr>
              <w:spacing w:after="0"/>
              <w:jc w:val="center"/>
            </w:pPr>
            <w:r>
              <w:rPr>
                <w:rFonts w:ascii="Aptos" w:hAnsi="Aptos"/>
                <w:b/>
                <w:color w:val="FFFFFF"/>
                <w:sz w:val="16"/>
              </w:rPr>
              <w:t>Data source</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Certificate issue cost</w:t>
            </w:r>
          </w:p>
        </w:tc>
        <w:tc>
          <w:tcPr>
            <w:tcW w:type="dxa" w:w="4752"/>
            <w:tcMar>
              <w:top w:w="110" w:type="dxa"/>
              <w:start w:w="120" w:type="dxa"/>
              <w:bottom w:w="110" w:type="dxa"/>
              <w:end w:w="120" w:type="dxa"/>
            </w:tcMar>
            <w:vAlign w:val="center"/>
          </w:tcPr>
          <w:p>
            <w:pPr>
              <w:spacing w:after="0" w:line="247" w:lineRule="auto"/>
              <w:jc w:val="left"/>
            </w:pPr>
            <w:r>
              <w:rPr>
                <w:rFonts w:ascii="Aptos" w:hAnsi="Aptos"/>
                <w:sz w:val="16"/>
              </w:rPr>
              <w:t>Number issued multiplied by clinician and administration time at recognised unit cost.</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Pilot time study and national unit costs.</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Digital build and operation</w:t>
            </w:r>
          </w:p>
        </w:tc>
        <w:tc>
          <w:tcPr>
            <w:tcW w:type="dxa" w:w="4752"/>
            <w:tcMar>
              <w:top w:w="110" w:type="dxa"/>
              <w:start w:w="120" w:type="dxa"/>
              <w:bottom w:w="110" w:type="dxa"/>
              <w:end w:w="120" w:type="dxa"/>
            </w:tcMar>
            <w:vAlign w:val="center"/>
            <w:shd w:fill="F3F5F7"/>
          </w:tcPr>
          <w:p>
            <w:pPr>
              <w:spacing w:after="0" w:line="247" w:lineRule="auto"/>
              <w:jc w:val="left"/>
            </w:pPr>
            <w:r>
              <w:rPr>
                <w:rFonts w:ascii="Aptos" w:hAnsi="Aptos"/>
                <w:sz w:val="16"/>
              </w:rPr>
              <w:t>Incremental change to digital flag, referral integration, verification and support.</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Programme accounts and supplier contracts.</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Training</w:t>
            </w:r>
          </w:p>
        </w:tc>
        <w:tc>
          <w:tcPr>
            <w:tcW w:type="dxa" w:w="4752"/>
            <w:tcMar>
              <w:top w:w="110" w:type="dxa"/>
              <w:start w:w="120" w:type="dxa"/>
              <w:bottom w:w="110" w:type="dxa"/>
              <w:end w:w="120" w:type="dxa"/>
            </w:tcMar>
            <w:vAlign w:val="center"/>
          </w:tcPr>
          <w:p>
            <w:pPr>
              <w:spacing w:after="0" w:line="247" w:lineRule="auto"/>
              <w:jc w:val="left"/>
            </w:pPr>
            <w:r>
              <w:rPr>
                <w:rFonts w:ascii="Aptos" w:hAnsi="Aptos"/>
                <w:sz w:val="16"/>
              </w:rPr>
              <w:t>Staff trained multiplied by training and backfill cost.</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Provider returns.</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Avoided duplicate intake</w:t>
            </w:r>
          </w:p>
        </w:tc>
        <w:tc>
          <w:tcPr>
            <w:tcW w:type="dxa" w:w="4752"/>
            <w:tcMar>
              <w:top w:w="110" w:type="dxa"/>
              <w:start w:w="120" w:type="dxa"/>
              <w:bottom w:w="110" w:type="dxa"/>
              <w:end w:w="120" w:type="dxa"/>
            </w:tcMar>
            <w:vAlign w:val="center"/>
            <w:shd w:fill="F3F5F7"/>
          </w:tcPr>
          <w:p>
            <w:pPr>
              <w:spacing w:after="0" w:line="247" w:lineRule="auto"/>
              <w:jc w:val="left"/>
            </w:pPr>
            <w:r>
              <w:rPr>
                <w:rFonts w:ascii="Aptos" w:hAnsi="Aptos"/>
                <w:sz w:val="16"/>
              </w:rPr>
              <w:t>Reduction in repeated non clinical registrations and questionnaires multiplied by verified event cost.</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Pathway ledger and contract claims.</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Avoided repeat assessment</w:t>
            </w:r>
          </w:p>
        </w:tc>
        <w:tc>
          <w:tcPr>
            <w:tcW w:type="dxa" w:w="4752"/>
            <w:tcMar>
              <w:top w:w="110" w:type="dxa"/>
              <w:start w:w="120" w:type="dxa"/>
              <w:bottom w:w="110" w:type="dxa"/>
              <w:end w:w="120" w:type="dxa"/>
            </w:tcMar>
            <w:vAlign w:val="center"/>
          </w:tcPr>
          <w:p>
            <w:pPr>
              <w:spacing w:after="0" w:line="247" w:lineRule="auto"/>
              <w:jc w:val="left"/>
            </w:pPr>
            <w:r>
              <w:rPr>
                <w:rFonts w:ascii="Aptos" w:hAnsi="Aptos"/>
                <w:sz w:val="16"/>
              </w:rPr>
              <w:t>Reduction in clinically unnecessary repeated components multiplied by unit cost.</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Clinical audit and claims.</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Reduced failed contact</w:t>
            </w:r>
          </w:p>
        </w:tc>
        <w:tc>
          <w:tcPr>
            <w:tcW w:type="dxa" w:w="4752"/>
            <w:tcMar>
              <w:top w:w="110" w:type="dxa"/>
              <w:start w:w="120" w:type="dxa"/>
              <w:bottom w:w="110" w:type="dxa"/>
              <w:end w:w="120" w:type="dxa"/>
            </w:tcMar>
            <w:vAlign w:val="center"/>
            <w:shd w:fill="F3F5F7"/>
          </w:tcPr>
          <w:p>
            <w:pPr>
              <w:spacing w:after="0" w:line="247" w:lineRule="auto"/>
              <w:jc w:val="left"/>
            </w:pPr>
            <w:r>
              <w:rPr>
                <w:rFonts w:ascii="Aptos" w:hAnsi="Aptos"/>
                <w:sz w:val="16"/>
              </w:rPr>
              <w:t>Change in did not attend, inaccessible contact and administrative closure rates multiplied by pathway cost.</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Provider event data.</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Complaints and redress</w:t>
            </w:r>
          </w:p>
        </w:tc>
        <w:tc>
          <w:tcPr>
            <w:tcW w:type="dxa" w:w="4752"/>
            <w:tcMar>
              <w:top w:w="110" w:type="dxa"/>
              <w:start w:w="120" w:type="dxa"/>
              <w:bottom w:w="110" w:type="dxa"/>
              <w:end w:w="120" w:type="dxa"/>
            </w:tcMar>
            <w:vAlign w:val="center"/>
          </w:tcPr>
          <w:p>
            <w:pPr>
              <w:spacing w:after="0" w:line="247" w:lineRule="auto"/>
              <w:jc w:val="left"/>
            </w:pPr>
            <w:r>
              <w:rPr>
                <w:rFonts w:ascii="Aptos" w:hAnsi="Aptos"/>
                <w:sz w:val="16"/>
              </w:rPr>
              <w:t>Change in complaint volume, handling time, remedies and legal expenditure.</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Provider, ICB and ombudsman data.</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6"/>
              </w:rPr>
              <w:t>Health utilisation</w:t>
            </w:r>
          </w:p>
        </w:tc>
        <w:tc>
          <w:tcPr>
            <w:tcW w:type="dxa" w:w="4752"/>
            <w:tcMar>
              <w:top w:w="110" w:type="dxa"/>
              <w:start w:w="120" w:type="dxa"/>
              <w:bottom w:w="110" w:type="dxa"/>
              <w:end w:w="120" w:type="dxa"/>
            </w:tcMar>
            <w:vAlign w:val="center"/>
            <w:shd w:fill="F3F5F7"/>
          </w:tcPr>
          <w:p>
            <w:pPr>
              <w:spacing w:after="0" w:line="247" w:lineRule="auto"/>
              <w:jc w:val="left"/>
            </w:pPr>
            <w:r>
              <w:rPr>
                <w:rFonts w:ascii="Aptos" w:hAnsi="Aptos"/>
                <w:sz w:val="16"/>
              </w:rPr>
              <w:t>Difference in urgent, crisis and routine use, adjusted for case mix and secular change.</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Linked NHS activity data.</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6"/>
              </w:rPr>
              <w:t>Household cost</w:t>
            </w:r>
          </w:p>
        </w:tc>
        <w:tc>
          <w:tcPr>
            <w:tcW w:type="dxa" w:w="4752"/>
            <w:tcMar>
              <w:top w:w="110" w:type="dxa"/>
              <w:start w:w="120" w:type="dxa"/>
              <w:bottom w:w="110" w:type="dxa"/>
              <w:end w:w="120" w:type="dxa"/>
            </w:tcMar>
            <w:vAlign w:val="center"/>
          </w:tcPr>
          <w:p>
            <w:pPr>
              <w:spacing w:after="0" w:line="247" w:lineRule="auto"/>
              <w:jc w:val="left"/>
            </w:pPr>
            <w:r>
              <w:rPr>
                <w:rFonts w:ascii="Aptos" w:hAnsi="Aptos"/>
                <w:sz w:val="16"/>
              </w:rPr>
              <w:t>Change in private assessment spending, travel, lost time and repeated document acquisition.</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Consented patient survey.</w:t>
            </w:r>
          </w:p>
        </w:tc>
      </w:tr>
    </w:tbl>
    <w:p>
      <w:pPr>
        <w:spacing w:after="20"/>
      </w:pPr>
    </w:p>
    <w:p>
      <w:pPr>
        <w:pStyle w:val="Heading2"/>
        <w:keepNext/>
      </w:pPr>
      <w:r>
        <w:rPr>
          <w:rFonts w:ascii="Aptos" w:hAnsi="Aptos"/>
          <w:b/>
          <w:color w:val="000000"/>
        </w:rPr>
        <w:t>12.3 Payment design</w:t>
      </w:r>
    </w:p>
    <w:p>
      <w:pPr>
        <w:spacing w:after="140" w:line="269" w:lineRule="auto"/>
      </w:pPr>
      <w:r>
        <w:rPr>
          <w:rFonts w:ascii="Aptos" w:hAnsi="Aptos"/>
        </w:rPr>
        <w:t>Provider payment should be outcome neutral and tied to verified work, safe completion and handover. It must not reward a positive diagnosis, a negative diagnosis or rapid discharge. No payment should be released where the responsible worker's identity, employment, registration where applicable, scope or completed output cannot be verified. Commissioners should publish the schedule of billable events, duplicate exclusions and recovery rules. Commercial confidentiality should not prevent publication of aggregate prices, completion rates, complaints, transfers, provider exits, qualification exceptions and audit findings.</w:t>
      </w:r>
    </w:p>
    <w:p>
      <w:pPr>
        <w:spacing w:after="140" w:line="269" w:lineRule="auto"/>
      </w:pPr>
      <w:r>
        <w:rPr>
          <w:rFonts w:ascii="Aptos" w:hAnsi="Aptos"/>
        </w:rPr>
        <w:t>The financial comparison must include the full counterfactual: investment in permanent NHS staff, training, estates and digital capacity; contract management and transition cost; repeat work after unusable reports; prescribing and shared care consequences; provider failure; complaints and harm. A lower headline private unit price is not value for money if it weakens continuity, removes public capability or creates costs elsewhere.</w:t>
      </w:r>
    </w:p>
    <w:p>
      <w:pPr>
        <w:pStyle w:val="Heading2"/>
        <w:keepNext/>
      </w:pPr>
      <w:r>
        <w:rPr>
          <w:rFonts w:ascii="Aptos" w:hAnsi="Aptos"/>
          <w:b/>
          <w:color w:val="000000"/>
        </w:rPr>
        <w:t>12.4 Evaluation questions</w:t>
      </w:r>
    </w:p>
    <w:p>
      <w:pPr>
        <w:pStyle w:val="ListBullet"/>
        <w:spacing w:after="80" w:line="259" w:lineRule="auto"/>
      </w:pPr>
      <w:r>
        <w:rPr>
          <w:rFonts w:ascii="Aptos" w:hAnsi="Aptos"/>
        </w:rPr>
        <w:t>Does the certificate reduce time from first request to delivery of practical adjustments?</w:t>
      </w:r>
    </w:p>
    <w:p>
      <w:pPr>
        <w:pStyle w:val="ListBullet"/>
        <w:spacing w:after="80" w:line="259" w:lineRule="auto"/>
      </w:pPr>
      <w:r>
        <w:rPr>
          <w:rFonts w:ascii="Aptos" w:hAnsi="Aptos"/>
        </w:rPr>
        <w:t>Does it reduce duplicate registrations, repeated intake, provider caused closures and loss of original waiting dates?</w:t>
      </w:r>
    </w:p>
    <w:p>
      <w:pPr>
        <w:pStyle w:val="ListBullet"/>
        <w:spacing w:after="80" w:line="259" w:lineRule="auto"/>
      </w:pPr>
      <w:r>
        <w:rPr>
          <w:rFonts w:ascii="Aptos" w:hAnsi="Aptos"/>
        </w:rPr>
        <w:t>Are diagnosis rates, assessment quality and access to clinically necessary diagnosis maintained across demographic and socioeconomic groups?</w:t>
      </w:r>
    </w:p>
    <w:p>
      <w:pPr>
        <w:pStyle w:val="ListBullet"/>
        <w:spacing w:after="80" w:line="259" w:lineRule="auto"/>
      </w:pPr>
      <w:r>
        <w:rPr>
          <w:rFonts w:ascii="Aptos" w:hAnsi="Aptos"/>
        </w:rPr>
        <w:t>Do urgent care, crisis, complaint and private self funding patterns change?</w:t>
      </w:r>
    </w:p>
    <w:p>
      <w:pPr>
        <w:pStyle w:val="ListBullet"/>
        <w:spacing w:after="80" w:line="259" w:lineRule="auto"/>
      </w:pPr>
      <w:r>
        <w:rPr>
          <w:rFonts w:ascii="Aptos" w:hAnsi="Aptos"/>
        </w:rPr>
        <w:t>What are gross costs, cash releasing savings, cost avoidance and household financial effects?</w:t>
      </w:r>
    </w:p>
    <w:p>
      <w:pPr>
        <w:pStyle w:val="ListBullet"/>
        <w:spacing w:after="80" w:line="259" w:lineRule="auto"/>
      </w:pPr>
      <w:r>
        <w:rPr>
          <w:rFonts w:ascii="Aptos" w:hAnsi="Aptos"/>
        </w:rPr>
        <w:t>Do people understand the certificate and report greater control, safety and trust?</w:t>
      </w:r>
    </w:p>
    <w:p>
      <w:pPr>
        <w:pStyle w:val="ListBullet"/>
        <w:spacing w:after="80" w:line="259" w:lineRule="auto"/>
      </w:pPr>
      <w:r>
        <w:rPr>
          <w:rFonts w:ascii="Aptos" w:hAnsi="Aptos"/>
        </w:rPr>
        <w:t>Are any groups less likely to receive, use or benefit from a certificate?</w:t>
      </w:r>
    </w:p>
    <w:p>
      <w:pPr>
        <w:pStyle w:val="Heading2"/>
        <w:keepNext/>
      </w:pPr>
      <w:r>
        <w:rPr>
          <w:rFonts w:ascii="Aptos" w:hAnsi="Aptos"/>
          <w:b/>
          <w:color w:val="000000"/>
        </w:rPr>
        <w:t>12.5 Evaluation method</w:t>
      </w:r>
    </w:p>
    <w:p>
      <w:pPr>
        <w:spacing w:after="140" w:line="269" w:lineRule="auto"/>
      </w:pPr>
      <w:r>
        <w:rPr>
          <w:rFonts w:ascii="Aptos" w:hAnsi="Aptos"/>
        </w:rPr>
        <w:t>Use a pre registered mixed methods evaluation with phased implementation, matched comparison areas where feasible, independent qualitative work and subgroup analysis. Publish the protocol before outcomes are known. Report unintended consequences, including any fall in access to full diagnosis, increased GP workload, inappropriate disclosure or employer misuse. National rollout should require evidence that benefits are real and not produced by simply moving cost or unmet need elsewhere.</w:t>
      </w:r>
    </w:p>
    <w:p>
      <w:pPr>
        <w:pStyle w:val="Heading1"/>
        <w:keepNext/>
      </w:pPr>
      <w:r>
        <w:rPr>
          <w:rFonts w:ascii="Aptos" w:hAnsi="Aptos"/>
          <w:b/>
          <w:color w:val="000000"/>
        </w:rPr>
        <w:t>13 Implementation plan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cantSplit/>
        </w:trPr>
        <w:tc>
          <w:tcPr>
            <w:tcW w:type="dxa" w:w="1296"/>
            <w:shd w:fill="17365D"/>
            <w:tcMar>
              <w:top w:w="110" w:type="dxa"/>
              <w:start w:w="120" w:type="dxa"/>
              <w:bottom w:w="110" w:type="dxa"/>
              <w:end w:w="120" w:type="dxa"/>
            </w:tcMar>
            <w:vAlign w:val="center"/>
          </w:tcPr>
          <w:p>
            <w:pPr>
              <w:spacing w:after="0"/>
              <w:jc w:val="center"/>
            </w:pPr>
            <w:r>
              <w:rPr>
                <w:rFonts w:ascii="Aptos" w:hAnsi="Aptos"/>
                <w:b/>
                <w:color w:val="FFFFFF"/>
                <w:sz w:val="17"/>
              </w:rPr>
              <w:t>Phase</w:t>
            </w:r>
          </w:p>
        </w:tc>
        <w:tc>
          <w:tcPr>
            <w:tcW w:type="dxa" w:w="1512"/>
            <w:shd w:fill="17365D"/>
            <w:tcMar>
              <w:top w:w="110" w:type="dxa"/>
              <w:start w:w="120" w:type="dxa"/>
              <w:bottom w:w="110" w:type="dxa"/>
              <w:end w:w="120" w:type="dxa"/>
            </w:tcMar>
            <w:vAlign w:val="center"/>
          </w:tcPr>
          <w:p>
            <w:pPr>
              <w:spacing w:after="0"/>
              <w:jc w:val="center"/>
            </w:pPr>
            <w:r>
              <w:rPr>
                <w:rFonts w:ascii="Aptos" w:hAnsi="Aptos"/>
                <w:b/>
                <w:color w:val="FFFFFF"/>
                <w:sz w:val="17"/>
              </w:rPr>
              <w:t>Timing</w:t>
            </w:r>
          </w:p>
        </w:tc>
        <w:tc>
          <w:tcPr>
            <w:tcW w:type="dxa" w:w="5256"/>
            <w:shd w:fill="17365D"/>
            <w:tcMar>
              <w:top w:w="110" w:type="dxa"/>
              <w:start w:w="120" w:type="dxa"/>
              <w:bottom w:w="110" w:type="dxa"/>
              <w:end w:w="120" w:type="dxa"/>
            </w:tcMar>
            <w:vAlign w:val="center"/>
          </w:tcPr>
          <w:p>
            <w:pPr>
              <w:spacing w:after="0"/>
              <w:jc w:val="center"/>
            </w:pPr>
            <w:r>
              <w:rPr>
                <w:rFonts w:ascii="Aptos" w:hAnsi="Aptos"/>
                <w:b/>
                <w:color w:val="FFFFFF"/>
                <w:sz w:val="17"/>
              </w:rPr>
              <w:t>Deliverables</w:t>
            </w:r>
          </w:p>
        </w:tc>
        <w:tc>
          <w:tcPr>
            <w:tcW w:type="dxa" w:w="1584"/>
            <w:shd w:fill="17365D"/>
            <w:tcMar>
              <w:top w:w="110" w:type="dxa"/>
              <w:start w:w="120" w:type="dxa"/>
              <w:bottom w:w="110" w:type="dxa"/>
              <w:end w:w="120" w:type="dxa"/>
            </w:tcMar>
            <w:vAlign w:val="center"/>
          </w:tcPr>
          <w:p>
            <w:pPr>
              <w:spacing w:after="0"/>
              <w:jc w:val="center"/>
            </w:pPr>
            <w:r>
              <w:rPr>
                <w:rFonts w:ascii="Aptos" w:hAnsi="Aptos"/>
                <w:b/>
                <w:color w:val="FFFFFF"/>
                <w:sz w:val="17"/>
              </w:rPr>
              <w:t>Decision gate</w:t>
            </w:r>
          </w:p>
        </w:tc>
      </w:tr>
      <w:tr>
        <w:trPr>
          <w:cantSplit/>
        </w:trPr>
        <w:tc>
          <w:tcPr>
            <w:tcW w:type="dxa" w:w="1296"/>
            <w:tcMar>
              <w:top w:w="110" w:type="dxa"/>
              <w:start w:w="120" w:type="dxa"/>
              <w:bottom w:w="110" w:type="dxa"/>
              <w:end w:w="120" w:type="dxa"/>
            </w:tcMar>
            <w:vAlign w:val="center"/>
          </w:tcPr>
          <w:p>
            <w:pPr>
              <w:spacing w:after="0" w:line="247" w:lineRule="auto"/>
              <w:jc w:val="center"/>
            </w:pPr>
            <w:r>
              <w:rPr>
                <w:rFonts w:ascii="Aptos" w:hAnsi="Aptos"/>
                <w:sz w:val="17"/>
              </w:rPr>
              <w:t>Design</w:t>
            </w:r>
          </w:p>
        </w:tc>
        <w:tc>
          <w:tcPr>
            <w:tcW w:type="dxa" w:w="1512"/>
            <w:tcMar>
              <w:top w:w="110" w:type="dxa"/>
              <w:start w:w="120" w:type="dxa"/>
              <w:bottom w:w="110" w:type="dxa"/>
              <w:end w:w="120" w:type="dxa"/>
            </w:tcMar>
            <w:vAlign w:val="center"/>
          </w:tcPr>
          <w:p>
            <w:pPr>
              <w:spacing w:after="0" w:line="247" w:lineRule="auto"/>
              <w:jc w:val="left"/>
            </w:pPr>
            <w:r>
              <w:rPr>
                <w:rFonts w:ascii="Aptos" w:hAnsi="Aptos"/>
                <w:sz w:val="17"/>
              </w:rPr>
              <w:t>Months 0 to 3</w:t>
            </w:r>
          </w:p>
        </w:tc>
        <w:tc>
          <w:tcPr>
            <w:tcW w:type="dxa" w:w="5256"/>
            <w:tcMar>
              <w:top w:w="110" w:type="dxa"/>
              <w:start w:w="120" w:type="dxa"/>
              <w:bottom w:w="110" w:type="dxa"/>
              <w:end w:w="120" w:type="dxa"/>
            </w:tcMar>
            <w:vAlign w:val="center"/>
          </w:tcPr>
          <w:p>
            <w:pPr>
              <w:spacing w:after="0" w:line="247" w:lineRule="auto"/>
              <w:jc w:val="left"/>
            </w:pPr>
            <w:r>
              <w:rPr>
                <w:rFonts w:ascii="Aptos" w:hAnsi="Aptos"/>
                <w:sz w:val="17"/>
              </w:rPr>
              <w:t>Co design, legal analysis, baseline audit, data model, safety case, equality and privacy assessments.</w:t>
            </w:r>
          </w:p>
        </w:tc>
        <w:tc>
          <w:tcPr>
            <w:tcW w:type="dxa" w:w="1584"/>
            <w:tcMar>
              <w:top w:w="110" w:type="dxa"/>
              <w:start w:w="120" w:type="dxa"/>
              <w:bottom w:w="110" w:type="dxa"/>
              <w:end w:w="120" w:type="dxa"/>
            </w:tcMar>
            <w:vAlign w:val="center"/>
          </w:tcPr>
          <w:p>
            <w:pPr>
              <w:spacing w:after="0" w:line="247" w:lineRule="auto"/>
              <w:jc w:val="left"/>
            </w:pPr>
            <w:r>
              <w:rPr>
                <w:rFonts w:ascii="Aptos" w:hAnsi="Aptos"/>
                <w:sz w:val="17"/>
              </w:rPr>
              <w:t>Minimum safeguards approved.</w:t>
            </w:r>
          </w:p>
        </w:tc>
      </w:tr>
      <w:tr>
        <w:trPr>
          <w:cantSplit/>
        </w:trPr>
        <w:tc>
          <w:tcPr>
            <w:tcW w:type="dxa" w:w="1296"/>
            <w:tcMar>
              <w:top w:w="110" w:type="dxa"/>
              <w:start w:w="120" w:type="dxa"/>
              <w:bottom w:w="110" w:type="dxa"/>
              <w:end w:w="120" w:type="dxa"/>
            </w:tcMar>
            <w:vAlign w:val="center"/>
            <w:shd w:fill="F3F5F7"/>
          </w:tcPr>
          <w:p>
            <w:pPr>
              <w:spacing w:after="0" w:line="247" w:lineRule="auto"/>
              <w:jc w:val="center"/>
            </w:pPr>
            <w:r>
              <w:rPr>
                <w:rFonts w:ascii="Aptos" w:hAnsi="Aptos"/>
                <w:sz w:val="17"/>
              </w:rPr>
              <w:t>Build</w:t>
            </w:r>
          </w:p>
        </w:tc>
        <w:tc>
          <w:tcPr>
            <w:tcW w:type="dxa" w:w="1512"/>
            <w:tcMar>
              <w:top w:w="110" w:type="dxa"/>
              <w:start w:w="120" w:type="dxa"/>
              <w:bottom w:w="110" w:type="dxa"/>
              <w:end w:w="120" w:type="dxa"/>
            </w:tcMar>
            <w:vAlign w:val="center"/>
            <w:shd w:fill="F3F5F7"/>
          </w:tcPr>
          <w:p>
            <w:pPr>
              <w:spacing w:after="0" w:line="247" w:lineRule="auto"/>
              <w:jc w:val="left"/>
            </w:pPr>
            <w:r>
              <w:rPr>
                <w:rFonts w:ascii="Aptos" w:hAnsi="Aptos"/>
                <w:sz w:val="17"/>
              </w:rPr>
              <w:t>Months 4 to 6</w:t>
            </w:r>
          </w:p>
        </w:tc>
        <w:tc>
          <w:tcPr>
            <w:tcW w:type="dxa" w:w="5256"/>
            <w:tcMar>
              <w:top w:w="110" w:type="dxa"/>
              <w:start w:w="120" w:type="dxa"/>
              <w:bottom w:w="110" w:type="dxa"/>
              <w:end w:w="120" w:type="dxa"/>
            </w:tcMar>
            <w:vAlign w:val="center"/>
            <w:shd w:fill="F3F5F7"/>
          </w:tcPr>
          <w:p>
            <w:pPr>
              <w:spacing w:after="0" w:line="247" w:lineRule="auto"/>
              <w:jc w:val="left"/>
            </w:pPr>
            <w:r>
              <w:rPr>
                <w:rFonts w:ascii="Aptos" w:hAnsi="Aptos"/>
                <w:sz w:val="17"/>
              </w:rPr>
              <w:t>Digital flag and referral integration, certificate formats, contract schedule, staff training and public guidance.</w:t>
            </w:r>
          </w:p>
        </w:tc>
        <w:tc>
          <w:tcPr>
            <w:tcW w:type="dxa" w:w="1584"/>
            <w:tcMar>
              <w:top w:w="110" w:type="dxa"/>
              <w:start w:w="120" w:type="dxa"/>
              <w:bottom w:w="110" w:type="dxa"/>
              <w:end w:w="120" w:type="dxa"/>
            </w:tcMar>
            <w:vAlign w:val="center"/>
            <w:shd w:fill="F3F5F7"/>
          </w:tcPr>
          <w:p>
            <w:pPr>
              <w:spacing w:after="0" w:line="247" w:lineRule="auto"/>
              <w:jc w:val="left"/>
            </w:pPr>
            <w:r>
              <w:rPr>
                <w:rFonts w:ascii="Aptos" w:hAnsi="Aptos"/>
                <w:sz w:val="17"/>
              </w:rPr>
              <w:t>Technical and clinical assurance.</w:t>
            </w:r>
          </w:p>
        </w:tc>
      </w:tr>
      <w:tr>
        <w:trPr>
          <w:cantSplit/>
        </w:trPr>
        <w:tc>
          <w:tcPr>
            <w:tcW w:type="dxa" w:w="1296"/>
            <w:tcMar>
              <w:top w:w="110" w:type="dxa"/>
              <w:start w:w="120" w:type="dxa"/>
              <w:bottom w:w="110" w:type="dxa"/>
              <w:end w:w="120" w:type="dxa"/>
            </w:tcMar>
            <w:vAlign w:val="center"/>
          </w:tcPr>
          <w:p>
            <w:pPr>
              <w:spacing w:after="0" w:line="247" w:lineRule="auto"/>
              <w:jc w:val="center"/>
            </w:pPr>
            <w:r>
              <w:rPr>
                <w:rFonts w:ascii="Aptos" w:hAnsi="Aptos"/>
                <w:sz w:val="17"/>
              </w:rPr>
              <w:t>Pilot</w:t>
            </w:r>
          </w:p>
        </w:tc>
        <w:tc>
          <w:tcPr>
            <w:tcW w:type="dxa" w:w="1512"/>
            <w:tcMar>
              <w:top w:w="110" w:type="dxa"/>
              <w:start w:w="120" w:type="dxa"/>
              <w:bottom w:w="110" w:type="dxa"/>
              <w:end w:w="120" w:type="dxa"/>
            </w:tcMar>
            <w:vAlign w:val="center"/>
          </w:tcPr>
          <w:p>
            <w:pPr>
              <w:spacing w:after="0" w:line="247" w:lineRule="auto"/>
              <w:jc w:val="left"/>
            </w:pPr>
            <w:r>
              <w:rPr>
                <w:rFonts w:ascii="Aptos" w:hAnsi="Aptos"/>
                <w:sz w:val="17"/>
              </w:rPr>
              <w:t>Months 7 to 18</w:t>
            </w:r>
          </w:p>
        </w:tc>
        <w:tc>
          <w:tcPr>
            <w:tcW w:type="dxa" w:w="5256"/>
            <w:tcMar>
              <w:top w:w="110" w:type="dxa"/>
              <w:start w:w="120" w:type="dxa"/>
              <w:bottom w:w="110" w:type="dxa"/>
              <w:end w:w="120" w:type="dxa"/>
            </w:tcMar>
            <w:vAlign w:val="center"/>
          </w:tcPr>
          <w:p>
            <w:pPr>
              <w:spacing w:after="0" w:line="247" w:lineRule="auto"/>
              <w:jc w:val="left"/>
            </w:pPr>
            <w:r>
              <w:rPr>
                <w:rFonts w:ascii="Aptos" w:hAnsi="Aptos"/>
                <w:sz w:val="17"/>
              </w:rPr>
              <w:t>Four to six diverse ICB areas; child and adult autism and ADHD pathways plus one wider condition cohort.</w:t>
            </w:r>
          </w:p>
        </w:tc>
        <w:tc>
          <w:tcPr>
            <w:tcW w:type="dxa" w:w="1584"/>
            <w:tcMar>
              <w:top w:w="110" w:type="dxa"/>
              <w:start w:w="120" w:type="dxa"/>
              <w:bottom w:w="110" w:type="dxa"/>
              <w:end w:w="120" w:type="dxa"/>
            </w:tcMar>
            <w:vAlign w:val="center"/>
          </w:tcPr>
          <w:p>
            <w:pPr>
              <w:spacing w:after="0" w:line="247" w:lineRule="auto"/>
              <w:jc w:val="left"/>
            </w:pPr>
            <w:r>
              <w:rPr>
                <w:rFonts w:ascii="Aptos" w:hAnsi="Aptos"/>
                <w:sz w:val="17"/>
              </w:rPr>
              <w:t>Quarterly safety and access review.</w:t>
            </w:r>
          </w:p>
        </w:tc>
      </w:tr>
      <w:tr>
        <w:trPr>
          <w:cantSplit/>
        </w:trPr>
        <w:tc>
          <w:tcPr>
            <w:tcW w:type="dxa" w:w="1296"/>
            <w:tcMar>
              <w:top w:w="110" w:type="dxa"/>
              <w:start w:w="120" w:type="dxa"/>
              <w:bottom w:w="110" w:type="dxa"/>
              <w:end w:w="120" w:type="dxa"/>
            </w:tcMar>
            <w:vAlign w:val="center"/>
            <w:shd w:fill="F3F5F7"/>
          </w:tcPr>
          <w:p>
            <w:pPr>
              <w:spacing w:after="0" w:line="247" w:lineRule="auto"/>
              <w:jc w:val="center"/>
            </w:pPr>
            <w:r>
              <w:rPr>
                <w:rFonts w:ascii="Aptos" w:hAnsi="Aptos"/>
                <w:sz w:val="17"/>
              </w:rPr>
              <w:t>Evaluate</w:t>
            </w:r>
          </w:p>
        </w:tc>
        <w:tc>
          <w:tcPr>
            <w:tcW w:type="dxa" w:w="1512"/>
            <w:tcMar>
              <w:top w:w="110" w:type="dxa"/>
              <w:start w:w="120" w:type="dxa"/>
              <w:bottom w:w="110" w:type="dxa"/>
              <w:end w:w="120" w:type="dxa"/>
            </w:tcMar>
            <w:vAlign w:val="center"/>
            <w:shd w:fill="F3F5F7"/>
          </w:tcPr>
          <w:p>
            <w:pPr>
              <w:spacing w:after="0" w:line="247" w:lineRule="auto"/>
              <w:jc w:val="left"/>
            </w:pPr>
            <w:r>
              <w:rPr>
                <w:rFonts w:ascii="Aptos" w:hAnsi="Aptos"/>
                <w:sz w:val="17"/>
              </w:rPr>
              <w:t>Months 19 to 24</w:t>
            </w:r>
          </w:p>
        </w:tc>
        <w:tc>
          <w:tcPr>
            <w:tcW w:type="dxa" w:w="5256"/>
            <w:tcMar>
              <w:top w:w="110" w:type="dxa"/>
              <w:start w:w="120" w:type="dxa"/>
              <w:bottom w:w="110" w:type="dxa"/>
              <w:end w:w="120" w:type="dxa"/>
            </w:tcMar>
            <w:vAlign w:val="center"/>
            <w:shd w:fill="F3F5F7"/>
          </w:tcPr>
          <w:p>
            <w:pPr>
              <w:spacing w:after="0" w:line="247" w:lineRule="auto"/>
              <w:jc w:val="left"/>
            </w:pPr>
            <w:r>
              <w:rPr>
                <w:rFonts w:ascii="Aptos" w:hAnsi="Aptos"/>
                <w:sz w:val="17"/>
              </w:rPr>
              <w:t>Independent outcomes, finance, equality, quality and lived experience report.</w:t>
            </w:r>
          </w:p>
        </w:tc>
        <w:tc>
          <w:tcPr>
            <w:tcW w:type="dxa" w:w="1584"/>
            <w:tcMar>
              <w:top w:w="110" w:type="dxa"/>
              <w:start w:w="120" w:type="dxa"/>
              <w:bottom w:w="110" w:type="dxa"/>
              <w:end w:w="120" w:type="dxa"/>
            </w:tcMar>
            <w:vAlign w:val="center"/>
            <w:shd w:fill="F3F5F7"/>
          </w:tcPr>
          <w:p>
            <w:pPr>
              <w:spacing w:after="0" w:line="247" w:lineRule="auto"/>
              <w:jc w:val="left"/>
            </w:pPr>
            <w:r>
              <w:rPr>
                <w:rFonts w:ascii="Aptos" w:hAnsi="Aptos"/>
                <w:sz w:val="17"/>
              </w:rPr>
              <w:t>Ministerial and NHS England scale decision.</w:t>
            </w:r>
          </w:p>
        </w:tc>
      </w:tr>
      <w:tr>
        <w:trPr>
          <w:cantSplit/>
        </w:trPr>
        <w:tc>
          <w:tcPr>
            <w:tcW w:type="dxa" w:w="1296"/>
            <w:tcMar>
              <w:top w:w="110" w:type="dxa"/>
              <w:start w:w="120" w:type="dxa"/>
              <w:bottom w:w="110" w:type="dxa"/>
              <w:end w:w="120" w:type="dxa"/>
            </w:tcMar>
            <w:vAlign w:val="center"/>
          </w:tcPr>
          <w:p>
            <w:pPr>
              <w:spacing w:after="0" w:line="247" w:lineRule="auto"/>
              <w:jc w:val="center"/>
            </w:pPr>
            <w:r>
              <w:rPr>
                <w:rFonts w:ascii="Aptos" w:hAnsi="Aptos"/>
                <w:sz w:val="17"/>
              </w:rPr>
              <w:t>Scale</w:t>
            </w:r>
          </w:p>
        </w:tc>
        <w:tc>
          <w:tcPr>
            <w:tcW w:type="dxa" w:w="1512"/>
            <w:tcMar>
              <w:top w:w="110" w:type="dxa"/>
              <w:start w:w="120" w:type="dxa"/>
              <w:bottom w:w="110" w:type="dxa"/>
              <w:end w:w="120" w:type="dxa"/>
            </w:tcMar>
            <w:vAlign w:val="center"/>
          </w:tcPr>
          <w:p>
            <w:pPr>
              <w:spacing w:after="0" w:line="247" w:lineRule="auto"/>
              <w:jc w:val="left"/>
            </w:pPr>
            <w:r>
              <w:rPr>
                <w:rFonts w:ascii="Aptos" w:hAnsi="Aptos"/>
                <w:sz w:val="17"/>
              </w:rPr>
              <w:t>Months 25 to 36</w:t>
            </w:r>
          </w:p>
        </w:tc>
        <w:tc>
          <w:tcPr>
            <w:tcW w:type="dxa" w:w="5256"/>
            <w:tcMar>
              <w:top w:w="110" w:type="dxa"/>
              <w:start w:w="120" w:type="dxa"/>
              <w:bottom w:w="110" w:type="dxa"/>
              <w:end w:w="120" w:type="dxa"/>
            </w:tcMar>
            <w:vAlign w:val="center"/>
          </w:tcPr>
          <w:p>
            <w:pPr>
              <w:spacing w:after="0" w:line="247" w:lineRule="auto"/>
              <w:jc w:val="left"/>
            </w:pPr>
            <w:r>
              <w:rPr>
                <w:rFonts w:ascii="Aptos" w:hAnsi="Aptos"/>
                <w:sz w:val="17"/>
              </w:rPr>
              <w:t>National adoption, statutory commencement, provider contract transition and public dashboard.</w:t>
            </w:r>
          </w:p>
        </w:tc>
        <w:tc>
          <w:tcPr>
            <w:tcW w:type="dxa" w:w="1584"/>
            <w:tcMar>
              <w:top w:w="110" w:type="dxa"/>
              <w:start w:w="120" w:type="dxa"/>
              <w:bottom w:w="110" w:type="dxa"/>
              <w:end w:w="120" w:type="dxa"/>
            </w:tcMar>
            <w:vAlign w:val="center"/>
          </w:tcPr>
          <w:p>
            <w:pPr>
              <w:spacing w:after="0" w:line="247" w:lineRule="auto"/>
              <w:jc w:val="left"/>
            </w:pPr>
            <w:r>
              <w:rPr>
                <w:rFonts w:ascii="Aptos" w:hAnsi="Aptos"/>
                <w:sz w:val="17"/>
              </w:rPr>
              <w:t>Annual parliamentary or public accountability report.</w:t>
            </w:r>
          </w:p>
        </w:tc>
      </w:tr>
    </w:tbl>
    <w:p>
      <w:pPr>
        <w:spacing w:after="20"/>
      </w:pPr>
    </w:p>
    <w:p>
      <w:pPr>
        <w:pStyle w:val="Heading2"/>
        <w:keepNext/>
      </w:pPr>
      <w:r>
        <w:rPr>
          <w:rFonts w:ascii="Aptos" w:hAnsi="Aptos"/>
          <w:b/>
          <w:color w:val="000000"/>
        </w:rPr>
        <w:t>13.1 Pilot selection</w:t>
      </w:r>
    </w:p>
    <w:p>
      <w:pPr>
        <w:spacing w:after="140" w:line="269" w:lineRule="auto"/>
      </w:pPr>
      <w:r>
        <w:rPr>
          <w:rFonts w:ascii="Aptos" w:hAnsi="Aptos"/>
        </w:rPr>
        <w:t>Pilot sites should include urban, rural and coastal populations; areas with different waiting times and provider mixes; children and adult pathways; people who cannot use telephone or digital services; and communities at risk of under recognition. At least one site should have a recent provider transition so continuity controls can be tested under real operational pressure.</w:t>
      </w:r>
    </w:p>
    <w:p>
      <w:pPr>
        <w:spacing w:after="140" w:line="269" w:lineRule="auto"/>
      </w:pPr>
      <w:r>
        <w:rPr>
          <w:rFonts w:ascii="Aptos" w:hAnsi="Aptos"/>
        </w:rPr>
        <w:t>Before the first pilot claim is paid, each site should complete a retrospective sample of patient journeys resembling the lived evidence in section 1.4: conflicting referral accounts, inaccessible contact, administrative closure, repeated intake, provider transfer, missing credentials and an incomplete handover. The sample should establish a verified baseline and test whether existing systems can reconstruct the journey without requiring the patient to do so.</w:t>
      </w:r>
    </w:p>
    <w:p>
      <w:pPr>
        <w:pStyle w:val="Heading2"/>
        <w:keepNext/>
      </w:pPr>
      <w:r>
        <w:rPr>
          <w:rFonts w:ascii="Aptos" w:hAnsi="Aptos"/>
          <w:b/>
          <w:color w:val="000000"/>
        </w:rPr>
        <w:t>13.2 Workforce</w:t>
      </w:r>
    </w:p>
    <w:p>
      <w:pPr>
        <w:spacing w:after="140" w:line="269" w:lineRule="auto"/>
      </w:pPr>
      <w:r>
        <w:rPr>
          <w:rFonts w:ascii="Aptos" w:hAnsi="Aptos"/>
        </w:rPr>
        <w:t>The initial assessment must be short enough to deliver in primary care but meaningful enough to identify risk and usable adjustments. Training should use worked examples and supervised calibration. ICBs should fund protected time rather than treating certificate work as unfunded additional administration. Patient navigators should handle pathway status and correction so clinicians are not used for avoidable tracing work.</w:t>
      </w:r>
    </w:p>
    <w:p>
      <w:pPr>
        <w:pStyle w:val="Heading2"/>
        <w:keepNext/>
      </w:pPr>
      <w:r>
        <w:rPr>
          <w:rFonts w:ascii="Aptos" w:hAnsi="Aptos"/>
          <w:b/>
          <w:color w:val="000000"/>
        </w:rPr>
        <w:t>13.3 Public communication</w:t>
      </w:r>
    </w:p>
    <w:p>
      <w:pPr>
        <w:spacing w:after="140" w:line="269" w:lineRule="auto"/>
      </w:pPr>
      <w:r>
        <w:rPr>
          <w:rFonts w:ascii="Aptos" w:hAnsi="Aptos"/>
        </w:rPr>
        <w:t>Guidance must state plainly what the certificate is, what it is not, how to request it, how long it lasts, how to correct it and how to obtain support without digital access. It must also explain that legal rights can exist without a certificate and that urgent care should never wait for one.</w:t>
      </w:r>
    </w:p>
    <w:p>
      <w:pPr>
        <w:pStyle w:val="Heading1"/>
        <w:keepNext/>
      </w:pPr>
      <w:r>
        <w:rPr>
          <w:rFonts w:ascii="Aptos" w:hAnsi="Aptos"/>
          <w:b/>
          <w:color w:val="000000"/>
        </w:rPr>
        <w:t>14 Risks and mitigations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1872"/>
            <w:shd w:fill="17365D"/>
            <w:tcMar>
              <w:top w:w="110" w:type="dxa"/>
              <w:start w:w="120" w:type="dxa"/>
              <w:bottom w:w="110" w:type="dxa"/>
              <w:end w:w="120" w:type="dxa"/>
            </w:tcMar>
            <w:vAlign w:val="center"/>
          </w:tcPr>
          <w:p>
            <w:pPr>
              <w:spacing w:after="0"/>
              <w:jc w:val="center"/>
            </w:pPr>
            <w:r>
              <w:rPr>
                <w:rFonts w:ascii="Aptos" w:hAnsi="Aptos"/>
                <w:b/>
                <w:color w:val="FFFFFF"/>
                <w:sz w:val="16"/>
              </w:rPr>
              <w:t>Risk</w:t>
            </w:r>
          </w:p>
        </w:tc>
        <w:tc>
          <w:tcPr>
            <w:tcW w:type="dxa" w:w="3528"/>
            <w:shd w:fill="17365D"/>
            <w:tcMar>
              <w:top w:w="110" w:type="dxa"/>
              <w:start w:w="120" w:type="dxa"/>
              <w:bottom w:w="110" w:type="dxa"/>
              <w:end w:w="120" w:type="dxa"/>
            </w:tcMar>
            <w:vAlign w:val="center"/>
          </w:tcPr>
          <w:p>
            <w:pPr>
              <w:spacing w:after="0"/>
              <w:jc w:val="center"/>
            </w:pPr>
            <w:r>
              <w:rPr>
                <w:rFonts w:ascii="Aptos" w:hAnsi="Aptos"/>
                <w:b/>
                <w:color w:val="FFFFFF"/>
                <w:sz w:val="16"/>
              </w:rPr>
              <w:t>Potential harm</w:t>
            </w:r>
          </w:p>
        </w:tc>
        <w:tc>
          <w:tcPr>
            <w:tcW w:type="dxa" w:w="4248"/>
            <w:shd w:fill="17365D"/>
            <w:tcMar>
              <w:top w:w="110" w:type="dxa"/>
              <w:start w:w="120" w:type="dxa"/>
              <w:bottom w:w="110" w:type="dxa"/>
              <w:end w:w="120" w:type="dxa"/>
            </w:tcMar>
            <w:vAlign w:val="center"/>
          </w:tcPr>
          <w:p>
            <w:pPr>
              <w:spacing w:after="0"/>
              <w:jc w:val="center"/>
            </w:pPr>
            <w:r>
              <w:rPr>
                <w:rFonts w:ascii="Aptos" w:hAnsi="Aptos"/>
                <w:b/>
                <w:color w:val="FFFFFF"/>
                <w:sz w:val="16"/>
              </w:rPr>
              <w:t>Mitigation</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Certificate becomes a gatekeeper</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People without one are denied existing rights.</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Non regression clause, public guidance, audit of requests for proof and enforcement.</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Diagnosis is rationed</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Support is offered instead of clinically necessary assessment.</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Right to remain on pathway, written reasons for discharge, diagnostic access metrics and independent review.</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Over disclosure</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Sensitive hypotheses spread beyond care need.</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Needs only default, consent based versions, verification without clinical detail and access logs.</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False certainty</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Interim opinion is treated as diagnosis.</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Prominent status wording, issuer training and separation of facts, account, opinion and uncertainty.</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GP burden</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Unfunded work reduces other access.</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Funded appointment, templates, navigator support and time study.</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Provider gaming</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Events are fragmented or closures manipulated for payment.</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Bundled neutral milestones, pathway ledger, exception reporting, audit and recovery.</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Outsourcing dependency</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Public money leaves the NHS while internal workforce and pathway control decline.</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NHS-first presumption, full lifecycle appraisal, time limited contracts, capability plan and public exit strategy.</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Unverified workforce</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A person performs work without evidenced identity, registration, competence or supervision.</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Pre-access roster assurance, event-level worker identifiers, payment hold and regulator or contract referral.</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Digital exclusion</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People without apps or stable access lose protection.</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Paper and written routes, assisted access and no smartphone requirement.</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Data matching error</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Two people or pathways are wrongly merged.</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Identity assurance, patient review, correction route and human confirmation before consequential action.</w:t>
            </w:r>
          </w:p>
        </w:tc>
      </w:tr>
      <w:tr>
        <w:trPr>
          <w:cantSplit/>
        </w:trPr>
        <w:tc>
          <w:tcPr>
            <w:tcW w:type="dxa" w:w="1872"/>
            <w:tcMar>
              <w:top w:w="110" w:type="dxa"/>
              <w:start w:w="120" w:type="dxa"/>
              <w:bottom w:w="110" w:type="dxa"/>
              <w:end w:w="120" w:type="dxa"/>
            </w:tcMar>
            <w:vAlign w:val="center"/>
          </w:tcPr>
          <w:p>
            <w:pPr>
              <w:spacing w:after="0" w:line="247" w:lineRule="auto"/>
              <w:jc w:val="center"/>
            </w:pPr>
            <w:r>
              <w:rPr>
                <w:rFonts w:ascii="Aptos" w:hAnsi="Aptos"/>
                <w:sz w:val="16"/>
              </w:rPr>
              <w:t>Employer misuse</w:t>
            </w:r>
          </w:p>
        </w:tc>
        <w:tc>
          <w:tcPr>
            <w:tcW w:type="dxa" w:w="3528"/>
            <w:tcMar>
              <w:top w:w="110" w:type="dxa"/>
              <w:start w:w="120" w:type="dxa"/>
              <w:bottom w:w="110" w:type="dxa"/>
              <w:end w:w="120" w:type="dxa"/>
            </w:tcMar>
            <w:vAlign w:val="center"/>
          </w:tcPr>
          <w:p>
            <w:pPr>
              <w:spacing w:after="0" w:line="247" w:lineRule="auto"/>
              <w:jc w:val="left"/>
            </w:pPr>
            <w:r>
              <w:rPr>
                <w:rFonts w:ascii="Aptos" w:hAnsi="Aptos"/>
                <w:sz w:val="16"/>
              </w:rPr>
              <w:t>Certificate is used to screen out applicants or demand diagnosis.</w:t>
            </w:r>
          </w:p>
        </w:tc>
        <w:tc>
          <w:tcPr>
            <w:tcW w:type="dxa" w:w="4248"/>
            <w:tcMar>
              <w:top w:w="110" w:type="dxa"/>
              <w:start w:w="120" w:type="dxa"/>
              <w:bottom w:w="110" w:type="dxa"/>
              <w:end w:w="120" w:type="dxa"/>
            </w:tcMar>
            <w:vAlign w:val="center"/>
          </w:tcPr>
          <w:p>
            <w:pPr>
              <w:spacing w:after="0" w:line="247" w:lineRule="auto"/>
              <w:jc w:val="left"/>
            </w:pPr>
            <w:r>
              <w:rPr>
                <w:rFonts w:ascii="Aptos" w:hAnsi="Aptos"/>
                <w:sz w:val="16"/>
              </w:rPr>
              <w:t>Minimum disclosure, anti discrimination guidance, enforcement and no obligation to disclose.</w:t>
            </w:r>
          </w:p>
        </w:tc>
      </w:tr>
      <w:tr>
        <w:trPr>
          <w:cantSplit/>
        </w:trPr>
        <w:tc>
          <w:tcPr>
            <w:tcW w:type="dxa" w:w="1872"/>
            <w:tcMar>
              <w:top w:w="110" w:type="dxa"/>
              <w:start w:w="120" w:type="dxa"/>
              <w:bottom w:w="110" w:type="dxa"/>
              <w:end w:w="120" w:type="dxa"/>
            </w:tcMar>
            <w:vAlign w:val="center"/>
            <w:shd w:fill="F3F5F7"/>
          </w:tcPr>
          <w:p>
            <w:pPr>
              <w:spacing w:after="0" w:line="247" w:lineRule="auto"/>
              <w:jc w:val="center"/>
            </w:pPr>
            <w:r>
              <w:rPr>
                <w:rFonts w:ascii="Aptos" w:hAnsi="Aptos"/>
                <w:sz w:val="16"/>
              </w:rPr>
              <w:t>Expiry cliff</w:t>
            </w:r>
          </w:p>
        </w:tc>
        <w:tc>
          <w:tcPr>
            <w:tcW w:type="dxa" w:w="3528"/>
            <w:tcMar>
              <w:top w:w="110" w:type="dxa"/>
              <w:start w:w="120" w:type="dxa"/>
              <w:bottom w:w="110" w:type="dxa"/>
              <w:end w:w="120" w:type="dxa"/>
            </w:tcMar>
            <w:vAlign w:val="center"/>
            <w:shd w:fill="F3F5F7"/>
          </w:tcPr>
          <w:p>
            <w:pPr>
              <w:spacing w:after="0" w:line="247" w:lineRule="auto"/>
              <w:jc w:val="left"/>
            </w:pPr>
            <w:r>
              <w:rPr>
                <w:rFonts w:ascii="Aptos" w:hAnsi="Aptos"/>
                <w:sz w:val="16"/>
              </w:rPr>
              <w:t>Support ends because the NHS is delayed.</w:t>
            </w:r>
          </w:p>
        </w:tc>
        <w:tc>
          <w:tcPr>
            <w:tcW w:type="dxa" w:w="4248"/>
            <w:tcMar>
              <w:top w:w="110" w:type="dxa"/>
              <w:start w:w="120" w:type="dxa"/>
              <w:bottom w:w="110" w:type="dxa"/>
              <w:end w:w="120" w:type="dxa"/>
            </w:tcMar>
            <w:vAlign w:val="center"/>
            <w:shd w:fill="F3F5F7"/>
          </w:tcPr>
          <w:p>
            <w:pPr>
              <w:spacing w:after="0" w:line="247" w:lineRule="auto"/>
              <w:jc w:val="left"/>
            </w:pPr>
            <w:r>
              <w:rPr>
                <w:rFonts w:ascii="Aptos" w:hAnsi="Aptos"/>
                <w:sz w:val="16"/>
              </w:rPr>
              <w:t>Automatic continuation while pathway is active and notice before any lawful cessation.</w:t>
            </w:r>
          </w:p>
        </w:tc>
      </w:tr>
    </w:tbl>
    <w:p>
      <w:pPr>
        <w:spacing w:after="20"/>
      </w:pPr>
    </w:p>
    <w:p>
      <w:pPr>
        <w:pStyle w:val="Heading1"/>
        <w:keepNext/>
      </w:pPr>
      <w:r>
        <w:rPr>
          <w:rFonts w:ascii="Aptos" w:hAnsi="Aptos"/>
          <w:b/>
          <w:color w:val="000000"/>
        </w:rPr>
        <w:t>15 Legislative and regulatory package</w:t>
      </w:r>
    </w:p>
    <w:p>
      <w:pPr>
        <w:pStyle w:val="Heading2"/>
        <w:keepNext/>
      </w:pPr>
      <w:r>
        <w:rPr>
          <w:rFonts w:ascii="Aptos" w:hAnsi="Aptos"/>
          <w:b/>
          <w:color w:val="000000"/>
        </w:rPr>
        <w:t>15.1 Fast administrative route</w:t>
      </w:r>
    </w:p>
    <w:p>
      <w:pPr>
        <w:spacing w:after="140" w:line="269" w:lineRule="auto"/>
      </w:pPr>
      <w:r>
        <w:rPr>
          <w:rFonts w:ascii="Aptos" w:hAnsi="Aptos"/>
        </w:rPr>
        <w:t>The pilot can begin without waiting for primary legislation if its immediate effects are confined to NHS administration, commissioning and evidence. NHS England should specify the certificate dataset, connect it to the Reasonable Adjustment Digital Flag, amend national contract requirements, issue commissioning guidance and require one pathway key and structured handover in relevant services.</w:t>
      </w:r>
    </w:p>
    <w:p>
      <w:pPr>
        <w:pStyle w:val="Heading2"/>
        <w:keepNext/>
      </w:pPr>
      <w:r>
        <w:rPr>
          <w:rFonts w:ascii="Aptos" w:hAnsi="Aptos"/>
          <w:b/>
          <w:color w:val="000000"/>
        </w:rPr>
        <w:t>15.2 Legislative route</w:t>
      </w:r>
    </w:p>
    <w:p>
      <w:pPr>
        <w:spacing w:after="140" w:line="269" w:lineRule="auto"/>
      </w:pPr>
      <w:r>
        <w:rPr>
          <w:rFonts w:ascii="Aptos" w:hAnsi="Aptos"/>
        </w:rPr>
        <w:t>A cross sector interim presumption and enforceable continuity rights require legislation. Parliamentary Counsel should determine whether a short standalone Act, amendment to the Equality Act 2010 or a health and disability reform bill is the best vehicle. The provisions should be reviewed with the devolved administrations because equality law covers Great Britain while health delivery is devolved; Northern Ireland requires a separate legal route.</w:t>
      </w:r>
    </w:p>
    <w:p>
      <w:pPr>
        <w:pStyle w:val="Heading2"/>
        <w:keepNext/>
      </w:pPr>
      <w:r>
        <w:rPr>
          <w:rFonts w:ascii="Aptos" w:hAnsi="Aptos"/>
          <w:b/>
          <w:color w:val="000000"/>
        </w:rPr>
        <w:t>15.3 Required legal features</w:t>
      </w:r>
    </w:p>
    <w:p>
      <w:pPr>
        <w:pStyle w:val="ListBullet"/>
        <w:spacing w:after="80" w:line="259" w:lineRule="auto"/>
      </w:pPr>
      <w:r>
        <w:rPr>
          <w:rFonts w:ascii="Aptos" w:hAnsi="Aptos"/>
        </w:rPr>
        <w:t>a definition of an authorised interim needs certificate and the persons who may issue it;</w:t>
      </w:r>
    </w:p>
    <w:p>
      <w:pPr>
        <w:pStyle w:val="ListBullet"/>
        <w:spacing w:after="80" w:line="259" w:lineRule="auto"/>
      </w:pPr>
      <w:r>
        <w:rPr>
          <w:rFonts w:ascii="Aptos" w:hAnsi="Aptos"/>
        </w:rPr>
        <w:t>a duty on relevant NHS bodies to offer an initial needs assessment and issue or give written reasons;</w:t>
      </w:r>
    </w:p>
    <w:p>
      <w:pPr>
        <w:pStyle w:val="ListBullet"/>
        <w:spacing w:after="80" w:line="259" w:lineRule="auto"/>
      </w:pPr>
      <w:r>
        <w:rPr>
          <w:rFonts w:ascii="Aptos" w:hAnsi="Aptos"/>
        </w:rPr>
        <w:t>an interim evidential presumption for listed adjustments, subject to safety and reasonableness;</w:t>
      </w:r>
    </w:p>
    <w:p>
      <w:pPr>
        <w:pStyle w:val="ListBullet"/>
        <w:spacing w:after="80" w:line="259" w:lineRule="auto"/>
      </w:pPr>
      <w:r>
        <w:rPr>
          <w:rFonts w:ascii="Aptos" w:hAnsi="Aptos"/>
        </w:rPr>
        <w:t>a non regression clause protecting everyone who has no certificate;</w:t>
      </w:r>
    </w:p>
    <w:p>
      <w:pPr>
        <w:pStyle w:val="ListBullet"/>
        <w:spacing w:after="80" w:line="259" w:lineRule="auto"/>
      </w:pPr>
      <w:r>
        <w:rPr>
          <w:rFonts w:ascii="Aptos" w:hAnsi="Aptos"/>
        </w:rPr>
        <w:t>continuity of original referral date, evidence and waiting position through commissioned provider changes;</w:t>
      </w:r>
    </w:p>
    <w:p>
      <w:pPr>
        <w:pStyle w:val="ListBullet"/>
        <w:spacing w:after="80" w:line="259" w:lineRule="auto"/>
      </w:pPr>
      <w:r>
        <w:rPr>
          <w:rFonts w:ascii="Aptos" w:hAnsi="Aptos"/>
        </w:rPr>
        <w:t>duties to provide accessible notices, correction, review and reinstatement;</w:t>
      </w:r>
    </w:p>
    <w:p>
      <w:pPr>
        <w:pStyle w:val="ListBullet"/>
        <w:spacing w:after="80" w:line="259" w:lineRule="auto"/>
      </w:pPr>
      <w:r>
        <w:rPr>
          <w:rFonts w:ascii="Aptos" w:hAnsi="Aptos"/>
        </w:rPr>
        <w:t>lawful data sharing, minimisation, audit and safeguards against automated consequential decisions;</w:t>
      </w:r>
    </w:p>
    <w:p>
      <w:pPr>
        <w:pStyle w:val="ListBullet"/>
        <w:spacing w:after="80" w:line="259" w:lineRule="auto"/>
      </w:pPr>
      <w:r>
        <w:rPr>
          <w:rFonts w:ascii="Aptos" w:hAnsi="Aptos"/>
        </w:rPr>
        <w:t>commissioner powers to reject, recover and investigate unsupported duplicate payments; and</w:t>
      </w:r>
    </w:p>
    <w:p>
      <w:pPr>
        <w:pStyle w:val="ListBullet"/>
        <w:spacing w:after="80" w:line="259" w:lineRule="auto"/>
      </w:pPr>
      <w:r>
        <w:rPr>
          <w:rFonts w:ascii="Aptos" w:hAnsi="Aptos"/>
        </w:rPr>
        <w:t>an NHS-first commissioning presumption, prior provider and workforce assurance, transparent lifecycle appraisal and continuity on contract exit;</w:t>
      </w:r>
    </w:p>
    <w:p>
      <w:pPr>
        <w:pStyle w:val="ListBullet"/>
        <w:spacing w:after="80" w:line="259" w:lineRule="auto"/>
      </w:pPr>
      <w:r>
        <w:rPr>
          <w:rFonts w:ascii="Aptos" w:hAnsi="Aptos"/>
        </w:rPr>
        <w:t>independent reporting, sunset review and power to modify the scheme after evidence and consultation.</w:t>
      </w:r>
    </w:p>
    <w:p>
      <w:pPr>
        <w:pStyle w:val="Heading1"/>
        <w:keepNext/>
      </w:pPr>
      <w:r>
        <w:rPr>
          <w:rFonts w:ascii="Aptos" w:hAnsi="Aptos"/>
          <w:b/>
          <w:color w:val="000000"/>
        </w:rPr>
        <w:t>16 Final recommendations</w:t>
      </w:r>
    </w:p>
    <w:p>
      <w:pPr>
        <w:spacing w:after="100" w:line="259" w:lineRule="auto"/>
        <w:ind w:left="403" w:hanging="403"/>
      </w:pPr>
      <w:r>
        <w:rPr>
          <w:rFonts w:ascii="Aptos" w:hAnsi="Aptos"/>
        </w:rPr>
        <w:t>1.  Adopt the NHS Interim Needs and Adjustments Certificate as a condition neutral mechanism, beginning with autism and ADHD pathways.</w:t>
      </w:r>
    </w:p>
    <w:p>
      <w:pPr>
        <w:spacing w:after="100" w:line="259" w:lineRule="auto"/>
        <w:ind w:left="403" w:hanging="403"/>
      </w:pPr>
      <w:r>
        <w:rPr>
          <w:rFonts w:ascii="Aptos" w:hAnsi="Aptos"/>
        </w:rPr>
        <w:t>2.  Build it into the Reasonable Adjustment Digital Flag and existing referral infrastructure, with accessible patient held copies.</w:t>
      </w:r>
    </w:p>
    <w:p>
      <w:pPr>
        <w:spacing w:after="100" w:line="259" w:lineRule="auto"/>
        <w:ind w:left="403" w:hanging="403"/>
      </w:pPr>
      <w:r>
        <w:rPr>
          <w:rFonts w:ascii="Aptos" w:hAnsi="Aptos"/>
        </w:rPr>
        <w:t>3.  Guarantee automatic continuation during NHS delay and preserve the original referral date across transfers, provider exits and corrected administrative closures.</w:t>
      </w:r>
    </w:p>
    <w:p>
      <w:pPr>
        <w:spacing w:after="100" w:line="259" w:lineRule="auto"/>
        <w:ind w:left="403" w:hanging="403"/>
      </w:pPr>
      <w:r>
        <w:rPr>
          <w:rFonts w:ascii="Aptos" w:hAnsi="Aptos"/>
        </w:rPr>
        <w:t>4.  Make early support additional to, not a replacement for, clinically appropriate diagnosis.</w:t>
      </w:r>
    </w:p>
    <w:p>
      <w:pPr>
        <w:spacing w:after="100" w:line="259" w:lineRule="auto"/>
        <w:ind w:left="403" w:hanging="403"/>
      </w:pPr>
      <w:r>
        <w:rPr>
          <w:rFonts w:ascii="Aptos" w:hAnsi="Aptos"/>
        </w:rPr>
        <w:t>5.  Introduce one pathway ledger and payment exclusions for duplicate registration, avoidable repeat intake and provider caused failure.</w:t>
      </w:r>
    </w:p>
    <w:p>
      <w:pPr>
        <w:spacing w:after="100" w:line="259" w:lineRule="auto"/>
        <w:ind w:left="403" w:hanging="403"/>
      </w:pPr>
      <w:r>
        <w:rPr>
          <w:rFonts w:ascii="Aptos" w:hAnsi="Aptos"/>
        </w:rPr>
        <w:t>6.  Apply the same duties, audit access and handover requirements to NHS bodies and commissioned independent providers.</w:t>
      </w:r>
    </w:p>
    <w:p>
      <w:pPr>
        <w:spacing w:after="100" w:line="259" w:lineRule="auto"/>
        <w:ind w:left="403" w:hanging="403"/>
      </w:pPr>
      <w:r>
        <w:rPr>
          <w:rFonts w:ascii="Aptos" w:hAnsi="Aptos"/>
        </w:rPr>
        <w:t>7.  Give patients written correction, review and complaint routes that do not depend on telephone access.</w:t>
      </w:r>
    </w:p>
    <w:p>
      <w:pPr>
        <w:spacing w:after="100" w:line="259" w:lineRule="auto"/>
        <w:ind w:left="403" w:hanging="403"/>
      </w:pPr>
      <w:r>
        <w:rPr>
          <w:rFonts w:ascii="Aptos" w:hAnsi="Aptos"/>
        </w:rPr>
        <w:t>8.  Pilot, independently evaluate and publish the evidence before national expansion or claims of net savings.</w:t>
      </w:r>
    </w:p>
    <w:p>
      <w:pPr>
        <w:spacing w:after="100" w:line="259" w:lineRule="auto"/>
        <w:ind w:left="403" w:hanging="403"/>
      </w:pPr>
      <w:r>
        <w:rPr>
          <w:rFonts w:ascii="Aptos" w:hAnsi="Aptos"/>
        </w:rPr>
        <w:t>9.  Prepare primary legislation for a limited interim presumption and non regression protection across relevant public services and employment.</w:t>
      </w:r>
    </w:p>
    <w:p>
      <w:pPr>
        <w:spacing w:after="100" w:line="259" w:lineRule="auto"/>
        <w:ind w:left="403" w:hanging="403"/>
      </w:pPr>
      <w:r>
        <w:rPr>
          <w:rFonts w:ascii="Aptos" w:hAnsi="Aptos"/>
        </w:rPr>
        <w:t>10.  Adopt an NHS-first presumption for core diagnostic services and require a published public interest and full lifecycle value for money case before independent capacity is commissioned or renewed.</w:t>
      </w:r>
    </w:p>
    <w:p>
      <w:pPr>
        <w:spacing w:after="100" w:line="259" w:lineRule="auto"/>
        <w:ind w:left="403" w:hanging="403"/>
      </w:pPr>
      <w:r>
        <w:rPr>
          <w:rFonts w:ascii="Aptos" w:hAnsi="Aptos"/>
        </w:rPr>
        <w:t>11.  Verify provider status, each worker's identity, employment, registration, scope and competence before patient access and before payment; disclose agency and subcontracting chains.</w:t>
      </w:r>
    </w:p>
    <w:p>
      <w:pPr>
        <w:spacing w:after="100" w:line="259" w:lineRule="auto"/>
        <w:ind w:left="403" w:hanging="403"/>
      </w:pPr>
      <w:r>
        <w:rPr>
          <w:rFonts w:ascii="Aptos" w:hAnsi="Aptos"/>
        </w:rPr>
        <w:t>12.  Publish provider level NHS spend, acceptance, completion, usable handover, complaints, closures, re-referrals, workforce exceptions and sustained outcomes, with appropriate privacy protection.</w:t>
      </w:r>
    </w:p>
    <w:p>
      <w:pPr>
        <w:spacing w:after="100" w:line="259" w:lineRule="auto"/>
        <w:ind w:left="403" w:hanging="403"/>
      </w:pPr>
      <w:r>
        <w:rPr>
          <w:rFonts w:ascii="Aptos" w:hAnsi="Aptos"/>
        </w:rPr>
        <w:t>13.  Use lived experience as a formal safety signal: investigate the underlying records without requiring a disabled patient to reconstruct the system's own chronology.</w:t>
      </w:r>
    </w:p>
    <w:p>
      <w:r>
        <w:br w:type="page"/>
      </w:r>
    </w:p>
    <w:p>
      <w:pPr>
        <w:pStyle w:val="Heading1"/>
        <w:keepNext/>
      </w:pPr>
      <w:r>
        <w:rPr>
          <w:rFonts w:ascii="Aptos" w:hAnsi="Aptos"/>
          <w:b/>
          <w:color w:val="000000"/>
        </w:rPr>
        <w:t>Appendix A Prototype certificate</w:t>
      </w:r>
    </w:p>
    <w:p>
      <w:pPr>
        <w:spacing w:after="140" w:line="269" w:lineRule="auto"/>
      </w:pPr>
      <w:r>
        <w:rPr>
          <w:rFonts w:ascii="Aptos" w:hAnsi="Aptos"/>
        </w:rPr>
        <w:t>This model shows the minimum patient facing form. The final design should be co designed and accessibility tested.</w:t>
      </w:r>
    </w:p>
    <w:p>
      <w:r>
        <w:rPr>
          <w:rFonts w:ascii="Aptos Display" w:hAnsi="Aptos Display"/>
          <w:b/>
          <w:color w:val="000000"/>
          <w:sz w:val="36"/>
        </w:rPr>
        <w:t>NHS Interim Needs and Adjustments Certificate</w:t>
      </w:r>
    </w:p>
    <w:p>
      <w:r>
        <w:rPr>
          <w:rFonts w:ascii="Aptos" w:hAnsi="Aptos"/>
          <w:b/>
          <w:color w:val="17365D"/>
          <w:sz w:val="22"/>
        </w:rPr>
        <w:t>This is not a final diagnosis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232"/>
            <w:shd w:fill="17365D"/>
            <w:tcMar>
              <w:top w:w="110" w:type="dxa"/>
              <w:start w:w="120" w:type="dxa"/>
              <w:bottom w:w="110" w:type="dxa"/>
              <w:end w:w="120" w:type="dxa"/>
            </w:tcMar>
            <w:vAlign w:val="center"/>
          </w:tcPr>
          <w:p>
            <w:pPr>
              <w:spacing w:after="0"/>
              <w:jc w:val="center"/>
            </w:pPr>
            <w:r>
              <w:rPr>
                <w:rFonts w:ascii="Aptos" w:hAnsi="Aptos"/>
                <w:b/>
                <w:color w:val="FFFFFF"/>
                <w:sz w:val="18"/>
              </w:rPr>
              <w:t>Field</w:t>
            </w:r>
          </w:p>
        </w:tc>
        <w:tc>
          <w:tcPr>
            <w:tcW w:type="dxa" w:w="7416"/>
            <w:shd w:fill="17365D"/>
            <w:tcMar>
              <w:top w:w="110" w:type="dxa"/>
              <w:start w:w="120" w:type="dxa"/>
              <w:bottom w:w="110" w:type="dxa"/>
              <w:end w:w="120" w:type="dxa"/>
            </w:tcMar>
            <w:vAlign w:val="center"/>
          </w:tcPr>
          <w:p>
            <w:pPr>
              <w:spacing w:after="0"/>
              <w:jc w:val="center"/>
            </w:pPr>
            <w:r>
              <w:rPr>
                <w:rFonts w:ascii="Aptos" w:hAnsi="Aptos"/>
                <w:b/>
                <w:color w:val="FFFFFF"/>
                <w:sz w:val="18"/>
              </w:rPr>
              <w:t>Entry</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Person</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Name  ____________________   Preferred name  ____________________</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Identifiers</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Date of birth  ______________   NHS number  ____________________</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Issue</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Issued  ______________   Review point  ______________   Status  ______________</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Issuer</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Name and role  ____________________   Organisation  ____________________</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Current pathway</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Clinical question  ____________________   Persistent pathway key  ____________________</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Original referral date</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____________________</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Current responsible service</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____________________   Next expected action and date  ____________________</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Communication</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Preferred method  ____________________   Methods not suitable  ____________________</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Functional effects</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Record only what is necessary to understand current barriers and risk.</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Required adjustments</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List specific actions, setting, responsible service and urgency.</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Interim support</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Record actions that can start now and the named clinical owner.</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Urgent escalation</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Accessible instructions for urgent physical health, mental health or safeguarding help.</w:t>
            </w:r>
          </w:p>
        </w:tc>
      </w:tr>
      <w:tr>
        <w:trPr>
          <w:cantSplit/>
        </w:trPr>
        <w:tc>
          <w:tcPr>
            <w:tcW w:type="dxa" w:w="2232"/>
            <w:tcMar>
              <w:top w:w="110" w:type="dxa"/>
              <w:start w:w="120" w:type="dxa"/>
              <w:bottom w:w="110" w:type="dxa"/>
              <w:end w:w="120" w:type="dxa"/>
            </w:tcMar>
            <w:vAlign w:val="center"/>
          </w:tcPr>
          <w:p>
            <w:pPr>
              <w:spacing w:after="0" w:line="247" w:lineRule="auto"/>
              <w:jc w:val="center"/>
            </w:pPr>
            <w:r>
              <w:rPr>
                <w:rFonts w:ascii="Aptos" w:hAnsi="Aptos"/>
                <w:sz w:val="18"/>
              </w:rPr>
              <w:t>Verification</w:t>
            </w:r>
          </w:p>
        </w:tc>
        <w:tc>
          <w:tcPr>
            <w:tcW w:type="dxa" w:w="7416"/>
            <w:tcMar>
              <w:top w:w="110" w:type="dxa"/>
              <w:start w:w="120" w:type="dxa"/>
              <w:bottom w:w="110" w:type="dxa"/>
              <w:end w:w="120" w:type="dxa"/>
            </w:tcMar>
            <w:vAlign w:val="center"/>
          </w:tcPr>
          <w:p>
            <w:pPr>
              <w:spacing w:after="0" w:line="247" w:lineRule="auto"/>
              <w:jc w:val="left"/>
            </w:pPr>
            <w:r>
              <w:rPr>
                <w:rFonts w:ascii="Aptos" w:hAnsi="Aptos"/>
                <w:sz w:val="18"/>
              </w:rPr>
              <w:t>Code  ____________________   Written verification route  ____________________</w:t>
            </w:r>
          </w:p>
        </w:tc>
      </w:tr>
      <w:tr>
        <w:trPr>
          <w:cantSplit/>
        </w:trPr>
        <w:tc>
          <w:tcPr>
            <w:tcW w:type="dxa" w:w="2232"/>
            <w:tcMar>
              <w:top w:w="110" w:type="dxa"/>
              <w:start w:w="120" w:type="dxa"/>
              <w:bottom w:w="110" w:type="dxa"/>
              <w:end w:w="120" w:type="dxa"/>
            </w:tcMar>
            <w:vAlign w:val="center"/>
            <w:shd w:fill="F3F5F7"/>
          </w:tcPr>
          <w:p>
            <w:pPr>
              <w:spacing w:after="0" w:line="247" w:lineRule="auto"/>
              <w:jc w:val="center"/>
            </w:pPr>
            <w:r>
              <w:rPr>
                <w:rFonts w:ascii="Aptos" w:hAnsi="Aptos"/>
                <w:sz w:val="18"/>
              </w:rPr>
              <w:t>Correction and review</w:t>
            </w:r>
          </w:p>
        </w:tc>
        <w:tc>
          <w:tcPr>
            <w:tcW w:type="dxa" w:w="7416"/>
            <w:tcMar>
              <w:top w:w="110" w:type="dxa"/>
              <w:start w:w="120" w:type="dxa"/>
              <w:bottom w:w="110" w:type="dxa"/>
              <w:end w:w="120" w:type="dxa"/>
            </w:tcMar>
            <w:vAlign w:val="center"/>
            <w:shd w:fill="F3F5F7"/>
          </w:tcPr>
          <w:p>
            <w:pPr>
              <w:spacing w:after="0" w:line="247" w:lineRule="auto"/>
              <w:jc w:val="left"/>
            </w:pPr>
            <w:r>
              <w:rPr>
                <w:rFonts w:ascii="Aptos" w:hAnsi="Aptos"/>
                <w:sz w:val="18"/>
              </w:rPr>
              <w:t>Online or written contact  ____________________   Response standard  ____________________</w:t>
            </w:r>
          </w:p>
        </w:tc>
      </w:tr>
    </w:tbl>
    <w:p>
      <w:pPr>
        <w:spacing w:after="20"/>
      </w:pPr>
    </w:p>
    <w:p>
      <w:pPr>
        <w:spacing w:after="140" w:line="269" w:lineRule="auto"/>
      </w:pPr>
      <w:r>
        <w:rPr>
          <w:rFonts w:ascii="Aptos" w:hAnsi="Aptos"/>
        </w:rPr>
        <w:t>Validity statement: This certificate continues while the recorded NHS pathway remains active, including during NHS or commissioned provider delay. It may be updated when needs change. The absence or expiry of this certificate does not mean that the person is not disabled or has no right to reasonable adjustments.</w:t>
      </w:r>
    </w:p>
    <w:p>
      <w:pPr>
        <w:spacing w:after="140" w:line="269" w:lineRule="auto"/>
      </w:pPr>
      <w:r>
        <w:rPr>
          <w:rFonts w:ascii="Aptos" w:hAnsi="Aptos"/>
        </w:rPr>
        <w:t>Recipient instruction: Read and act on the listed adjustments. If an adjustment cannot be provided safely or reasonably, explain this in writing and offer the nearest effective alternative. Do not require the person to repeat information already available unless there is a recorded clinical need.</w:t>
      </w:r>
    </w:p>
    <w:p>
      <w:pPr>
        <w:pStyle w:val="Heading1"/>
        <w:keepNext/>
      </w:pPr>
      <w:r>
        <w:rPr>
          <w:rFonts w:ascii="Aptos" w:hAnsi="Aptos"/>
          <w:b/>
          <w:color w:val="000000"/>
        </w:rPr>
        <w:t>Appendix B Illustrative statutory clauses</w:t>
      </w:r>
    </w:p>
    <w:p>
      <w:pPr>
        <w:spacing w:after="140" w:line="269" w:lineRule="auto"/>
      </w:pPr>
      <w:r>
        <w:rPr>
          <w:rFonts w:ascii="Aptos" w:hAnsi="Aptos"/>
        </w:rPr>
        <w:t>These clauses express the intended legal effect for consultation. They require review and formal drafting by Parliamentary Counsel.</w:t>
      </w:r>
    </w:p>
    <w:p>
      <w:pPr>
        <w:pStyle w:val="Heading2"/>
        <w:keepNext/>
      </w:pPr>
      <w:r>
        <w:rPr>
          <w:rFonts w:ascii="Aptos" w:hAnsi="Aptos"/>
          <w:b/>
          <w:color w:val="000000"/>
        </w:rPr>
        <w:t>1 Interim certificate</w:t>
      </w:r>
    </w:p>
    <w:p>
      <w:pPr>
        <w:spacing w:after="140" w:line="269" w:lineRule="auto"/>
      </w:pPr>
      <w:r>
        <w:rPr>
          <w:rFonts w:ascii="Aptos" w:hAnsi="Aptos"/>
        </w:rPr>
        <w:t>An authorised health professional may issue an interim needs and adjustments certificate where, following an initial assessment, the professional reasonably considers that a person has a material functional impairment or barrier, further assessment is indicated, and specified adjustments or interim measures are appropriate.</w:t>
      </w:r>
    </w:p>
    <w:p>
      <w:pPr>
        <w:pStyle w:val="Heading2"/>
        <w:keepNext/>
      </w:pPr>
      <w:r>
        <w:rPr>
          <w:rFonts w:ascii="Aptos" w:hAnsi="Aptos"/>
          <w:b/>
          <w:color w:val="000000"/>
        </w:rPr>
        <w:t>2 No diagnosis</w:t>
      </w:r>
    </w:p>
    <w:p>
      <w:pPr>
        <w:spacing w:after="140" w:line="269" w:lineRule="auto"/>
      </w:pPr>
      <w:r>
        <w:rPr>
          <w:rFonts w:ascii="Aptos" w:hAnsi="Aptos"/>
        </w:rPr>
        <w:t>A certificate is not evidence that any particular diagnosis has been finally established, unless a separate final diagnosis is expressly recorded by an authorised diagnostic service.</w:t>
      </w:r>
    </w:p>
    <w:p>
      <w:pPr>
        <w:pStyle w:val="Heading2"/>
        <w:keepNext/>
      </w:pPr>
      <w:r>
        <w:rPr>
          <w:rFonts w:ascii="Aptos" w:hAnsi="Aptos"/>
          <w:b/>
          <w:color w:val="000000"/>
        </w:rPr>
        <w:t>3 Interim presumption</w:t>
      </w:r>
    </w:p>
    <w:p>
      <w:pPr>
        <w:spacing w:after="140" w:line="269" w:lineRule="auto"/>
      </w:pPr>
      <w:r>
        <w:rPr>
          <w:rFonts w:ascii="Aptos" w:hAnsi="Aptos"/>
        </w:rPr>
        <w:t>While a certificate is in force, a relevant body must treat the recorded functional effects as sufficient evidence to consider and, where reasonable, implement the listed adjustments. A departure must be based on individual circumstances, recorded reasons and an effective alternative where one is available.</w:t>
      </w:r>
    </w:p>
    <w:p>
      <w:pPr>
        <w:pStyle w:val="Heading2"/>
        <w:keepNext/>
      </w:pPr>
      <w:r>
        <w:rPr>
          <w:rFonts w:ascii="Aptos" w:hAnsi="Aptos"/>
          <w:b/>
          <w:color w:val="000000"/>
        </w:rPr>
        <w:t>4 Non regression</w:t>
      </w:r>
    </w:p>
    <w:p>
      <w:pPr>
        <w:spacing w:after="140" w:line="269" w:lineRule="auto"/>
      </w:pPr>
      <w:r>
        <w:rPr>
          <w:rFonts w:ascii="Aptos" w:hAnsi="Aptos"/>
        </w:rPr>
        <w:t>No adverse inference may be drawn from a person's failure or inability to obtain, renew or disclose a certificate. Nothing in this scheme limits protection or entitlement arising under the Equality Act 2010 or any other enactment.</w:t>
      </w:r>
    </w:p>
    <w:p>
      <w:pPr>
        <w:pStyle w:val="Heading2"/>
        <w:keepNext/>
      </w:pPr>
      <w:r>
        <w:rPr>
          <w:rFonts w:ascii="Aptos" w:hAnsi="Aptos"/>
          <w:b/>
          <w:color w:val="000000"/>
        </w:rPr>
        <w:t>5 Continuity</w:t>
      </w:r>
    </w:p>
    <w:p>
      <w:pPr>
        <w:spacing w:after="140" w:line="269" w:lineRule="auto"/>
      </w:pPr>
      <w:r>
        <w:rPr>
          <w:rFonts w:ascii="Aptos" w:hAnsi="Aptos"/>
        </w:rPr>
        <w:t>Transfer between NHS commissioned providers, expiry of a provider contract, correction of provider caused administrative closure or change of commissioner does not extinguish the original referral date, evidence already obtained or accrued waiting time.</w:t>
      </w:r>
    </w:p>
    <w:p>
      <w:pPr>
        <w:pStyle w:val="Heading2"/>
        <w:keepNext/>
      </w:pPr>
      <w:r>
        <w:rPr>
          <w:rFonts w:ascii="Aptos" w:hAnsi="Aptos"/>
          <w:b/>
          <w:color w:val="000000"/>
        </w:rPr>
        <w:t>6 Accessible procedure</w:t>
      </w:r>
    </w:p>
    <w:p>
      <w:pPr>
        <w:spacing w:after="140" w:line="269" w:lineRule="auto"/>
      </w:pPr>
      <w:r>
        <w:rPr>
          <w:rFonts w:ascii="Aptos" w:hAnsi="Aptos"/>
        </w:rPr>
        <w:t>Notices, requests for information, decisions and review routes must be provided in a form the person can access, taking account of recorded communication needs.</w:t>
      </w:r>
    </w:p>
    <w:p>
      <w:pPr>
        <w:pStyle w:val="Heading2"/>
        <w:keepNext/>
      </w:pPr>
      <w:r>
        <w:rPr>
          <w:rFonts w:ascii="Aptos" w:hAnsi="Aptos"/>
          <w:b/>
          <w:color w:val="000000"/>
        </w:rPr>
        <w:t>7 Review</w:t>
      </w:r>
    </w:p>
    <w:p>
      <w:pPr>
        <w:spacing w:after="140" w:line="269" w:lineRule="auto"/>
      </w:pPr>
      <w:r>
        <w:rPr>
          <w:rFonts w:ascii="Aptos" w:hAnsi="Aptos"/>
        </w:rPr>
        <w:t>A person may request correction of fact or review of a refusal, adjustment decision or closure. Review must be by a person not responsible for the original decision and must not suspend urgent support.</w:t>
      </w:r>
    </w:p>
    <w:p>
      <w:pPr>
        <w:pStyle w:val="Heading2"/>
        <w:keepNext/>
      </w:pPr>
      <w:r>
        <w:rPr>
          <w:rFonts w:ascii="Aptos" w:hAnsi="Aptos"/>
          <w:b/>
          <w:color w:val="000000"/>
        </w:rPr>
        <w:t>8 Payment integrity</w:t>
      </w:r>
    </w:p>
    <w:p>
      <w:pPr>
        <w:spacing w:after="140" w:line="269" w:lineRule="auto"/>
      </w:pPr>
      <w:r>
        <w:rPr>
          <w:rFonts w:ascii="Aptos" w:hAnsi="Aptos"/>
        </w:rPr>
        <w:t>A commissioner may reject or recover payment for duplicate, unsupported or contractually excluded pathway events and may require production of an auditable event record.</w:t>
      </w:r>
    </w:p>
    <w:p>
      <w:pPr>
        <w:pStyle w:val="Heading2"/>
        <w:keepNext/>
      </w:pPr>
      <w:r>
        <w:rPr>
          <w:rFonts w:ascii="Aptos" w:hAnsi="Aptos"/>
          <w:b/>
          <w:color w:val="000000"/>
        </w:rPr>
        <w:t>9 Provider assurance</w:t>
      </w:r>
    </w:p>
    <w:p>
      <w:pPr>
        <w:spacing w:after="140" w:line="269" w:lineRule="auto"/>
      </w:pPr>
      <w:r>
        <w:rPr>
          <w:rFonts w:ascii="Aptos" w:hAnsi="Aptos"/>
        </w:rPr>
        <w:t>No independent provider or worker may undertake a commissioned diagnostic event until the commissioner has verified the provider's applicable regulatory status and the worker's identity, employment, registration where applicable, scope, competence and supervision. A missing or expired assurance record prevents payment.</w:t>
      </w:r>
    </w:p>
    <w:p>
      <w:pPr>
        <w:pStyle w:val="Heading2"/>
        <w:keepNext/>
      </w:pPr>
      <w:r>
        <w:rPr>
          <w:rFonts w:ascii="Aptos" w:hAnsi="Aptos"/>
          <w:b/>
          <w:color w:val="000000"/>
        </w:rPr>
        <w:t>10 Reporting</w:t>
      </w:r>
    </w:p>
    <w:p>
      <w:pPr>
        <w:spacing w:after="140" w:line="269" w:lineRule="auto"/>
      </w:pPr>
      <w:r>
        <w:rPr>
          <w:rFonts w:ascii="Aptos" w:hAnsi="Aptos"/>
        </w:rPr>
        <w:t>The responsible national body must publish annual aggregate data on issue, refusal, adjustments, closures, reinstatements, waiting continuity, provider performance, equality and expenditure, subject to statistical disclosure control.</w:t>
      </w:r>
    </w:p>
    <w:p>
      <w:pPr>
        <w:pStyle w:val="Heading2"/>
        <w:keepNext/>
      </w:pPr>
      <w:r>
        <w:rPr>
          <w:rFonts w:ascii="Aptos" w:hAnsi="Aptos"/>
          <w:b/>
          <w:color w:val="000000"/>
        </w:rPr>
        <w:t>11 Review of scheme</w:t>
      </w:r>
    </w:p>
    <w:p>
      <w:pPr>
        <w:spacing w:after="140" w:line="269" w:lineRule="auto"/>
      </w:pPr>
      <w:r>
        <w:rPr>
          <w:rFonts w:ascii="Aptos" w:hAnsi="Aptos"/>
        </w:rPr>
        <w:t>The Secretary of State must arrange an independent review within three years of national commencement and lay or publish the response.</w:t>
      </w:r>
    </w:p>
    <w:p>
      <w:pPr>
        <w:pStyle w:val="Heading1"/>
        <w:keepNext/>
      </w:pPr>
      <w:r>
        <w:rPr>
          <w:rFonts w:ascii="Aptos" w:hAnsi="Aptos"/>
          <w:b/>
          <w:color w:val="000000"/>
        </w:rPr>
        <w:t>Appendix C Minimum coded dataset</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304"/>
            <w:shd w:fill="17365D"/>
            <w:tcMar>
              <w:top w:w="110" w:type="dxa"/>
              <w:start w:w="120" w:type="dxa"/>
              <w:bottom w:w="110" w:type="dxa"/>
              <w:end w:w="120" w:type="dxa"/>
            </w:tcMar>
            <w:vAlign w:val="center"/>
          </w:tcPr>
          <w:p>
            <w:pPr>
              <w:spacing w:after="0"/>
              <w:jc w:val="center"/>
            </w:pPr>
            <w:r>
              <w:rPr>
                <w:rFonts w:ascii="Aptos" w:hAnsi="Aptos"/>
                <w:b/>
                <w:color w:val="FFFFFF"/>
                <w:sz w:val="17"/>
              </w:rPr>
              <w:t>Category</w:t>
            </w:r>
          </w:p>
        </w:tc>
        <w:tc>
          <w:tcPr>
            <w:tcW w:type="dxa" w:w="7343"/>
            <w:shd w:fill="17365D"/>
            <w:tcMar>
              <w:top w:w="110" w:type="dxa"/>
              <w:start w:w="120" w:type="dxa"/>
              <w:bottom w:w="110" w:type="dxa"/>
              <w:end w:w="120" w:type="dxa"/>
            </w:tcMar>
            <w:vAlign w:val="center"/>
          </w:tcPr>
          <w:p>
            <w:pPr>
              <w:spacing w:after="0"/>
              <w:jc w:val="center"/>
            </w:pPr>
            <w:r>
              <w:rPr>
                <w:rFonts w:ascii="Aptos" w:hAnsi="Aptos"/>
                <w:b/>
                <w:color w:val="FFFFFF"/>
                <w:sz w:val="17"/>
              </w:rPr>
              <w:t>Minimum data</w:t>
            </w:r>
          </w:p>
        </w:tc>
      </w:tr>
      <w:tr>
        <w:trPr>
          <w:cantSplit/>
        </w:trPr>
        <w:tc>
          <w:tcPr>
            <w:tcW w:type="dxa" w:w="2304"/>
            <w:tcMar>
              <w:top w:w="110" w:type="dxa"/>
              <w:start w:w="120" w:type="dxa"/>
              <w:bottom w:w="110" w:type="dxa"/>
              <w:end w:w="120" w:type="dxa"/>
            </w:tcMar>
            <w:vAlign w:val="center"/>
          </w:tcPr>
          <w:p>
            <w:pPr>
              <w:spacing w:after="0" w:line="247" w:lineRule="auto"/>
              <w:jc w:val="center"/>
            </w:pPr>
            <w:r>
              <w:rPr>
                <w:rFonts w:ascii="Aptos" w:hAnsi="Aptos"/>
                <w:sz w:val="17"/>
              </w:rPr>
              <w:t>Identity and provenance</w:t>
            </w:r>
          </w:p>
        </w:tc>
        <w:tc>
          <w:tcPr>
            <w:tcW w:type="dxa" w:w="7343"/>
            <w:tcMar>
              <w:top w:w="110" w:type="dxa"/>
              <w:start w:w="120" w:type="dxa"/>
              <w:bottom w:w="110" w:type="dxa"/>
              <w:end w:w="120" w:type="dxa"/>
            </w:tcMar>
            <w:vAlign w:val="center"/>
          </w:tcPr>
          <w:p>
            <w:pPr>
              <w:spacing w:after="0" w:line="247" w:lineRule="auto"/>
              <w:jc w:val="left"/>
            </w:pPr>
            <w:r>
              <w:rPr>
                <w:rFonts w:ascii="Aptos" w:hAnsi="Aptos"/>
                <w:sz w:val="17"/>
              </w:rPr>
              <w:t>NHS number, local identifier, issuer, organisation, issue timestamp and version.</w:t>
            </w:r>
          </w:p>
        </w:tc>
      </w:tr>
      <w:tr>
        <w:trPr>
          <w:cantSplit/>
        </w:trPr>
        <w:tc>
          <w:tcPr>
            <w:tcW w:type="dxa" w:w="2304"/>
            <w:tcMar>
              <w:top w:w="110" w:type="dxa"/>
              <w:start w:w="120" w:type="dxa"/>
              <w:bottom w:w="110" w:type="dxa"/>
              <w:end w:w="120" w:type="dxa"/>
            </w:tcMar>
            <w:vAlign w:val="center"/>
            <w:shd w:fill="F3F5F7"/>
          </w:tcPr>
          <w:p>
            <w:pPr>
              <w:spacing w:after="0" w:line="247" w:lineRule="auto"/>
              <w:jc w:val="center"/>
            </w:pPr>
            <w:r>
              <w:rPr>
                <w:rFonts w:ascii="Aptos" w:hAnsi="Aptos"/>
                <w:sz w:val="17"/>
              </w:rPr>
              <w:t>Consent and sharing</w:t>
            </w:r>
          </w:p>
        </w:tc>
        <w:tc>
          <w:tcPr>
            <w:tcW w:type="dxa" w:w="7343"/>
            <w:tcMar>
              <w:top w:w="110" w:type="dxa"/>
              <w:start w:w="120" w:type="dxa"/>
              <w:bottom w:w="110" w:type="dxa"/>
              <w:end w:w="120" w:type="dxa"/>
            </w:tcMar>
            <w:vAlign w:val="center"/>
            <w:shd w:fill="F3F5F7"/>
          </w:tcPr>
          <w:p>
            <w:pPr>
              <w:spacing w:after="0" w:line="247" w:lineRule="auto"/>
              <w:jc w:val="left"/>
            </w:pPr>
            <w:r>
              <w:rPr>
                <w:rFonts w:ascii="Aptos" w:hAnsi="Aptos"/>
                <w:sz w:val="17"/>
              </w:rPr>
              <w:t>Patient communication preference, external sharing choices, representative authority and date reviewed.</w:t>
            </w:r>
          </w:p>
        </w:tc>
      </w:tr>
      <w:tr>
        <w:trPr>
          <w:cantSplit/>
        </w:trPr>
        <w:tc>
          <w:tcPr>
            <w:tcW w:type="dxa" w:w="2304"/>
            <w:tcMar>
              <w:top w:w="110" w:type="dxa"/>
              <w:start w:w="120" w:type="dxa"/>
              <w:bottom w:w="110" w:type="dxa"/>
              <w:end w:w="120" w:type="dxa"/>
            </w:tcMar>
            <w:vAlign w:val="center"/>
          </w:tcPr>
          <w:p>
            <w:pPr>
              <w:spacing w:after="0" w:line="247" w:lineRule="auto"/>
              <w:jc w:val="center"/>
            </w:pPr>
            <w:r>
              <w:rPr>
                <w:rFonts w:ascii="Aptos" w:hAnsi="Aptos"/>
                <w:sz w:val="17"/>
              </w:rPr>
              <w:t>Functional needs</w:t>
            </w:r>
          </w:p>
        </w:tc>
        <w:tc>
          <w:tcPr>
            <w:tcW w:type="dxa" w:w="7343"/>
            <w:tcMar>
              <w:top w:w="110" w:type="dxa"/>
              <w:start w:w="120" w:type="dxa"/>
              <w:bottom w:w="110" w:type="dxa"/>
              <w:end w:w="120" w:type="dxa"/>
            </w:tcMar>
            <w:vAlign w:val="center"/>
          </w:tcPr>
          <w:p>
            <w:pPr>
              <w:spacing w:after="0" w:line="247" w:lineRule="auto"/>
              <w:jc w:val="left"/>
            </w:pPr>
            <w:r>
              <w:rPr>
                <w:rFonts w:ascii="Aptos" w:hAnsi="Aptos"/>
                <w:sz w:val="17"/>
              </w:rPr>
              <w:t>Structured categories plus plain language detail; severity, variability, triggers and urgent risk flag.</w:t>
            </w:r>
          </w:p>
        </w:tc>
      </w:tr>
      <w:tr>
        <w:trPr>
          <w:cantSplit/>
        </w:trPr>
        <w:tc>
          <w:tcPr>
            <w:tcW w:type="dxa" w:w="2304"/>
            <w:tcMar>
              <w:top w:w="110" w:type="dxa"/>
              <w:start w:w="120" w:type="dxa"/>
              <w:bottom w:w="110" w:type="dxa"/>
              <w:end w:w="120" w:type="dxa"/>
            </w:tcMar>
            <w:vAlign w:val="center"/>
            <w:shd w:fill="F3F5F7"/>
          </w:tcPr>
          <w:p>
            <w:pPr>
              <w:spacing w:after="0" w:line="247" w:lineRule="auto"/>
              <w:jc w:val="center"/>
            </w:pPr>
            <w:r>
              <w:rPr>
                <w:rFonts w:ascii="Aptos" w:hAnsi="Aptos"/>
                <w:sz w:val="17"/>
              </w:rPr>
              <w:t>Adjustments</w:t>
            </w:r>
          </w:p>
        </w:tc>
        <w:tc>
          <w:tcPr>
            <w:tcW w:type="dxa" w:w="7343"/>
            <w:tcMar>
              <w:top w:w="110" w:type="dxa"/>
              <w:start w:w="120" w:type="dxa"/>
              <w:bottom w:w="110" w:type="dxa"/>
              <w:end w:w="120" w:type="dxa"/>
            </w:tcMar>
            <w:vAlign w:val="center"/>
            <w:shd w:fill="F3F5F7"/>
          </w:tcPr>
          <w:p>
            <w:pPr>
              <w:spacing w:after="0" w:line="247" w:lineRule="auto"/>
              <w:jc w:val="left"/>
            </w:pPr>
            <w:r>
              <w:rPr>
                <w:rFonts w:ascii="Aptos" w:hAnsi="Aptos"/>
                <w:sz w:val="17"/>
              </w:rPr>
              <w:t>Adjustment code, free text instruction, setting, responsible body, status, refusal reason and alternative.</w:t>
            </w:r>
          </w:p>
        </w:tc>
      </w:tr>
      <w:tr>
        <w:trPr>
          <w:cantSplit/>
        </w:trPr>
        <w:tc>
          <w:tcPr>
            <w:tcW w:type="dxa" w:w="2304"/>
            <w:tcMar>
              <w:top w:w="110" w:type="dxa"/>
              <w:start w:w="120" w:type="dxa"/>
              <w:bottom w:w="110" w:type="dxa"/>
              <w:end w:w="120" w:type="dxa"/>
            </w:tcMar>
            <w:vAlign w:val="center"/>
          </w:tcPr>
          <w:p>
            <w:pPr>
              <w:spacing w:after="0" w:line="247" w:lineRule="auto"/>
              <w:jc w:val="center"/>
            </w:pPr>
            <w:r>
              <w:rPr>
                <w:rFonts w:ascii="Aptos" w:hAnsi="Aptos"/>
                <w:sz w:val="17"/>
              </w:rPr>
              <w:t>Pathway</w:t>
            </w:r>
          </w:p>
        </w:tc>
        <w:tc>
          <w:tcPr>
            <w:tcW w:type="dxa" w:w="7343"/>
            <w:tcMar>
              <w:top w:w="110" w:type="dxa"/>
              <w:start w:w="120" w:type="dxa"/>
              <w:bottom w:w="110" w:type="dxa"/>
              <w:end w:w="120" w:type="dxa"/>
            </w:tcMar>
            <w:vAlign w:val="center"/>
          </w:tcPr>
          <w:p>
            <w:pPr>
              <w:spacing w:after="0" w:line="247" w:lineRule="auto"/>
              <w:jc w:val="left"/>
            </w:pPr>
            <w:r>
              <w:rPr>
                <w:rFonts w:ascii="Aptos" w:hAnsi="Aptos"/>
                <w:sz w:val="17"/>
              </w:rPr>
              <w:t>Persistent pathway key, clinical question, original referral date, acceptance date, provider, status and transfer history.</w:t>
            </w:r>
          </w:p>
        </w:tc>
      </w:tr>
      <w:tr>
        <w:trPr>
          <w:cantSplit/>
        </w:trPr>
        <w:tc>
          <w:tcPr>
            <w:tcW w:type="dxa" w:w="2304"/>
            <w:tcMar>
              <w:top w:w="110" w:type="dxa"/>
              <w:start w:w="120" w:type="dxa"/>
              <w:bottom w:w="110" w:type="dxa"/>
              <w:end w:w="120" w:type="dxa"/>
            </w:tcMar>
            <w:vAlign w:val="center"/>
            <w:shd w:fill="F3F5F7"/>
          </w:tcPr>
          <w:p>
            <w:pPr>
              <w:spacing w:after="0" w:line="247" w:lineRule="auto"/>
              <w:jc w:val="center"/>
            </w:pPr>
            <w:r>
              <w:rPr>
                <w:rFonts w:ascii="Aptos" w:hAnsi="Aptos"/>
                <w:sz w:val="17"/>
              </w:rPr>
              <w:t>Service events</w:t>
            </w:r>
          </w:p>
        </w:tc>
        <w:tc>
          <w:tcPr>
            <w:tcW w:type="dxa" w:w="7343"/>
            <w:tcMar>
              <w:top w:w="110" w:type="dxa"/>
              <w:start w:w="120" w:type="dxa"/>
              <w:bottom w:w="110" w:type="dxa"/>
              <w:end w:w="120" w:type="dxa"/>
            </w:tcMar>
            <w:vAlign w:val="center"/>
            <w:shd w:fill="F3F5F7"/>
          </w:tcPr>
          <w:p>
            <w:pPr>
              <w:spacing w:after="0" w:line="247" w:lineRule="auto"/>
              <w:jc w:val="left"/>
            </w:pPr>
            <w:r>
              <w:rPr>
                <w:rFonts w:ascii="Aptos" w:hAnsi="Aptos"/>
                <w:sz w:val="17"/>
              </w:rPr>
              <w:t>Event code, clinician, timestamp, completion state, clinical necessity for any repeat and claim reference.</w:t>
            </w:r>
          </w:p>
        </w:tc>
      </w:tr>
      <w:tr>
        <w:trPr>
          <w:cantSplit/>
        </w:trPr>
        <w:tc>
          <w:tcPr>
            <w:tcW w:type="dxa" w:w="2304"/>
            <w:tcMar>
              <w:top w:w="110" w:type="dxa"/>
              <w:start w:w="120" w:type="dxa"/>
              <w:bottom w:w="110" w:type="dxa"/>
              <w:end w:w="120" w:type="dxa"/>
            </w:tcMar>
            <w:vAlign w:val="center"/>
          </w:tcPr>
          <w:p>
            <w:pPr>
              <w:spacing w:after="0" w:line="247" w:lineRule="auto"/>
              <w:jc w:val="center"/>
            </w:pPr>
            <w:r>
              <w:rPr>
                <w:rFonts w:ascii="Aptos" w:hAnsi="Aptos"/>
                <w:sz w:val="17"/>
              </w:rPr>
              <w:t>Review and redress</w:t>
            </w:r>
          </w:p>
        </w:tc>
        <w:tc>
          <w:tcPr>
            <w:tcW w:type="dxa" w:w="7343"/>
            <w:tcMar>
              <w:top w:w="110" w:type="dxa"/>
              <w:start w:w="120" w:type="dxa"/>
              <w:bottom w:w="110" w:type="dxa"/>
              <w:end w:w="120" w:type="dxa"/>
            </w:tcMar>
            <w:vAlign w:val="center"/>
          </w:tcPr>
          <w:p>
            <w:pPr>
              <w:spacing w:after="0" w:line="247" w:lineRule="auto"/>
              <w:jc w:val="left"/>
            </w:pPr>
            <w:r>
              <w:rPr>
                <w:rFonts w:ascii="Aptos" w:hAnsi="Aptos"/>
                <w:sz w:val="17"/>
              </w:rPr>
              <w:t>Correction request, decision review, complaint, closure notice, reinstatement and outcome dates.</w:t>
            </w:r>
          </w:p>
        </w:tc>
      </w:tr>
      <w:tr>
        <w:trPr>
          <w:cantSplit/>
        </w:trPr>
        <w:tc>
          <w:tcPr>
            <w:tcW w:type="dxa" w:w="2304"/>
            <w:tcMar>
              <w:top w:w="110" w:type="dxa"/>
              <w:start w:w="120" w:type="dxa"/>
              <w:bottom w:w="110" w:type="dxa"/>
              <w:end w:w="120" w:type="dxa"/>
            </w:tcMar>
            <w:vAlign w:val="center"/>
            <w:shd w:fill="F3F5F7"/>
          </w:tcPr>
          <w:p>
            <w:pPr>
              <w:spacing w:after="0" w:line="247" w:lineRule="auto"/>
              <w:jc w:val="center"/>
            </w:pPr>
            <w:r>
              <w:rPr>
                <w:rFonts w:ascii="Aptos" w:hAnsi="Aptos"/>
                <w:sz w:val="17"/>
              </w:rPr>
              <w:t>Outcome</w:t>
            </w:r>
          </w:p>
        </w:tc>
        <w:tc>
          <w:tcPr>
            <w:tcW w:type="dxa" w:w="7343"/>
            <w:tcMar>
              <w:top w:w="110" w:type="dxa"/>
              <w:start w:w="120" w:type="dxa"/>
              <w:bottom w:w="110" w:type="dxa"/>
              <w:end w:w="120" w:type="dxa"/>
            </w:tcMar>
            <w:vAlign w:val="center"/>
            <w:shd w:fill="F3F5F7"/>
          </w:tcPr>
          <w:p>
            <w:pPr>
              <w:spacing w:after="0" w:line="247" w:lineRule="auto"/>
              <w:jc w:val="left"/>
            </w:pPr>
            <w:r>
              <w:rPr>
                <w:rFonts w:ascii="Aptos" w:hAnsi="Aptos"/>
                <w:sz w:val="17"/>
              </w:rPr>
              <w:t>Final assessment status, handover completed, ongoing support owner and certificate update or closure reason.</w:t>
            </w:r>
          </w:p>
        </w:tc>
      </w:tr>
    </w:tbl>
    <w:p>
      <w:pPr>
        <w:spacing w:after="20"/>
      </w:pPr>
    </w:p>
    <w:p>
      <w:pPr>
        <w:pStyle w:val="Heading1"/>
        <w:keepNext/>
      </w:pPr>
      <w:r>
        <w:rPr>
          <w:rFonts w:ascii="Aptos" w:hAnsi="Aptos"/>
          <w:b/>
          <w:color w:val="000000"/>
        </w:rPr>
        <w:t>Appendix D National and local metrics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rPr>
          <w:tblHeader w:val="true"/>
          <w:cantSplit/>
        </w:trPr>
        <w:tc>
          <w:tcPr>
            <w:tcW w:type="dxa" w:w="2015"/>
            <w:shd w:fill="17365D"/>
            <w:tcMar>
              <w:top w:w="110" w:type="dxa"/>
              <w:start w:w="120" w:type="dxa"/>
              <w:bottom w:w="110" w:type="dxa"/>
              <w:end w:w="120" w:type="dxa"/>
            </w:tcMar>
            <w:vAlign w:val="center"/>
          </w:tcPr>
          <w:p>
            <w:pPr>
              <w:spacing w:after="0"/>
              <w:jc w:val="center"/>
            </w:pPr>
            <w:r>
              <w:rPr>
                <w:rFonts w:ascii="Aptos" w:hAnsi="Aptos"/>
                <w:b/>
                <w:color w:val="FFFFFF"/>
                <w:sz w:val="17"/>
              </w:rPr>
              <w:t>Domain</w:t>
            </w:r>
          </w:p>
        </w:tc>
        <w:tc>
          <w:tcPr>
            <w:tcW w:type="dxa" w:w="7632"/>
            <w:shd w:fill="17365D"/>
            <w:tcMar>
              <w:top w:w="110" w:type="dxa"/>
              <w:start w:w="120" w:type="dxa"/>
              <w:bottom w:w="110" w:type="dxa"/>
              <w:end w:w="120" w:type="dxa"/>
            </w:tcMar>
            <w:vAlign w:val="center"/>
          </w:tcPr>
          <w:p>
            <w:pPr>
              <w:spacing w:after="0"/>
              <w:jc w:val="center"/>
            </w:pPr>
            <w:r>
              <w:rPr>
                <w:rFonts w:ascii="Aptos" w:hAnsi="Aptos"/>
                <w:b/>
                <w:color w:val="FFFFFF"/>
                <w:sz w:val="17"/>
              </w:rPr>
              <w:t>Core measures</w:t>
            </w:r>
          </w:p>
        </w:tc>
      </w:tr>
      <w:tr>
        <w:trPr>
          <w:cantSplit/>
        </w:trPr>
        <w:tc>
          <w:tcPr>
            <w:tcW w:type="dxa" w:w="2015"/>
            <w:tcMar>
              <w:top w:w="110" w:type="dxa"/>
              <w:start w:w="120" w:type="dxa"/>
              <w:bottom w:w="110" w:type="dxa"/>
              <w:end w:w="120" w:type="dxa"/>
            </w:tcMar>
            <w:vAlign w:val="center"/>
          </w:tcPr>
          <w:p>
            <w:pPr>
              <w:spacing w:after="0" w:line="247" w:lineRule="auto"/>
              <w:jc w:val="center"/>
            </w:pPr>
            <w:r>
              <w:rPr>
                <w:rFonts w:ascii="Aptos" w:hAnsi="Aptos"/>
                <w:sz w:val="17"/>
              </w:rPr>
              <w:t>Access</w:t>
            </w:r>
          </w:p>
        </w:tc>
        <w:tc>
          <w:tcPr>
            <w:tcW w:type="dxa" w:w="7632"/>
            <w:tcMar>
              <w:top w:w="110" w:type="dxa"/>
              <w:start w:w="120" w:type="dxa"/>
              <w:bottom w:w="110" w:type="dxa"/>
              <w:end w:w="120" w:type="dxa"/>
            </w:tcMar>
            <w:vAlign w:val="center"/>
          </w:tcPr>
          <w:p>
            <w:pPr>
              <w:spacing w:after="0" w:line="247" w:lineRule="auto"/>
              <w:jc w:val="left"/>
            </w:pPr>
            <w:r>
              <w:rPr>
                <w:rFonts w:ascii="Aptos" w:hAnsi="Aptos"/>
                <w:sz w:val="17"/>
              </w:rPr>
              <w:t>Requests, issue rate, refusal rate, time to initial review, accessible format use and appeal outcome.</w:t>
            </w:r>
          </w:p>
        </w:tc>
      </w:tr>
      <w:tr>
        <w:trPr>
          <w:cantSplit/>
        </w:trPr>
        <w:tc>
          <w:tcPr>
            <w:tcW w:type="dxa" w:w="2015"/>
            <w:tcMar>
              <w:top w:w="110" w:type="dxa"/>
              <w:start w:w="120" w:type="dxa"/>
              <w:bottom w:w="110" w:type="dxa"/>
              <w:end w:w="120" w:type="dxa"/>
            </w:tcMar>
            <w:vAlign w:val="center"/>
            <w:shd w:fill="F3F5F7"/>
          </w:tcPr>
          <w:p>
            <w:pPr>
              <w:spacing w:after="0" w:line="247" w:lineRule="auto"/>
              <w:jc w:val="center"/>
            </w:pPr>
            <w:r>
              <w:rPr>
                <w:rFonts w:ascii="Aptos" w:hAnsi="Aptos"/>
                <w:sz w:val="17"/>
              </w:rPr>
              <w:t>Support</w:t>
            </w:r>
          </w:p>
        </w:tc>
        <w:tc>
          <w:tcPr>
            <w:tcW w:type="dxa" w:w="7632"/>
            <w:tcMar>
              <w:top w:w="110" w:type="dxa"/>
              <w:start w:w="120" w:type="dxa"/>
              <w:bottom w:w="110" w:type="dxa"/>
              <w:end w:w="120" w:type="dxa"/>
            </w:tcMar>
            <w:vAlign w:val="center"/>
            <w:shd w:fill="F3F5F7"/>
          </w:tcPr>
          <w:p>
            <w:pPr>
              <w:spacing w:after="0" w:line="247" w:lineRule="auto"/>
              <w:jc w:val="left"/>
            </w:pPr>
            <w:r>
              <w:rPr>
                <w:rFonts w:ascii="Aptos" w:hAnsi="Aptos"/>
                <w:sz w:val="17"/>
              </w:rPr>
              <w:t>Time to first adjustment, adjustment delivery rate, documented alternatives and patient reported usefulness.</w:t>
            </w:r>
          </w:p>
        </w:tc>
      </w:tr>
      <w:tr>
        <w:trPr>
          <w:cantSplit/>
        </w:trPr>
        <w:tc>
          <w:tcPr>
            <w:tcW w:type="dxa" w:w="2015"/>
            <w:tcMar>
              <w:top w:w="110" w:type="dxa"/>
              <w:start w:w="120" w:type="dxa"/>
              <w:bottom w:w="110" w:type="dxa"/>
              <w:end w:w="120" w:type="dxa"/>
            </w:tcMar>
            <w:vAlign w:val="center"/>
          </w:tcPr>
          <w:p>
            <w:pPr>
              <w:spacing w:after="0" w:line="247" w:lineRule="auto"/>
              <w:jc w:val="center"/>
            </w:pPr>
            <w:r>
              <w:rPr>
                <w:rFonts w:ascii="Aptos" w:hAnsi="Aptos"/>
                <w:sz w:val="17"/>
              </w:rPr>
              <w:t>Continuity</w:t>
            </w:r>
          </w:p>
        </w:tc>
        <w:tc>
          <w:tcPr>
            <w:tcW w:type="dxa" w:w="7632"/>
            <w:tcMar>
              <w:top w:w="110" w:type="dxa"/>
              <w:start w:w="120" w:type="dxa"/>
              <w:bottom w:w="110" w:type="dxa"/>
              <w:end w:w="120" w:type="dxa"/>
            </w:tcMar>
            <w:vAlign w:val="center"/>
          </w:tcPr>
          <w:p>
            <w:pPr>
              <w:spacing w:after="0" w:line="247" w:lineRule="auto"/>
              <w:jc w:val="left"/>
            </w:pPr>
            <w:r>
              <w:rPr>
                <w:rFonts w:ascii="Aptos" w:hAnsi="Aptos"/>
                <w:sz w:val="17"/>
              </w:rPr>
              <w:t>Transfers preserving original date, lost referrals, administrative closures, reinstatements and repeated history taking.</w:t>
            </w:r>
          </w:p>
        </w:tc>
      </w:tr>
      <w:tr>
        <w:trPr>
          <w:cantSplit/>
        </w:trPr>
        <w:tc>
          <w:tcPr>
            <w:tcW w:type="dxa" w:w="2015"/>
            <w:tcMar>
              <w:top w:w="110" w:type="dxa"/>
              <w:start w:w="120" w:type="dxa"/>
              <w:bottom w:w="110" w:type="dxa"/>
              <w:end w:w="120" w:type="dxa"/>
            </w:tcMar>
            <w:vAlign w:val="center"/>
            <w:shd w:fill="F3F5F7"/>
          </w:tcPr>
          <w:p>
            <w:pPr>
              <w:spacing w:after="0" w:line="247" w:lineRule="auto"/>
              <w:jc w:val="center"/>
            </w:pPr>
            <w:r>
              <w:rPr>
                <w:rFonts w:ascii="Aptos" w:hAnsi="Aptos"/>
                <w:sz w:val="17"/>
              </w:rPr>
              <w:t>Clinical</w:t>
            </w:r>
          </w:p>
        </w:tc>
        <w:tc>
          <w:tcPr>
            <w:tcW w:type="dxa" w:w="7632"/>
            <w:tcMar>
              <w:top w:w="110" w:type="dxa"/>
              <w:start w:w="120" w:type="dxa"/>
              <w:bottom w:w="110" w:type="dxa"/>
              <w:end w:w="120" w:type="dxa"/>
            </w:tcMar>
            <w:vAlign w:val="center"/>
            <w:shd w:fill="F3F5F7"/>
          </w:tcPr>
          <w:p>
            <w:pPr>
              <w:spacing w:after="0" w:line="247" w:lineRule="auto"/>
              <w:jc w:val="left"/>
            </w:pPr>
            <w:r>
              <w:rPr>
                <w:rFonts w:ascii="Aptos" w:hAnsi="Aptos"/>
                <w:sz w:val="17"/>
              </w:rPr>
              <w:t>Time to diagnosis where indicated, completed assessments, quality audit, urgent escalations and coexisting needs addressed.</w:t>
            </w:r>
          </w:p>
        </w:tc>
      </w:tr>
      <w:tr>
        <w:trPr>
          <w:cantSplit/>
        </w:trPr>
        <w:tc>
          <w:tcPr>
            <w:tcW w:type="dxa" w:w="2015"/>
            <w:tcMar>
              <w:top w:w="110" w:type="dxa"/>
              <w:start w:w="120" w:type="dxa"/>
              <w:bottom w:w="110" w:type="dxa"/>
              <w:end w:w="120" w:type="dxa"/>
            </w:tcMar>
            <w:vAlign w:val="center"/>
          </w:tcPr>
          <w:p>
            <w:pPr>
              <w:spacing w:after="0" w:line="247" w:lineRule="auto"/>
              <w:jc w:val="center"/>
            </w:pPr>
            <w:r>
              <w:rPr>
                <w:rFonts w:ascii="Aptos" w:hAnsi="Aptos"/>
                <w:sz w:val="17"/>
              </w:rPr>
              <w:t>Equality</w:t>
            </w:r>
          </w:p>
        </w:tc>
        <w:tc>
          <w:tcPr>
            <w:tcW w:type="dxa" w:w="7632"/>
            <w:tcMar>
              <w:top w:w="110" w:type="dxa"/>
              <w:start w:w="120" w:type="dxa"/>
              <w:bottom w:w="110" w:type="dxa"/>
              <w:end w:w="120" w:type="dxa"/>
            </w:tcMar>
            <w:vAlign w:val="center"/>
          </w:tcPr>
          <w:p>
            <w:pPr>
              <w:spacing w:after="0" w:line="247" w:lineRule="auto"/>
              <w:jc w:val="left"/>
            </w:pPr>
            <w:r>
              <w:rPr>
                <w:rFonts w:ascii="Aptos" w:hAnsi="Aptos"/>
                <w:sz w:val="17"/>
              </w:rPr>
              <w:t>All measures by age, sex, ethnicity, deprivation, geography, disability, communication need and other lawful characteristics where data quality permits.</w:t>
            </w:r>
          </w:p>
        </w:tc>
      </w:tr>
      <w:tr>
        <w:trPr>
          <w:cantSplit/>
        </w:trPr>
        <w:tc>
          <w:tcPr>
            <w:tcW w:type="dxa" w:w="2015"/>
            <w:tcMar>
              <w:top w:w="110" w:type="dxa"/>
              <w:start w:w="120" w:type="dxa"/>
              <w:bottom w:w="110" w:type="dxa"/>
              <w:end w:w="120" w:type="dxa"/>
            </w:tcMar>
            <w:vAlign w:val="center"/>
            <w:shd w:fill="F3F5F7"/>
          </w:tcPr>
          <w:p>
            <w:pPr>
              <w:spacing w:after="0" w:line="247" w:lineRule="auto"/>
              <w:jc w:val="center"/>
            </w:pPr>
            <w:r>
              <w:rPr>
                <w:rFonts w:ascii="Aptos" w:hAnsi="Aptos"/>
                <w:sz w:val="17"/>
              </w:rPr>
              <w:t>Finance</w:t>
            </w:r>
          </w:p>
        </w:tc>
        <w:tc>
          <w:tcPr>
            <w:tcW w:type="dxa" w:w="7632"/>
            <w:tcMar>
              <w:top w:w="110" w:type="dxa"/>
              <w:start w:w="120" w:type="dxa"/>
              <w:bottom w:w="110" w:type="dxa"/>
              <w:end w:w="120" w:type="dxa"/>
            </w:tcMar>
            <w:vAlign w:val="center"/>
            <w:shd w:fill="F3F5F7"/>
          </w:tcPr>
          <w:p>
            <w:pPr>
              <w:spacing w:after="0" w:line="247" w:lineRule="auto"/>
              <w:jc w:val="left"/>
            </w:pPr>
            <w:r>
              <w:rPr>
                <w:rFonts w:ascii="Aptos" w:hAnsi="Aptos"/>
                <w:sz w:val="17"/>
              </w:rPr>
              <w:t>Certificate cost, duplicate events blocked, repeat assessments avoided, recovery, complaints cost and provider level variation.</w:t>
            </w:r>
          </w:p>
        </w:tc>
      </w:tr>
      <w:tr>
        <w:trPr>
          <w:cantSplit/>
        </w:trPr>
        <w:tc>
          <w:tcPr>
            <w:tcW w:type="dxa" w:w="2015"/>
            <w:tcMar>
              <w:top w:w="110" w:type="dxa"/>
              <w:start w:w="120" w:type="dxa"/>
              <w:bottom w:w="110" w:type="dxa"/>
              <w:end w:w="120" w:type="dxa"/>
            </w:tcMar>
            <w:vAlign w:val="center"/>
          </w:tcPr>
          <w:p>
            <w:pPr>
              <w:spacing w:after="0" w:line="247" w:lineRule="auto"/>
              <w:jc w:val="center"/>
            </w:pPr>
            <w:r>
              <w:rPr>
                <w:rFonts w:ascii="Aptos" w:hAnsi="Aptos"/>
                <w:sz w:val="17"/>
              </w:rPr>
              <w:t>Experience</w:t>
            </w:r>
          </w:p>
        </w:tc>
        <w:tc>
          <w:tcPr>
            <w:tcW w:type="dxa" w:w="7632"/>
            <w:tcMar>
              <w:top w:w="110" w:type="dxa"/>
              <w:start w:w="120" w:type="dxa"/>
              <w:bottom w:w="110" w:type="dxa"/>
              <w:end w:w="120" w:type="dxa"/>
            </w:tcMar>
            <w:vAlign w:val="center"/>
          </w:tcPr>
          <w:p>
            <w:pPr>
              <w:spacing w:after="0" w:line="247" w:lineRule="auto"/>
              <w:jc w:val="left"/>
            </w:pPr>
            <w:r>
              <w:rPr>
                <w:rFonts w:ascii="Aptos" w:hAnsi="Aptos"/>
                <w:sz w:val="17"/>
              </w:rPr>
              <w:t>Control, understanding, trust, burden of repetition, private spending and reported harm.</w:t>
            </w:r>
          </w:p>
        </w:tc>
      </w:tr>
      <w:tr>
        <w:trPr>
          <w:cantSplit/>
        </w:trPr>
        <w:tc>
          <w:tcPr>
            <w:tcW w:type="dxa" w:w="2015"/>
            <w:tcMar>
              <w:top w:w="110" w:type="dxa"/>
              <w:start w:w="120" w:type="dxa"/>
              <w:bottom w:w="110" w:type="dxa"/>
              <w:end w:w="120" w:type="dxa"/>
            </w:tcMar>
            <w:vAlign w:val="center"/>
            <w:shd w:fill="F3F5F7"/>
          </w:tcPr>
          <w:p>
            <w:pPr>
              <w:spacing w:after="0" w:line="247" w:lineRule="auto"/>
              <w:jc w:val="center"/>
            </w:pPr>
            <w:r>
              <w:rPr>
                <w:rFonts w:ascii="Aptos" w:hAnsi="Aptos"/>
                <w:sz w:val="17"/>
              </w:rPr>
              <w:t>Safety</w:t>
            </w:r>
          </w:p>
        </w:tc>
        <w:tc>
          <w:tcPr>
            <w:tcW w:type="dxa" w:w="7632"/>
            <w:tcMar>
              <w:top w:w="110" w:type="dxa"/>
              <w:start w:w="120" w:type="dxa"/>
              <w:bottom w:w="110" w:type="dxa"/>
              <w:end w:w="120" w:type="dxa"/>
            </w:tcMar>
            <w:vAlign w:val="center"/>
            <w:shd w:fill="F3F5F7"/>
          </w:tcPr>
          <w:p>
            <w:pPr>
              <w:spacing w:after="0" w:line="247" w:lineRule="auto"/>
              <w:jc w:val="left"/>
            </w:pPr>
            <w:r>
              <w:rPr>
                <w:rFonts w:ascii="Aptos" w:hAnsi="Aptos"/>
                <w:sz w:val="17"/>
              </w:rPr>
              <w:t>Serious incidents, inappropriate disclosure, mistaken identity, missed urgent need and diagnosis access reduction.</w:t>
            </w:r>
          </w:p>
        </w:tc>
      </w:tr>
    </w:tbl>
    <w:p>
      <w:pPr>
        <w:spacing w:after="20"/>
      </w:pPr>
    </w:p>
    <w:p>
      <w:pPr>
        <w:pStyle w:val="Heading1"/>
        <w:keepNext/>
      </w:pPr>
      <w:r>
        <w:rPr>
          <w:rFonts w:ascii="Aptos" w:hAnsi="Aptos"/>
          <w:b/>
          <w:color w:val="000000"/>
        </w:rPr>
        <w:t>Appendix E Lived evidence and audit schedule</w:t>
      </w:r>
    </w:p>
    <w:p>
      <w:pPr>
        <w:spacing w:after="140" w:line="269" w:lineRule="auto"/>
      </w:pPr>
      <w:r>
        <w:rPr>
          <w:rFonts w:ascii="Aptos" w:hAnsi="Aptos"/>
        </w:rPr>
        <w:t>This schedule converts the anonymised account into testable questions. It does not ask investigators to accept or reject the contributor's interpretation in advance. The NHS and commissioned bodies should reconstruct the chronology from their own records, preserve conflicting evidence and give the contributor an accessible written response.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31"/>
        <w:gridCol w:w="3331"/>
        <w:gridCol w:w="3331"/>
      </w:tblGrid>
      <w:tr>
        <w:trPr>
          <w:tblHeader w:val="true"/>
          <w:cantSplit/>
        </w:trPr>
        <w:tc>
          <w:tcPr>
            <w:tcW w:type="dxa" w:w="2376"/>
            <w:shd w:fill="17365D"/>
            <w:tcMar>
              <w:top w:w="110" w:type="dxa"/>
              <w:start w:w="120" w:type="dxa"/>
              <w:bottom w:w="110" w:type="dxa"/>
              <w:end w:w="120" w:type="dxa"/>
            </w:tcMar>
            <w:vAlign w:val="center"/>
          </w:tcPr>
          <w:p>
            <w:pPr>
              <w:spacing w:after="0"/>
              <w:jc w:val="center"/>
            </w:pPr>
            <w:r>
              <w:rPr>
                <w:rFonts w:ascii="Aptos" w:hAnsi="Aptos"/>
                <w:b/>
                <w:color w:val="FFFFFF"/>
                <w:sz w:val="16"/>
              </w:rPr>
              <w:t>Issue to test</w:t>
            </w:r>
          </w:p>
        </w:tc>
        <w:tc>
          <w:tcPr>
            <w:tcW w:type="dxa" w:w="4608"/>
            <w:shd w:fill="17365D"/>
            <w:tcMar>
              <w:top w:w="110" w:type="dxa"/>
              <w:start w:w="120" w:type="dxa"/>
              <w:bottom w:w="110" w:type="dxa"/>
              <w:end w:w="120" w:type="dxa"/>
            </w:tcMar>
            <w:vAlign w:val="center"/>
          </w:tcPr>
          <w:p>
            <w:pPr>
              <w:spacing w:after="0"/>
              <w:jc w:val="center"/>
            </w:pPr>
            <w:r>
              <w:rPr>
                <w:rFonts w:ascii="Aptos" w:hAnsi="Aptos"/>
                <w:b/>
                <w:color w:val="FFFFFF"/>
                <w:sz w:val="16"/>
              </w:rPr>
              <w:t>Records required</w:t>
            </w:r>
          </w:p>
        </w:tc>
        <w:tc>
          <w:tcPr>
            <w:tcW w:type="dxa" w:w="2664"/>
            <w:shd w:fill="17365D"/>
            <w:tcMar>
              <w:top w:w="110" w:type="dxa"/>
              <w:start w:w="120" w:type="dxa"/>
              <w:bottom w:w="110" w:type="dxa"/>
              <w:end w:w="120" w:type="dxa"/>
            </w:tcMar>
            <w:vAlign w:val="center"/>
          </w:tcPr>
          <w:p>
            <w:pPr>
              <w:spacing w:after="0"/>
              <w:jc w:val="center"/>
            </w:pPr>
            <w:r>
              <w:rPr>
                <w:rFonts w:ascii="Aptos" w:hAnsi="Aptos"/>
                <w:b/>
                <w:color w:val="FFFFFF"/>
                <w:sz w:val="16"/>
              </w:rPr>
              <w:t>Finding to report</w:t>
            </w:r>
          </w:p>
        </w:tc>
      </w:tr>
      <w:tr>
        <w:trPr>
          <w:cantSplit/>
        </w:trPr>
        <w:tc>
          <w:tcPr>
            <w:tcW w:type="dxa" w:w="2376"/>
            <w:tcMar>
              <w:top w:w="110" w:type="dxa"/>
              <w:start w:w="120" w:type="dxa"/>
              <w:bottom w:w="110" w:type="dxa"/>
              <w:end w:w="120" w:type="dxa"/>
            </w:tcMar>
            <w:vAlign w:val="center"/>
          </w:tcPr>
          <w:p>
            <w:pPr>
              <w:spacing w:after="0" w:line="247" w:lineRule="auto"/>
              <w:jc w:val="left"/>
            </w:pPr>
            <w:r>
              <w:rPr>
                <w:rFonts w:ascii="Aptos" w:hAnsi="Aptos"/>
                <w:sz w:val="16"/>
              </w:rPr>
              <w:t>Referral completed but later rejected for alleged non response</w:t>
            </w:r>
          </w:p>
        </w:tc>
        <w:tc>
          <w:tcPr>
            <w:tcW w:type="dxa" w:w="4608"/>
            <w:tcMar>
              <w:top w:w="110" w:type="dxa"/>
              <w:start w:w="120" w:type="dxa"/>
              <w:bottom w:w="110" w:type="dxa"/>
              <w:end w:w="120" w:type="dxa"/>
            </w:tcMar>
            <w:vAlign w:val="center"/>
          </w:tcPr>
          <w:p>
            <w:pPr>
              <w:spacing w:after="0" w:line="247" w:lineRule="auto"/>
              <w:jc w:val="left"/>
            </w:pPr>
            <w:r>
              <w:rPr>
                <w:rFonts w:ascii="Aptos" w:hAnsi="Aptos"/>
                <w:sz w:val="16"/>
              </w:rPr>
              <w:t>GP referral and consultation record; e Referral and advice and guidance messages; DRSS or hub audit log; hospital decision; notices to patient; timestamps and named roles.</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Whether a response was due, sent, received or missed; who decided; effect on queue; corrective action and restored date.</w:t>
            </w:r>
          </w:p>
        </w:tc>
      </w:tr>
      <w:tr>
        <w:trPr>
          <w:cantSplit/>
        </w:trPr>
        <w:tc>
          <w:tcPr>
            <w:tcW w:type="dxa" w:w="2376"/>
            <w:tcMar>
              <w:top w:w="110" w:type="dxa"/>
              <w:start w:w="120" w:type="dxa"/>
              <w:bottom w:w="110" w:type="dxa"/>
              <w:end w:w="120" w:type="dxa"/>
            </w:tcMar>
            <w:vAlign w:val="center"/>
            <w:shd w:fill="F3F5F7"/>
          </w:tcPr>
          <w:p>
            <w:pPr>
              <w:spacing w:after="0" w:line="247" w:lineRule="auto"/>
              <w:jc w:val="left"/>
            </w:pPr>
            <w:r>
              <w:rPr>
                <w:rFonts w:ascii="Aptos" w:hAnsi="Aptos"/>
                <w:sz w:val="16"/>
              </w:rPr>
              <w:t>One chance booking or inaccessible contact</w:t>
            </w:r>
          </w:p>
        </w:tc>
        <w:tc>
          <w:tcPr>
            <w:tcW w:type="dxa" w:w="4608"/>
            <w:tcMar>
              <w:top w:w="110" w:type="dxa"/>
              <w:start w:w="120" w:type="dxa"/>
              <w:bottom w:w="110" w:type="dxa"/>
              <w:end w:w="120" w:type="dxa"/>
            </w:tcMar>
            <w:vAlign w:val="center"/>
            <w:shd w:fill="F3F5F7"/>
          </w:tcPr>
          <w:p>
            <w:pPr>
              <w:spacing w:after="0" w:line="247" w:lineRule="auto"/>
              <w:jc w:val="left"/>
            </w:pPr>
            <w:r>
              <w:rPr>
                <w:rFonts w:ascii="Aptos" w:hAnsi="Aptos"/>
                <w:sz w:val="16"/>
              </w:rPr>
              <w:t>Booking rules; attempted contacts; communication flag; call recordings or metadata; written alternatives; staff notes; closure authority.</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Whether adjustments were known and used; whether non engagement was recorded fairly; harm and reinstatement.</w:t>
            </w:r>
          </w:p>
        </w:tc>
      </w:tr>
      <w:tr>
        <w:trPr>
          <w:cantSplit/>
        </w:trPr>
        <w:tc>
          <w:tcPr>
            <w:tcW w:type="dxa" w:w="2376"/>
            <w:tcMar>
              <w:top w:w="110" w:type="dxa"/>
              <w:start w:w="120" w:type="dxa"/>
              <w:bottom w:w="110" w:type="dxa"/>
              <w:end w:w="120" w:type="dxa"/>
            </w:tcMar>
            <w:vAlign w:val="center"/>
          </w:tcPr>
          <w:p>
            <w:pPr>
              <w:spacing w:after="0" w:line="247" w:lineRule="auto"/>
              <w:jc w:val="left"/>
            </w:pPr>
            <w:r>
              <w:rPr>
                <w:rFonts w:ascii="Aptos" w:hAnsi="Aptos"/>
                <w:sz w:val="16"/>
              </w:rPr>
              <w:t>Repeated registration, history or questionnaire</w:t>
            </w:r>
          </w:p>
        </w:tc>
        <w:tc>
          <w:tcPr>
            <w:tcW w:type="dxa" w:w="4608"/>
            <w:tcMar>
              <w:top w:w="110" w:type="dxa"/>
              <w:start w:w="120" w:type="dxa"/>
              <w:bottom w:w="110" w:type="dxa"/>
              <w:end w:w="120" w:type="dxa"/>
            </w:tcMar>
            <w:vAlign w:val="center"/>
          </w:tcPr>
          <w:p>
            <w:pPr>
              <w:spacing w:after="0" w:line="247" w:lineRule="auto"/>
              <w:jc w:val="left"/>
            </w:pPr>
            <w:r>
              <w:rPr>
                <w:rFonts w:ascii="Aptos" w:hAnsi="Aptos"/>
                <w:sz w:val="16"/>
              </w:rPr>
              <w:t>All provider identifiers; pathway key; forms; prior reports; transfers; event and claim codes; stated clinical reason for each repeat.</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Which repeats were clinically necessary, avoidable or billed; cost; refund or recovery; corrected record.</w:t>
            </w:r>
          </w:p>
        </w:tc>
      </w:tr>
      <w:tr>
        <w:trPr>
          <w:cantSplit/>
        </w:trPr>
        <w:tc>
          <w:tcPr>
            <w:tcW w:type="dxa" w:w="2376"/>
            <w:tcMar>
              <w:top w:w="110" w:type="dxa"/>
              <w:start w:w="120" w:type="dxa"/>
              <w:bottom w:w="110" w:type="dxa"/>
              <w:end w:w="120" w:type="dxa"/>
            </w:tcMar>
            <w:vAlign w:val="center"/>
            <w:shd w:fill="F3F5F7"/>
          </w:tcPr>
          <w:p>
            <w:pPr>
              <w:spacing w:after="0" w:line="247" w:lineRule="auto"/>
              <w:jc w:val="left"/>
            </w:pPr>
            <w:r>
              <w:rPr>
                <w:rFonts w:ascii="Aptos" w:hAnsi="Aptos"/>
                <w:sz w:val="16"/>
              </w:rPr>
              <w:t>Worker identity, competence and data access</w:t>
            </w:r>
          </w:p>
        </w:tc>
        <w:tc>
          <w:tcPr>
            <w:tcW w:type="dxa" w:w="4608"/>
            <w:tcMar>
              <w:top w:w="110" w:type="dxa"/>
              <w:start w:w="120" w:type="dxa"/>
              <w:bottom w:w="110" w:type="dxa"/>
              <w:end w:w="120" w:type="dxa"/>
            </w:tcMar>
            <w:vAlign w:val="center"/>
            <w:shd w:fill="F3F5F7"/>
          </w:tcPr>
          <w:p>
            <w:pPr>
              <w:spacing w:after="0" w:line="247" w:lineRule="auto"/>
              <w:jc w:val="left"/>
            </w:pPr>
            <w:r>
              <w:rPr>
                <w:rFonts w:ascii="Aptos" w:hAnsi="Aptos"/>
                <w:sz w:val="16"/>
              </w:rPr>
              <w:t>Dated staff and contractor rosters; employer and subcontractor; professional register; scope; training and supervision; record access logs; privacy notices and sharing agreements.</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Who did what under whose authority; whether credentials and access were valid at that date; regulatory or contractual action.</w:t>
            </w:r>
          </w:p>
        </w:tc>
      </w:tr>
      <w:tr>
        <w:trPr>
          <w:cantSplit/>
        </w:trPr>
        <w:tc>
          <w:tcPr>
            <w:tcW w:type="dxa" w:w="2376"/>
            <w:tcMar>
              <w:top w:w="110" w:type="dxa"/>
              <w:start w:w="120" w:type="dxa"/>
              <w:bottom w:w="110" w:type="dxa"/>
              <w:end w:w="120" w:type="dxa"/>
            </w:tcMar>
            <w:vAlign w:val="center"/>
          </w:tcPr>
          <w:p>
            <w:pPr>
              <w:spacing w:after="0" w:line="247" w:lineRule="auto"/>
              <w:jc w:val="left"/>
            </w:pPr>
            <w:r>
              <w:rPr>
                <w:rFonts w:ascii="Aptos" w:hAnsi="Aptos"/>
                <w:sz w:val="16"/>
              </w:rPr>
              <w:t>Public and household financial effect</w:t>
            </w:r>
          </w:p>
        </w:tc>
        <w:tc>
          <w:tcPr>
            <w:tcW w:type="dxa" w:w="4608"/>
            <w:tcMar>
              <w:top w:w="110" w:type="dxa"/>
              <w:start w:w="120" w:type="dxa"/>
              <w:bottom w:w="110" w:type="dxa"/>
              <w:end w:w="120" w:type="dxa"/>
            </w:tcMar>
            <w:vAlign w:val="center"/>
          </w:tcPr>
          <w:p>
            <w:pPr>
              <w:spacing w:after="0" w:line="247" w:lineRule="auto"/>
              <w:jc w:val="left"/>
            </w:pPr>
            <w:r>
              <w:rPr>
                <w:rFonts w:ascii="Aptos" w:hAnsi="Aptos"/>
                <w:sz w:val="16"/>
              </w:rPr>
              <w:t>Contract and invoice data; payments by pathway event; NHS rework; complaints; transfers; patient reported private spend, travel and lost time.</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Verified NHS cost, household cost, avoidable cost and uncertainty, without double counting or unproven fraud attribution.</w:t>
            </w:r>
          </w:p>
        </w:tc>
      </w:tr>
      <w:tr>
        <w:trPr>
          <w:cantSplit/>
        </w:trPr>
        <w:tc>
          <w:tcPr>
            <w:tcW w:type="dxa" w:w="2376"/>
            <w:tcMar>
              <w:top w:w="110" w:type="dxa"/>
              <w:start w:w="120" w:type="dxa"/>
              <w:bottom w:w="110" w:type="dxa"/>
              <w:end w:w="120" w:type="dxa"/>
            </w:tcMar>
            <w:vAlign w:val="center"/>
            <w:shd w:fill="F3F5F7"/>
          </w:tcPr>
          <w:p>
            <w:pPr>
              <w:spacing w:after="0" w:line="247" w:lineRule="auto"/>
              <w:jc w:val="center"/>
            </w:pPr>
            <w:r>
              <w:rPr>
                <w:rFonts w:ascii="Aptos" w:hAnsi="Aptos"/>
                <w:sz w:val="16"/>
              </w:rPr>
              <w:t>Clinical and safety harm</w:t>
            </w:r>
          </w:p>
        </w:tc>
        <w:tc>
          <w:tcPr>
            <w:tcW w:type="dxa" w:w="4608"/>
            <w:tcMar>
              <w:top w:w="110" w:type="dxa"/>
              <w:start w:w="120" w:type="dxa"/>
              <w:bottom w:w="110" w:type="dxa"/>
              <w:end w:w="120" w:type="dxa"/>
            </w:tcMar>
            <w:vAlign w:val="center"/>
            <w:shd w:fill="F3F5F7"/>
          </w:tcPr>
          <w:p>
            <w:pPr>
              <w:spacing w:after="0" w:line="247" w:lineRule="auto"/>
              <w:jc w:val="left"/>
            </w:pPr>
            <w:r>
              <w:rPr>
                <w:rFonts w:ascii="Aptos" w:hAnsi="Aptos"/>
                <w:sz w:val="16"/>
              </w:rPr>
              <w:t>Clinical records; medication history; urgent contacts; safeguarding entries; symptoms during delay; incident reports; patient account.</w:t>
            </w:r>
          </w:p>
        </w:tc>
        <w:tc>
          <w:tcPr>
            <w:tcW w:type="dxa" w:w="2664"/>
            <w:tcMar>
              <w:top w:w="110" w:type="dxa"/>
              <w:start w:w="120" w:type="dxa"/>
              <w:bottom w:w="110" w:type="dxa"/>
              <w:end w:w="120" w:type="dxa"/>
            </w:tcMar>
            <w:vAlign w:val="center"/>
            <w:shd w:fill="F3F5F7"/>
          </w:tcPr>
          <w:p>
            <w:pPr>
              <w:spacing w:after="0" w:line="247" w:lineRule="auto"/>
              <w:jc w:val="left"/>
            </w:pPr>
            <w:r>
              <w:rPr>
                <w:rFonts w:ascii="Aptos" w:hAnsi="Aptos"/>
                <w:sz w:val="16"/>
              </w:rPr>
              <w:t>Causal assessment where possible, contributory administrative factors, unmet parallel needs and actions to prevent recurrence.</w:t>
            </w:r>
          </w:p>
        </w:tc>
      </w:tr>
      <w:tr>
        <w:trPr>
          <w:cantSplit/>
        </w:trPr>
        <w:tc>
          <w:tcPr>
            <w:tcW w:type="dxa" w:w="2376"/>
            <w:tcMar>
              <w:top w:w="110" w:type="dxa"/>
              <w:start w:w="120" w:type="dxa"/>
              <w:bottom w:w="110" w:type="dxa"/>
              <w:end w:w="120" w:type="dxa"/>
            </w:tcMar>
            <w:vAlign w:val="center"/>
          </w:tcPr>
          <w:p>
            <w:pPr>
              <w:spacing w:after="0" w:line="247" w:lineRule="auto"/>
              <w:jc w:val="center"/>
            </w:pPr>
            <w:r>
              <w:rPr>
                <w:rFonts w:ascii="Aptos" w:hAnsi="Aptos"/>
                <w:sz w:val="16"/>
              </w:rPr>
              <w:t>Provider outcome and continuity</w:t>
            </w:r>
          </w:p>
        </w:tc>
        <w:tc>
          <w:tcPr>
            <w:tcW w:type="dxa" w:w="4608"/>
            <w:tcMar>
              <w:top w:w="110" w:type="dxa"/>
              <w:start w:w="120" w:type="dxa"/>
              <w:bottom w:w="110" w:type="dxa"/>
              <w:end w:w="120" w:type="dxa"/>
            </w:tcMar>
            <w:vAlign w:val="center"/>
          </w:tcPr>
          <w:p>
            <w:pPr>
              <w:spacing w:after="0" w:line="247" w:lineRule="auto"/>
              <w:jc w:val="left"/>
            </w:pPr>
            <w:r>
              <w:rPr>
                <w:rFonts w:ascii="Aptos" w:hAnsi="Aptos"/>
                <w:sz w:val="16"/>
              </w:rPr>
              <w:t>Accepted and rejected referrals; completed assessment and usable report; care plan; treatment or support; six and twelve month continuity; re-referral and closure.</w:t>
            </w:r>
          </w:p>
        </w:tc>
        <w:tc>
          <w:tcPr>
            <w:tcW w:type="dxa" w:w="2664"/>
            <w:tcMar>
              <w:top w:w="110" w:type="dxa"/>
              <w:start w:w="120" w:type="dxa"/>
              <w:bottom w:w="110" w:type="dxa"/>
              <w:end w:w="120" w:type="dxa"/>
            </w:tcMar>
            <w:vAlign w:val="center"/>
          </w:tcPr>
          <w:p>
            <w:pPr>
              <w:spacing w:after="0" w:line="247" w:lineRule="auto"/>
              <w:jc w:val="left"/>
            </w:pPr>
            <w:r>
              <w:rPr>
                <w:rFonts w:ascii="Aptos" w:hAnsi="Aptos"/>
                <w:sz w:val="16"/>
              </w:rPr>
              <w:t>Completion and sustained outcome, not merely referral receipt or first contact; provider and cohort limitations.</w:t>
            </w:r>
          </w:p>
        </w:tc>
      </w:tr>
    </w:tbl>
    <w:p>
      <w:pPr>
        <w:spacing w:after="20"/>
      </w:pPr>
    </w:p>
    <w:p>
      <w:pPr>
        <w:spacing w:after="140" w:line="269" w:lineRule="auto"/>
      </w:pPr>
      <w:r>
        <w:rPr>
          <w:rFonts w:ascii="Aptos" w:hAnsi="Aptos"/>
        </w:rPr>
        <w:t>Case evidence source: information supplied by the anonymised contributor in conversations between 23 June and 17 September 2026. It has not been independently adjudicated for this proposal. Any formal case review should obtain the contributor's consent, minimise disclosure, offer a representative, use written communication, allow additional time and avoid asking for information already held by the system.</w:t>
      </w:r>
    </w:p>
    <w:p>
      <w:pPr>
        <w:pStyle w:val="Heading1"/>
        <w:keepNext/>
      </w:pPr>
      <w:r>
        <w:rPr>
          <w:rFonts w:ascii="Aptos" w:hAnsi="Aptos"/>
          <w:b/>
          <w:color w:val="000000"/>
        </w:rPr>
        <w:t>References and legal foundations</w:t>
      </w:r>
    </w:p>
    <w:p>
      <w:pPr>
        <w:spacing w:after="100"/>
        <w:ind w:left="173"/>
      </w:pPr>
      <w:r>
        <w:rPr>
          <w:rFonts w:ascii="Aptos" w:hAnsi="Aptos"/>
          <w:sz w:val="19"/>
        </w:rPr>
        <w:t xml:space="preserve">1. Equality Act 2010 definition of disability. GOV.UK. </w:t>
      </w:r>
      <w:hyperlink r:id="rId10">
        <w:r>
          <w:rPr>
            <w:color w:val="2F5597"/>
            <w:u w:val="single"/>
            <w:rFonts w:ascii="Aptos" w:hAnsi="Aptos"/>
          </w:rPr>
          <w:t>Source</w:t>
        </w:r>
      </w:hyperlink>
    </w:p>
    <w:p>
      <w:pPr>
        <w:spacing w:after="100"/>
        <w:ind w:left="173"/>
      </w:pPr>
      <w:r>
        <w:rPr>
          <w:rFonts w:ascii="Aptos" w:hAnsi="Aptos"/>
          <w:sz w:val="19"/>
        </w:rPr>
        <w:t xml:space="preserve">2. Equality Act 2010. UK legislation. </w:t>
      </w:r>
      <w:hyperlink r:id="rId11">
        <w:r>
          <w:rPr>
            <w:color w:val="2F5597"/>
            <w:u w:val="single"/>
            <w:rFonts w:ascii="Aptos" w:hAnsi="Aptos"/>
          </w:rPr>
          <w:t>Source</w:t>
        </w:r>
      </w:hyperlink>
    </w:p>
    <w:p>
      <w:pPr>
        <w:spacing w:after="100"/>
        <w:ind w:left="173"/>
      </w:pPr>
      <w:r>
        <w:rPr>
          <w:rFonts w:ascii="Aptos" w:hAnsi="Aptos"/>
          <w:sz w:val="19"/>
        </w:rPr>
        <w:t xml:space="preserve">3. The NHS Constitution for England. Department of Health and Social Care. </w:t>
      </w:r>
      <w:hyperlink r:id="rId12">
        <w:r>
          <w:rPr>
            <w:color w:val="2F5597"/>
            <w:u w:val="single"/>
            <w:rFonts w:ascii="Aptos" w:hAnsi="Aptos"/>
          </w:rPr>
          <w:t>Source</w:t>
        </w:r>
      </w:hyperlink>
    </w:p>
    <w:p>
      <w:pPr>
        <w:spacing w:after="100"/>
        <w:ind w:left="173"/>
      </w:pPr>
      <w:r>
        <w:rPr>
          <w:rFonts w:ascii="Aptos" w:hAnsi="Aptos"/>
          <w:sz w:val="19"/>
        </w:rPr>
        <w:t xml:space="preserve">4. Reasonable Adjustment Digital Flag information standard DAPB4019. NHS England Digital. </w:t>
      </w:r>
      <w:hyperlink r:id="rId13">
        <w:r>
          <w:rPr>
            <w:color w:val="2F5597"/>
            <w:u w:val="single"/>
            <w:rFonts w:ascii="Aptos" w:hAnsi="Aptos"/>
          </w:rPr>
          <w:t>Source</w:t>
        </w:r>
      </w:hyperlink>
    </w:p>
    <w:p>
      <w:pPr>
        <w:spacing w:after="100"/>
        <w:ind w:left="173"/>
      </w:pPr>
      <w:r>
        <w:rPr>
          <w:rFonts w:ascii="Aptos" w:hAnsi="Aptos"/>
          <w:sz w:val="19"/>
        </w:rPr>
        <w:t xml:space="preserve">5. Autism assessments. NHS. </w:t>
      </w:r>
      <w:hyperlink r:id="rId14">
        <w:r>
          <w:rPr>
            <w:color w:val="2F5597"/>
            <w:u w:val="single"/>
            <w:rFonts w:ascii="Aptos" w:hAnsi="Aptos"/>
          </w:rPr>
          <w:t>Source</w:t>
        </w:r>
      </w:hyperlink>
    </w:p>
    <w:p>
      <w:pPr>
        <w:spacing w:after="100"/>
        <w:ind w:left="173"/>
      </w:pPr>
      <w:r>
        <w:rPr>
          <w:rFonts w:ascii="Aptos" w:hAnsi="Aptos"/>
          <w:sz w:val="19"/>
        </w:rPr>
        <w:t xml:space="preserve">6. ADHD in adults. NHS. </w:t>
      </w:r>
      <w:hyperlink r:id="rId15">
        <w:r>
          <w:rPr>
            <w:color w:val="2F5597"/>
            <w:u w:val="single"/>
            <w:rFonts w:ascii="Aptos" w:hAnsi="Aptos"/>
          </w:rPr>
          <w:t>Source</w:t>
        </w:r>
      </w:hyperlink>
    </w:p>
    <w:p>
      <w:pPr>
        <w:spacing w:after="100"/>
        <w:ind w:left="173"/>
      </w:pPr>
      <w:r>
        <w:rPr>
          <w:rFonts w:ascii="Aptos" w:hAnsi="Aptos"/>
          <w:sz w:val="19"/>
        </w:rPr>
        <w:t xml:space="preserve">7. Autism Waiting Time Statistics. NHS England Digital. </w:t>
      </w:r>
      <w:hyperlink r:id="rId16">
        <w:r>
          <w:rPr>
            <w:color w:val="2F5597"/>
            <w:u w:val="single"/>
            <w:rFonts w:ascii="Aptos" w:hAnsi="Aptos"/>
          </w:rPr>
          <w:t>Source</w:t>
        </w:r>
      </w:hyperlink>
    </w:p>
    <w:p>
      <w:pPr>
        <w:spacing w:after="100"/>
        <w:ind w:left="173"/>
      </w:pPr>
      <w:r>
        <w:rPr>
          <w:rFonts w:ascii="Aptos" w:hAnsi="Aptos"/>
          <w:sz w:val="19"/>
        </w:rPr>
        <w:t xml:space="preserve">8. Access to Work. GOV.UK. </w:t>
      </w:r>
      <w:hyperlink r:id="rId17">
        <w:r>
          <w:rPr>
            <w:color w:val="2F5597"/>
            <w:u w:val="single"/>
            <w:rFonts w:ascii="Aptos" w:hAnsi="Aptos"/>
          </w:rPr>
          <w:t>Source</w:t>
        </w:r>
      </w:hyperlink>
    </w:p>
    <w:p>
      <w:pPr>
        <w:spacing w:after="100"/>
        <w:ind w:left="173"/>
      </w:pPr>
      <w:r>
        <w:rPr>
          <w:rFonts w:ascii="Aptos" w:hAnsi="Aptos"/>
          <w:sz w:val="19"/>
        </w:rPr>
        <w:t xml:space="preserve">9. When a mental health condition becomes a disability. GOV.UK. </w:t>
      </w:r>
      <w:hyperlink r:id="rId18">
        <w:r>
          <w:rPr>
            <w:color w:val="2F5597"/>
            <w:u w:val="single"/>
            <w:rFonts w:ascii="Aptos" w:hAnsi="Aptos"/>
          </w:rPr>
          <w:t>Source</w:t>
        </w:r>
      </w:hyperlink>
    </w:p>
    <w:p>
      <w:pPr>
        <w:spacing w:after="100"/>
        <w:ind w:left="173"/>
      </w:pPr>
      <w:r>
        <w:rPr>
          <w:rFonts w:ascii="Aptos" w:hAnsi="Aptos"/>
          <w:sz w:val="19"/>
        </w:rPr>
        <w:t xml:space="preserve">10. NHS e Referral Service information for providers. NHS England Digital. </w:t>
      </w:r>
      <w:hyperlink r:id="rId19">
        <w:r>
          <w:rPr>
            <w:color w:val="2F5597"/>
            <w:u w:val="single"/>
            <w:rFonts w:ascii="Aptos" w:hAnsi="Aptos"/>
          </w:rPr>
          <w:t>Source</w:t>
        </w:r>
      </w:hyperlink>
    </w:p>
    <w:p>
      <w:pPr>
        <w:spacing w:after="100"/>
        <w:ind w:left="173"/>
      </w:pPr>
      <w:r>
        <w:rPr>
          <w:rFonts w:ascii="Aptos" w:hAnsi="Aptos"/>
          <w:sz w:val="19"/>
        </w:rPr>
        <w:t xml:space="preserve">11. Care and support statutory guidance. Department of Health and Social Care. </w:t>
      </w:r>
      <w:hyperlink r:id="rId20">
        <w:r>
          <w:rPr>
            <w:color w:val="2F5597"/>
            <w:u w:val="single"/>
            <w:rFonts w:ascii="Aptos" w:hAnsi="Aptos"/>
          </w:rPr>
          <w:t>Source</w:t>
        </w:r>
      </w:hyperlink>
    </w:p>
    <w:p>
      <w:pPr>
        <w:spacing w:after="100"/>
        <w:ind w:left="173"/>
      </w:pPr>
      <w:r>
        <w:rPr>
          <w:rFonts w:ascii="Aptos" w:hAnsi="Aptos"/>
          <w:sz w:val="19"/>
        </w:rPr>
        <w:t xml:space="preserve">12. SEND code of practice. Department for Education and Department of Health and Social Care. </w:t>
      </w:r>
      <w:hyperlink r:id="rId21">
        <w:r>
          <w:rPr>
            <w:color w:val="2F5597"/>
            <w:u w:val="single"/>
            <w:rFonts w:ascii="Aptos" w:hAnsi="Aptos"/>
          </w:rPr>
          <w:t>Source</w:t>
        </w:r>
      </w:hyperlink>
    </w:p>
    <w:p>
      <w:pPr>
        <w:spacing w:after="100"/>
        <w:ind w:left="173"/>
      </w:pPr>
      <w:r>
        <w:rPr>
          <w:rFonts w:ascii="Aptos" w:hAnsi="Aptos"/>
          <w:sz w:val="19"/>
        </w:rPr>
        <w:t xml:space="preserve">13. Guide to UK GDPR. Information Commissioner's Office. </w:t>
      </w:r>
      <w:hyperlink r:id="rId22">
        <w:r>
          <w:rPr>
            <w:color w:val="2F5597"/>
            <w:u w:val="single"/>
            <w:rFonts w:ascii="Aptos" w:hAnsi="Aptos"/>
          </w:rPr>
          <w:t>Source</w:t>
        </w:r>
      </w:hyperlink>
    </w:p>
    <w:p>
      <w:pPr>
        <w:spacing w:after="100"/>
        <w:ind w:left="173"/>
      </w:pPr>
      <w:r>
        <w:rPr>
          <w:rFonts w:ascii="Aptos" w:hAnsi="Aptos"/>
          <w:sz w:val="19"/>
        </w:rPr>
        <w:t xml:space="preserve">14. The Green Book. HM Treasury. </w:t>
      </w:r>
      <w:hyperlink r:id="rId23">
        <w:r>
          <w:rPr>
            <w:color w:val="2F5597"/>
            <w:u w:val="single"/>
            <w:rFonts w:ascii="Aptos" w:hAnsi="Aptos"/>
          </w:rPr>
          <w:t>Source</w:t>
        </w:r>
      </w:hyperlink>
    </w:p>
    <w:p>
      <w:pPr>
        <w:spacing w:after="100"/>
        <w:ind w:left="173"/>
      </w:pPr>
      <w:r>
        <w:rPr>
          <w:rFonts w:ascii="Aptos" w:hAnsi="Aptos"/>
          <w:sz w:val="19"/>
        </w:rPr>
        <w:t xml:space="preserve">15. NHS Counter Fraud Authority. NHS Counter Fraud Authority. </w:t>
      </w:r>
      <w:hyperlink r:id="rId24">
        <w:r>
          <w:rPr>
            <w:color w:val="2F5597"/>
            <w:u w:val="single"/>
            <w:rFonts w:ascii="Aptos" w:hAnsi="Aptos"/>
          </w:rPr>
          <w:t>Source</w:t>
        </w:r>
      </w:hyperlink>
    </w:p>
    <w:p>
      <w:pPr>
        <w:pStyle w:val="Heading2"/>
        <w:keepNext/>
      </w:pPr>
      <w:r>
        <w:rPr>
          <w:rFonts w:ascii="Aptos" w:hAnsi="Aptos"/>
          <w:b/>
          <w:color w:val="000000"/>
        </w:rPr>
        <w:t>Legal status note</w:t>
      </w:r>
    </w:p>
    <w:p>
      <w:pPr>
        <w:spacing w:after="140" w:line="269" w:lineRule="auto"/>
      </w:pPr>
      <w:r>
        <w:rPr>
          <w:rFonts w:ascii="Aptos" w:hAnsi="Aptos"/>
        </w:rPr>
        <w:t>This is a policy proposal, not legal advice and not a statement that the proposed certificate currently exists. Existing rights depend on the applicable facts and law. Any statutory wording, procurement control, data flow or clinical standard should receive specialist legal, clinical safety, information governance, equality and public finance review before implementation.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olor w:val="6B7280"/>
        <w:sz w:val="16"/>
      </w:rPr>
      <w:t xml:space="preserve">NHS Interim Needs and Adjustments Certificate | Page </w:t>
    </w:r>
    <w:r>
      <w:rPr>
        <w:rFonts w:ascii="Aptos" w:hAnsi="Aptos"/>
        <w:color w:val="6B7280"/>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rPr>
      <w:rFonts w:ascii="Aptos" w:hAnsi="Aptos"/>
      <w:color w:val="000000"/>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rPr>
      <w:rFonts w:ascii="Aptos" w:hAnsi="Aptos"/>
      <w:color w:val="000000"/>
      <w:sz w:val="21"/>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pPr>
      <w:spacing w:after="80"/>
    </w:pPr>
    <w:rPr>
      <w:rFonts w:ascii="Aptos" w:hAnsi="Aptos"/>
      <w:color w:val="6B728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ov.uk/definition-of-disability-under-equality-act-2010" TargetMode="External"/><Relationship Id="rId11" Type="http://schemas.openxmlformats.org/officeDocument/2006/relationships/hyperlink" Target="https://www.legislation.gov.uk/ukpga/2010/15/contents" TargetMode="External"/><Relationship Id="rId12" Type="http://schemas.openxmlformats.org/officeDocument/2006/relationships/hyperlink" Target="https://www.gov.uk/government/publications/the-nhs-constitution-for-england/the-nhs-constitution-for-england" TargetMode="External"/><Relationship Id="rId13" Type="http://schemas.openxmlformats.org/officeDocument/2006/relationships/hyperlink" Target="https://digital.nhs.uk/data-and-information/information-standards/governance/latest-activity/standards-and-collections/dapb4019-reasonable-adjustment-digital-flag" TargetMode="External"/><Relationship Id="rId14" Type="http://schemas.openxmlformats.org/officeDocument/2006/relationships/hyperlink" Target="https://www.nhs.uk/conditions/autism/assessments/" TargetMode="External"/><Relationship Id="rId15" Type="http://schemas.openxmlformats.org/officeDocument/2006/relationships/hyperlink" Target="https://www.nhs.uk/conditions/adhd-adults/" TargetMode="External"/><Relationship Id="rId16" Type="http://schemas.openxmlformats.org/officeDocument/2006/relationships/hyperlink" Target="https://digital.nhs.uk/data-and-information/publications/statistical/autism-statistics" TargetMode="External"/><Relationship Id="rId17" Type="http://schemas.openxmlformats.org/officeDocument/2006/relationships/hyperlink" Target="https://www.gov.uk/access-to-work" TargetMode="External"/><Relationship Id="rId18" Type="http://schemas.openxmlformats.org/officeDocument/2006/relationships/hyperlink" Target="https://www.gov.uk/when-mental-health-condition-becomes-disability" TargetMode="External"/><Relationship Id="rId19" Type="http://schemas.openxmlformats.org/officeDocument/2006/relationships/hyperlink" Target="https://digital.nhs.uk/services/e-referral-service/providers" TargetMode="External"/><Relationship Id="rId20" Type="http://schemas.openxmlformats.org/officeDocument/2006/relationships/hyperlink" Target="https://www.gov.uk/government/publications/care-act-statutory-guidance/care-and-support-statutory-guidance" TargetMode="External"/><Relationship Id="rId21" Type="http://schemas.openxmlformats.org/officeDocument/2006/relationships/hyperlink" Target="https://www.gov.uk/government/publications/send-code-of-practice-0-to-25" TargetMode="External"/><Relationship Id="rId22" Type="http://schemas.openxmlformats.org/officeDocument/2006/relationships/hyperlink" Target="https://ico.org.uk/for-organisations/uk-gdpr-guidance-and-resources/" TargetMode="External"/><Relationship Id="rId23" Type="http://schemas.openxmlformats.org/officeDocument/2006/relationships/hyperlink" Target="https://www.gov.uk/government/publications/the-green-book-appraisal-and-evaluation-in-central-government" TargetMode="External"/><Relationship Id="rId24" Type="http://schemas.openxmlformats.org/officeDocument/2006/relationships/hyperlink" Target="https://cfa.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Interim Needs and Adjustments Certificate Policy Proposal</dc:title>
  <dc:subject>Immediate protection and pathway continuity while diagnosis is pending</dc:subject>
  <dc:creator>Policy proposal</dc:creator>
  <cp:keywords>NHS, autism, ADHD, reasonable adjustments, diagnosis, waiting lists, patient protection, public finance</cp:keywords>
  <dc:description>generated by python-docx</dc:description>
  <cp:lastModifiedBy/>
  <cp:revision>1</cp:revision>
  <dcterms:created xsi:type="dcterms:W3CDTF">2013-12-23T23:15:00Z</dcterms:created>
  <dcterms:modified xsi:type="dcterms:W3CDTF">2013-12-23T23:15:00Z</dcterms:modified>
  <cp:category/>
</cp:coreProperties>
</file>