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NHS Right to Choose Data Acquisition Survey</w:t>
      </w:r>
    </w:p>
    <w:p>
      <w:pPr>
        <w:spacing w:before="0" w:after="80" w:line="254" w:lineRule="auto"/>
      </w:pPr>
      <w:r>
        <w:rPr>
          <w:rFonts w:ascii="Aptos" w:hAnsi="Aptos"/>
          <w:color w:val="394653"/>
          <w:sz w:val="24"/>
        </w:rPr>
        <w:t>Data requirements public availability and acquisition plan for private provider expenditure activity completion and outcomes</w:t>
      </w:r>
    </w:p>
    <w:p>
      <w:pPr>
        <w:spacing w:before="0" w:after="280" w:line="254" w:lineRule="auto"/>
      </w:pPr>
      <w:r>
        <w:rPr>
          <w:rFonts w:ascii="Aptos" w:hAnsi="Aptos"/>
          <w:b/>
          <w:color w:val="177E89"/>
          <w:sz w:val="17"/>
        </w:rPr>
        <w:t>England   |   Working research specification   |   10 September 2026</w:t>
      </w:r>
    </w:p>
    <w:tbl>
      <w:tblPr>
        <w:tblW w:type="auto" w:w="0"/>
        <w:jc w:val="center"/>
        <w:tblLayout w:type="fixed"/>
        <w:tblLook w:firstColumn="1" w:firstRow="1" w:lastColumn="0" w:lastRow="0" w:noHBand="0" w:noVBand="1" w:val="04A0"/>
      </w:tblPr>
      <w:tblGrid>
        <w:gridCol w:w="5184"/>
        <w:gridCol w:w="5184"/>
      </w:tblGrid>
      <w:t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19324D"/>
          </w:tcPr>
          <w:p>
            <w:pPr>
              <w:spacing w:after="0"/>
            </w:pPr>
            <w:r>
              <w:rPr>
                <w:rFonts w:ascii="Aptos" w:hAnsi="Aptos"/>
                <w:b/>
                <w:color w:val="FFFFFF"/>
                <w:sz w:val="16"/>
              </w:rPr>
              <w:t>CONCLUSION</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E8F4F3"/>
          </w:tcPr>
          <w:p>
            <w:pPr>
              <w:spacing w:after="0"/>
            </w:pPr>
            <w:r>
              <w:rPr>
                <w:rFonts w:ascii="Aptos" w:hAnsi="Aptos"/>
                <w:color w:val="000000"/>
                <w:sz w:val="18"/>
              </w:rPr>
              <w:t>The investigation is feasible, but no single public source answers it. Public records can identify providers, contracts, larger payments, registrations and broad referral activity. Full provider spend, unique patient journeys, repeat onboarding, completed care and sustained outcomes require a standardised extraction from commissioners and providers. Outcome data is the weakest and most important gap.</w:t>
            </w:r>
          </w:p>
        </w:tc>
      </w:tr>
    </w:tbl>
    <w:p>
      <w:pPr>
        <w:spacing w:after="0"/>
      </w:pPr>
    </w:p>
    <w:p>
      <w:pPr>
        <w:pStyle w:val="Heading1"/>
      </w:pPr>
      <w:r>
        <w:t>The questions this evidence must answer</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295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Research question</w:t>
            </w:r>
          </w:p>
        </w:tc>
        <w:tc>
          <w:tcPr>
            <w:tcW w:type="dxa" w:w="1296"/>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Public answer</w:t>
            </w:r>
          </w:p>
        </w:tc>
        <w:tc>
          <w:tcPr>
            <w:tcW w:type="dxa" w:w="5976"/>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What is still needed</w:t>
            </w:r>
          </w:p>
        </w:tc>
      </w:tr>
      <w:tr>
        <w:trPr>
          <w:cantSplit/>
        </w:trPr>
        <w:tc>
          <w:tcPr>
            <w:tcW w:type="dxa" w:w="29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How much NHS money was paid</w:t>
            </w:r>
          </w:p>
        </w:tc>
        <w:tc>
          <w:tcPr>
            <w:tcW w:type="dxa" w:w="129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Partly</w:t>
            </w:r>
          </w:p>
        </w:tc>
        <w:tc>
          <w:tcPr>
            <w:tcW w:type="dxa" w:w="59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Larger payments and some awards are public. Full ledgers, credit notes and charge stages require commissioner data.</w:t>
            </w:r>
          </w:p>
        </w:tc>
      </w:tr>
      <w:tr>
        <w:trPr>
          <w:cantSplit/>
        </w:trPr>
        <w:tc>
          <w:tcPr>
            <w:tcW w:type="dxa" w:w="29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How many people used each provider</w:t>
            </w:r>
          </w:p>
        </w:tc>
        <w:tc>
          <w:tcPr>
            <w:tcW w:type="dxa" w:w="129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Partly</w:t>
            </w:r>
          </w:p>
        </w:tc>
        <w:tc>
          <w:tcPr>
            <w:tcW w:type="dxa" w:w="59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Public e-RS data is aggregated. Provider level unique people and accepted referrals are usually held operationally.</w:t>
            </w:r>
          </w:p>
        </w:tc>
      </w:tr>
      <w:tr>
        <w:trPr>
          <w:cantSplit/>
        </w:trPr>
        <w:tc>
          <w:tcPr>
            <w:tcW w:type="dxa" w:w="29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How many completed care</w:t>
            </w:r>
          </w:p>
        </w:tc>
        <w:tc>
          <w:tcPr>
            <w:tcW w:type="dxa" w:w="129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Mostly requested</w:t>
            </w:r>
          </w:p>
        </w:tc>
        <w:tc>
          <w:tcPr>
            <w:tcW w:type="dxa" w:w="59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Completion, discharge reason and continuity fields usually sit in provider systems, contracts, e-RS extracts or MHSDS.</w:t>
            </w:r>
          </w:p>
        </w:tc>
      </w:tr>
      <w:tr>
        <w:trPr>
          <w:cantSplit/>
        </w:trPr>
        <w:tc>
          <w:tcPr>
            <w:tcW w:type="dxa" w:w="29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How many had a successful outcome</w:t>
            </w:r>
          </w:p>
        </w:tc>
        <w:tc>
          <w:tcPr>
            <w:tcW w:type="dxa" w:w="129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Weakest</w:t>
            </w:r>
          </w:p>
        </w:tc>
        <w:tc>
          <w:tcPr>
            <w:tcW w:type="dxa" w:w="59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 pathway specific definition and baseline plus follow up measure are needed. These are not consistently published or recorded.</w:t>
            </w:r>
          </w:p>
        </w:tc>
      </w:tr>
    </w:tbl>
    <w:p>
      <w:pPr>
        <w:spacing w:after="0"/>
      </w:pPr>
    </w:p>
    <w:p>
      <w:pPr>
        <w:spacing w:before="0" w:after="120" w:line="254" w:lineRule="auto"/>
      </w:pPr>
      <w:r>
        <w:rPr>
          <w:rFonts w:ascii="Aptos" w:hAnsi="Aptos"/>
          <w:b/>
        </w:rPr>
        <w:t xml:space="preserve">Scope. </w:t>
      </w:r>
      <w:r>
        <w:t>This report is designed for NHS funded patient choice activity in England, initially neurodevelopmental pathways such as ADHD and autism. The same structure can be adapted to other elective Right to Choose services. NHS guidance confirms that patient choice can include private providers delivering NHS services. [1] The report separates evidence from allegation and does not treat a foreign parent, a corporate name match or an unusual ratio as proof of fraud.</w:t>
      </w:r>
    </w:p>
    <w:p>
      <w:r>
        <w:br w:type="page"/>
      </w:r>
    </w:p>
    <w:p>
      <w:pPr>
        <w:pStyle w:val="Heading1"/>
      </w:pPr>
      <w:r>
        <w:t>Minimum evidential model</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cantSplit/>
        </w:trPr>
        <w:tc>
          <w:tcPr>
            <w:tcW w:type="dxa" w:w="115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Stage</w:t>
            </w:r>
          </w:p>
        </w:tc>
        <w:tc>
          <w:tcPr>
            <w:tcW w:type="dxa" w:w="180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Unit</w:t>
            </w:r>
          </w:p>
        </w:tc>
        <w:tc>
          <w:tcPr>
            <w:tcW w:type="dxa" w:w="460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Required event</w:t>
            </w:r>
          </w:p>
        </w:tc>
        <w:tc>
          <w:tcPr>
            <w:tcW w:type="dxa" w:w="266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Reason</w:t>
            </w:r>
          </w:p>
        </w:tc>
      </w:tr>
      <w:tr>
        <w:trPr>
          <w:cantSplit/>
        </w:trPr>
        <w:tc>
          <w:tcPr>
            <w:tcW w:type="dxa" w:w="11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Money</w:t>
            </w:r>
          </w:p>
        </w:tc>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Invoice or payment</w:t>
            </w:r>
          </w:p>
        </w:tc>
        <w:tc>
          <w:tcPr>
            <w:tcW w:type="dxa" w:w="46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Commissioner paid the exact legal entity for a defined service stage</w:t>
            </w:r>
          </w:p>
        </w:tc>
        <w:tc>
          <w:tcPr>
            <w:tcW w:type="dxa" w:w="26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Establishes public expenditure and charge timing</w:t>
            </w:r>
          </w:p>
        </w:tc>
      </w:tr>
      <w:tr>
        <w:trPr>
          <w:cantSplit/>
        </w:trPr>
        <w:tc>
          <w:tcPr>
            <w:tcW w:type="dxa" w:w="11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Access</w:t>
            </w:r>
          </w:p>
        </w:tc>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Unique referral</w:t>
            </w:r>
          </w:p>
        </w:tc>
        <w:tc>
          <w:tcPr>
            <w:tcW w:type="dxa" w:w="46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Referral received and accepted or rejected</w:t>
            </w:r>
          </w:p>
        </w:tc>
        <w:tc>
          <w:tcPr>
            <w:tcW w:type="dxa" w:w="26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Separates demand from actual provider use</w:t>
            </w:r>
          </w:p>
        </w:tc>
      </w:tr>
      <w:tr>
        <w:trPr>
          <w:cantSplit/>
        </w:trPr>
        <w:tc>
          <w:tcPr>
            <w:tcW w:type="dxa" w:w="11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Delivery</w:t>
            </w:r>
          </w:p>
        </w:tc>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Unique care episode</w:t>
            </w:r>
          </w:p>
        </w:tc>
        <w:tc>
          <w:tcPr>
            <w:tcW w:type="dxa" w:w="46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Clinical contact and pathway milestone completed</w:t>
            </w:r>
          </w:p>
        </w:tc>
        <w:tc>
          <w:tcPr>
            <w:tcW w:type="dxa" w:w="26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Tests whether payment produced care</w:t>
            </w:r>
          </w:p>
        </w:tc>
      </w:tr>
      <w:tr>
        <w:trPr>
          <w:cantSplit/>
        </w:trPr>
        <w:tc>
          <w:tcPr>
            <w:tcW w:type="dxa" w:w="11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Continuity</w:t>
            </w:r>
          </w:p>
        </w:tc>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Patient at 6 and 12 months</w:t>
            </w:r>
          </w:p>
        </w:tc>
        <w:tc>
          <w:tcPr>
            <w:tcW w:type="dxa" w:w="46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Ongoing prescriber care shared care or planned discharge</w:t>
            </w:r>
          </w:p>
        </w:tc>
        <w:tc>
          <w:tcPr>
            <w:tcW w:type="dxa" w:w="26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Finds people recycled back to a queue</w:t>
            </w:r>
          </w:p>
        </w:tc>
      </w:tr>
      <w:tr>
        <w:trPr>
          <w:cantSplit/>
        </w:trPr>
        <w:tc>
          <w:tcPr>
            <w:tcW w:type="dxa" w:w="115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Outcome</w:t>
            </w:r>
          </w:p>
        </w:tc>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Patient at follow up</w:t>
            </w:r>
          </w:p>
        </w:tc>
        <w:tc>
          <w:tcPr>
            <w:tcW w:type="dxa" w:w="46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Defined clinical or functional result recorded</w:t>
            </w:r>
          </w:p>
        </w:tc>
        <w:tc>
          <w:tcPr>
            <w:tcW w:type="dxa" w:w="26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Tests whether completed care helped</w:t>
            </w:r>
          </w:p>
        </w:tc>
      </w:tr>
    </w:tbl>
    <w:p>
      <w:pPr>
        <w:spacing w:after="0"/>
      </w:pPr>
    </w:p>
    <w:p>
      <w:pPr>
        <w:pStyle w:val="Smallnote"/>
        <w:spacing w:before="0" w:after="0" w:line="254" w:lineRule="auto"/>
      </w:pPr>
      <w:r>
        <w:t>The core join key should be a commissioner generated pseudonymous patient token plus referral episode identifier. Public reporting should contain counts only. Without a stable episode key, repeat onboarding and re referral cannot be measured reliably.</w:t>
      </w:r>
    </w:p>
    <w:p>
      <w:pPr>
        <w:pStyle w:val="Heading1"/>
      </w:pPr>
      <w:r>
        <w:t>Availability grading</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792"/>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Grade</w:t>
            </w:r>
          </w:p>
        </w:tc>
        <w:tc>
          <w:tcPr>
            <w:tcW w:type="dxa" w:w="3672"/>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Meaning</w:t>
            </w:r>
          </w:p>
        </w:tc>
        <w:tc>
          <w:tcPr>
            <w:tcW w:type="dxa" w:w="5760"/>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Recommended treatment</w:t>
            </w:r>
          </w:p>
        </w:tc>
      </w:tr>
      <w:tr>
        <w:trPr>
          <w:cantSplit/>
        </w:trPr>
        <w:tc>
          <w:tcPr>
            <w:tcW w:type="dxa" w:w="7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A</w:t>
            </w:r>
          </w:p>
        </w:tc>
        <w:tc>
          <w:tcPr>
            <w:tcW w:type="dxa" w:w="367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Open and reusable</w:t>
            </w:r>
          </w:p>
        </w:tc>
        <w:tc>
          <w:tcPr>
            <w:tcW w:type="dxa" w:w="57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Download, archive with date and retain original file</w:t>
            </w:r>
          </w:p>
        </w:tc>
      </w:tr>
      <w:tr>
        <w:trPr>
          <w:cantSplit/>
        </w:trPr>
        <w:tc>
          <w:tcPr>
            <w:tcW w:type="dxa" w:w="7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B</w:t>
            </w:r>
          </w:p>
        </w:tc>
        <w:tc>
          <w:tcPr>
            <w:tcW w:type="dxa" w:w="367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Public but fragmented or threshold limited</w:t>
            </w:r>
          </w:p>
        </w:tc>
        <w:tc>
          <w:tcPr>
            <w:tcW w:type="dxa" w:w="57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Collect from each authority and document omissions</w:t>
            </w:r>
          </w:p>
        </w:tc>
      </w:tr>
      <w:tr>
        <w:trPr>
          <w:cantSplit/>
        </w:trPr>
        <w:tc>
          <w:tcPr>
            <w:tcW w:type="dxa" w:w="7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w:t>
            </w:r>
          </w:p>
        </w:tc>
        <w:tc>
          <w:tcPr>
            <w:tcW w:type="dxa" w:w="367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Restricted operational data</w:t>
            </w:r>
          </w:p>
        </w:tc>
        <w:tc>
          <w:tcPr>
            <w:tcW w:type="dxa" w:w="57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Ask the commissioner for an aggregate export</w:t>
            </w:r>
          </w:p>
        </w:tc>
      </w:tr>
      <w:tr>
        <w:trPr>
          <w:cantSplit/>
        </w:trPr>
        <w:tc>
          <w:tcPr>
            <w:tcW w:type="dxa" w:w="7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D</w:t>
            </w:r>
          </w:p>
        </w:tc>
        <w:tc>
          <w:tcPr>
            <w:tcW w:type="dxa" w:w="367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Held and requestable</w:t>
            </w:r>
          </w:p>
        </w:tc>
        <w:tc>
          <w:tcPr>
            <w:tcW w:type="dxa" w:w="57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Use a standard FOI or contract audit request</w:t>
            </w:r>
          </w:p>
        </w:tc>
      </w:tr>
      <w:tr>
        <w:trPr>
          <w:cantSplit/>
        </w:trPr>
        <w:tc>
          <w:tcPr>
            <w:tcW w:type="dxa" w:w="7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E</w:t>
            </w:r>
          </w:p>
        </w:tc>
        <w:tc>
          <w:tcPr>
            <w:tcW w:type="dxa" w:w="367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Provider held or inconsistently collected</w:t>
            </w:r>
          </w:p>
        </w:tc>
        <w:tc>
          <w:tcPr>
            <w:tcW w:type="dxa" w:w="57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Seek contract evidence then use a patient survey only for gaps</w:t>
            </w:r>
          </w:p>
        </w:tc>
      </w:tr>
    </w:tbl>
    <w:p>
      <w:pPr>
        <w:spacing w:after="0"/>
      </w:pPr>
    </w:p>
    <w:p>
      <w:pPr>
        <w:pStyle w:val="Heading1"/>
      </w:pPr>
      <w:r>
        <w:t>Public data availability survey</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cantSplit/>
        </w:trPr>
        <w:tc>
          <w:tcPr>
            <w:tcW w:type="dxa" w:w="223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4"/>
              </w:rPr>
              <w:t>Data area</w:t>
            </w:r>
          </w:p>
        </w:tc>
        <w:tc>
          <w:tcPr>
            <w:tcW w:type="dxa" w:w="64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4"/>
              </w:rPr>
              <w:t>Grade</w:t>
            </w:r>
          </w:p>
        </w:tc>
        <w:tc>
          <w:tcPr>
            <w:tcW w:type="dxa" w:w="302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4"/>
              </w:rPr>
              <w:t>Likely source</w:t>
            </w:r>
          </w:p>
        </w:tc>
        <w:tc>
          <w:tcPr>
            <w:tcW w:type="dxa" w:w="432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4"/>
              </w:rPr>
              <w:t>What it can and cannot establish</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Provider identity and CQC registration</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A</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CQC API and downloadable directories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Active and inactive providers, locations, regulated activities, ratings and registered managers. API data is described as daily; spreadsheet refreshes vary. [8]</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UK legal entity and ownership</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A</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Companies House and Register of Overseas Entities where applicable</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Company number, filings, officers and persons with significant control. Trace every trading name to the invoiced entity and ultimate parent.</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Procurement awards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A to B</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Contracts Finder and Find a Tender</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Useful for advertised and awarded contracts. A missing notice does not prove there was no lawful payment route. [9] [10]</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Large NHS payments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B</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NHS England and individual NHS body transparency files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Useful supplier baseline, but transaction thresholds and inconsistent descriptions mean totals are incomplete. [11]</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Referral and booking trends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A</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Public e-RS dashboard and files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Weekly anonymous ICB subgroup data by specialty. No provider level patient outcome link; activity outside e-RS is excluded. [2] [3]</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Provider and commissioner e-RS metrics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Private e-RS dashboard</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Includes organisational metrics and downloads such as referral rejection and triage. Access requires NHS authentication. [4]</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Mental health autism and learning disability activity</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A to C</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MHSDS publications and commissioned extracts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Patient level source intended to support comparable person based information. The submission notice includes relevant independent providers. [5] [6]</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Autism diagnostic waiting activity</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A</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NHS England autism waiting time statistics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Useful for demand and waiting context. It does not measure treatment success.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Invoices charge stages and refunds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D</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ICB accounts payable and contract management systems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Needed to identify onboarding, assessment, treatment, repeat charges, credit notes and payment dates.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Unique accepted patients and completed care</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 to D</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ICB e-RS extracts provider returns MHSDS and contract reports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Must distinguish unique people from referrals, appointments and episodes.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Sustained outcomes</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E</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Provider clinical records PROM systems and contract quality returns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4"/>
              </w:rPr>
              <w:t>Rarely public and often absent. Must be defined before collection.</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Complaints incidents and safeguarding</w:t>
            </w:r>
          </w:p>
        </w:tc>
        <w:tc>
          <w:tcPr>
            <w:tcW w:type="dxa" w:w="64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B to D</w:t>
            </w:r>
          </w:p>
        </w:tc>
        <w:tc>
          <w:tcPr>
            <w:tcW w:type="dxa" w:w="30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CQC reports commissioner logs provider incident returns and published decisions</w:t>
            </w:r>
          </w:p>
        </w:tc>
        <w:tc>
          <w:tcPr>
            <w:tcW w:type="dxa" w:w="432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4"/>
              </w:rPr>
              <w:t>Use counts and themes first; obtain case records only through lawful routes.</w:t>
            </w:r>
          </w:p>
        </w:tc>
      </w:tr>
    </w:tbl>
    <w:p>
      <w:pPr>
        <w:spacing w:after="0"/>
      </w:pPr>
    </w:p>
    <w:p>
      <w:pPr>
        <w:pStyle w:val="Smallnote"/>
        <w:spacing w:before="0" w:after="0" w:line="254" w:lineRule="auto"/>
      </w:pPr>
      <w:r>
        <w:t>Current caveat. The public e-RS dashboard states that it has not been updated since 30 October 2025 because of technical issues. It covers open data from 7 October 2019 and excludes activity outside e-RS. Any 2025 to 2026 analysis therefore needs a commissioner or NHS England extract rather than assuming the public series is complete. [3]</w:t>
      </w:r>
    </w:p>
    <w:p>
      <w:r>
        <w:br w:type="page"/>
      </w:r>
    </w:p>
    <w:p>
      <w:pPr>
        <w:pStyle w:val="Heading1"/>
      </w:pPr>
      <w:r>
        <w:t>Required data inventory</w:t>
      </w:r>
    </w:p>
    <w:p>
      <w:pPr>
        <w:spacing w:before="0" w:after="100" w:line="254" w:lineRule="auto"/>
      </w:pPr>
      <w:r>
        <w:t>Request data for every financial year held, including records inherited from predecessor clinical commissioning groups. Require a separate field for data coverage dates and known system changes so that a missing value is not mistaken for zero.</w:t>
      </w:r>
    </w:p>
    <w:p>
      <w:pPr>
        <w:pStyle w:val="Heading2"/>
      </w:pPr>
      <w:r>
        <w:t>Provider and contract identity</w:t>
      </w:r>
    </w:p>
    <w:tbl>
      <w:tblPr>
        <w:tblStyle w:val="TableGrid"/>
        <w:tblW w:type="auto" w:w="0"/>
        <w:jc w:val="center"/>
        <w:tblLayout w:type="fixed"/>
        <w:tblLook w:firstColumn="1" w:firstRow="1" w:lastColumn="0" w:lastRow="0" w:noHBand="0" w:noVBand="1" w:val="04A0"/>
      </w:tblPr>
      <w:tblGrid>
        <w:gridCol w:w="2592"/>
        <w:gridCol w:w="2592"/>
        <w:gridCol w:w="2592"/>
        <w:gridCol w:w="2592"/>
      </w:tblGrid>
      <w:tr>
        <w:trPr>
          <w:tblHeader w:val="true"/>
          <w:cantSplit/>
        </w:trPr>
        <w:tc>
          <w:tcPr>
            <w:tcW w:type="dxa" w:w="2376"/>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Field</w:t>
            </w:r>
          </w:p>
        </w:tc>
        <w:tc>
          <w:tcPr>
            <w:tcW w:type="dxa" w:w="352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Purpose</w:t>
            </w:r>
          </w:p>
        </w:tc>
        <w:tc>
          <w:tcPr>
            <w:tcW w:type="dxa" w:w="100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Priority</w:t>
            </w:r>
          </w:p>
        </w:tc>
        <w:tc>
          <w:tcPr>
            <w:tcW w:type="dxa" w:w="331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Likely holder</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legal name</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Exact payee and contracting entity</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ICB ledger and contract</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Trading name</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Links public facing service to payee</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Contract provider website and CQC</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Company number and legal form</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Stable corporate identifier</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Companies House or foreign registry</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Ultimate parent and parent country</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Ownership and group risk analysis</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Filings annual reports and foreign registry</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ODS CQC and location identifiers</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Links clinical regulatory and payment records</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ODS portal CQC and contract</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Prime contractor and subcontractors</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Finds delivery by proxy</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Contract schedules invoices and provider declarations</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Contract or framework reference</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Establishes legal payment route</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Award notice and ICB contract register</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Service pathway and age group</w:t>
            </w:r>
          </w:p>
        </w:tc>
        <w:tc>
          <w:tcPr>
            <w:tcW w:type="dxa" w:w="35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Prevents combining unlike services</w:t>
            </w:r>
          </w:p>
        </w:tc>
        <w:tc>
          <w:tcPr>
            <w:tcW w:type="dxa" w:w="10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Essential</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Service specification and e-RS Directory of Services</w:t>
            </w:r>
          </w:p>
        </w:tc>
      </w:tr>
    </w:tbl>
    <w:p>
      <w:pPr>
        <w:spacing w:after="0"/>
      </w:pPr>
    </w:p>
    <w:p>
      <w:pPr>
        <w:pStyle w:val="Heading2"/>
      </w:pPr>
      <w:r>
        <w:t>Financial fields</w:t>
      </w:r>
    </w:p>
    <w:tbl>
      <w:tblPr>
        <w:tblStyle w:val="TableGrid"/>
        <w:tblW w:type="auto" w:w="0"/>
        <w:jc w:val="center"/>
        <w:tblLayout w:type="fixed"/>
        <w:tblLook w:firstColumn="1" w:firstRow="1" w:lastColumn="0" w:lastRow="0" w:noHBand="0" w:noVBand="1" w:val="04A0"/>
      </w:tblPr>
      <w:tblGrid>
        <w:gridCol w:w="5184"/>
        <w:gridCol w:w="5184"/>
      </w:tblGrid>
      <w:tr>
        <w:trPr>
          <w:tblHeader w:val="true"/>
          <w:cantSplit/>
        </w:trPr>
        <w:tc>
          <w:tcPr>
            <w:tcW w:type="dxa" w:w="3384"/>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Field</w:t>
            </w:r>
          </w:p>
        </w:tc>
        <w:tc>
          <w:tcPr>
            <w:tcW w:type="dxa" w:w="6840"/>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Why it is required</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Invoice and payment date</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Places charge against pathway events</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Gross net VAT and credit values</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Reconciles payments refunds and tax treatment</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Charge stage</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Onboarding screening assessment diagnosis titration review prescription or discharge</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Tariff unit price and quantity</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Tests whether payment matches agreed milestones</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Invoice status</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Paid rejected disputed credited or recovered</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Referral episode token</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Links payment to a unique anonymised episode</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Duplicate or replacement invoice reference</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Identifies cancellations corrections and possible repeat billing</w:t>
            </w:r>
          </w:p>
        </w:tc>
      </w:tr>
      <w:tr>
        <w:trPr>
          <w:cantSplit/>
        </w:trPr>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Commissioner and cost centre</w:t>
            </w:r>
          </w:p>
        </w:tc>
        <w:tc>
          <w:tcPr>
            <w:tcW w:type="dxa" w:w="68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Attributes spend to current ICB or predecessor body</w:t>
            </w:r>
          </w:p>
        </w:tc>
      </w:tr>
    </w:tbl>
    <w:p>
      <w:pPr>
        <w:spacing w:after="0"/>
      </w:pPr>
    </w:p>
    <w:p>
      <w:r>
        <w:br w:type="page"/>
      </w:r>
    </w:p>
    <w:p>
      <w:pPr>
        <w:pStyle w:val="Heading2"/>
      </w:pPr>
      <w:r>
        <w:t>Patient journey fields</w:t>
      </w:r>
    </w:p>
    <w:tbl>
      <w:tblPr>
        <w:tblStyle w:val="TableGrid"/>
        <w:tblW w:type="auto" w:w="0"/>
        <w:jc w:val="center"/>
        <w:tblLayout w:type="fixed"/>
        <w:tblLook w:firstColumn="1" w:firstRow="1" w:lastColumn="0" w:lastRow="0" w:noHBand="0" w:noVBand="1" w:val="04A0"/>
      </w:tblPr>
      <w:tblGrid>
        <w:gridCol w:w="5184"/>
        <w:gridCol w:w="5184"/>
      </w:tblGrid>
      <w:tr>
        <w:trPr>
          <w:tblHeader w:val="true"/>
          <w:cantSplit/>
        </w:trPr>
        <w:tc>
          <w:tcPr>
            <w:tcW w:type="dxa" w:w="180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Stage</w:t>
            </w:r>
          </w:p>
        </w:tc>
        <w:tc>
          <w:tcPr>
            <w:tcW w:type="dxa" w:w="842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Minimum fields</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Referral</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Received date source route service requested and unique booking reference where used</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Triage</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Accepted rejected returned or awaiting information with date and coded reason</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First contact</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Administrative contact and first clinical contact must be separate</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Assessment</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Started completed cancelled or abandoned with completion date and assessor role</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Decision</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Diagnostic result treatment recommendation and date communicated</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Treatment</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Medication decision titration start and end non drug intervention and reviews</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Continuity</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Ongoing provider prescriber shared care request acceptance or refusal and next review</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Closure</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Provider initiated patient initiated completed transferred or lost contact with reason</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Return</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Re referral or repeat onboarding within 6 12 and 24 months</w:t>
            </w:r>
          </w:p>
        </w:tc>
      </w:tr>
      <w:tr>
        <w:trPr>
          <w:cantSplit/>
        </w:trP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Safety</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Adverse effects serious incidents safeguarding and unplanned urgent care where recorded</w:t>
            </w:r>
          </w:p>
        </w:tc>
      </w:tr>
    </w:tbl>
    <w:p>
      <w:pPr>
        <w:spacing w:after="0"/>
      </w:pPr>
    </w:p>
    <w:p>
      <w:pPr>
        <w:pStyle w:val="Heading1"/>
      </w:pPr>
      <w:r>
        <w:t>Outcome definitions</w:t>
      </w:r>
    </w:p>
    <w:tbl>
      <w:tblPr>
        <w:tblW w:type="auto" w:w="0"/>
        <w:jc w:val="center"/>
        <w:tblLayout w:type="fixed"/>
        <w:tblLook w:firstColumn="1" w:firstRow="1" w:lastColumn="0" w:lastRow="0" w:noHBand="0" w:noVBand="1" w:val="04A0"/>
      </w:tblPr>
      <w:tblGrid>
        <w:gridCol w:w="5184"/>
        <w:gridCol w:w="5184"/>
      </w:tblGrid>
      <w:t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19324D"/>
          </w:tcPr>
          <w:p>
            <w:pPr>
              <w:spacing w:after="0"/>
            </w:pPr>
            <w:r>
              <w:rPr>
                <w:rFonts w:ascii="Aptos" w:hAnsi="Aptos"/>
                <w:b/>
                <w:color w:val="FFFFFF"/>
                <w:sz w:val="16"/>
              </w:rPr>
              <w:t>RULE</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FBF3DE"/>
          </w:tcPr>
          <w:p>
            <w:pPr>
              <w:spacing w:after="0"/>
            </w:pPr>
            <w:r>
              <w:rPr>
                <w:rFonts w:ascii="Aptos" w:hAnsi="Aptos"/>
                <w:color w:val="000000"/>
                <w:sz w:val="18"/>
              </w:rPr>
              <w:t>A diagnosis, report or first appointment is a delivered milestone. It is not by itself a successful treatment outcome.</w:t>
            </w:r>
          </w:p>
        </w:tc>
      </w:tr>
    </w:tbl>
    <w:p>
      <w:pPr>
        <w:spacing w:after="0"/>
      </w:pPr>
    </w:p>
    <w:p>
      <w:pPr>
        <w:pStyle w:val="Heading2"/>
      </w:pPr>
      <w:r>
        <w:t>ADHD assessment completion</w:t>
      </w:r>
    </w:p>
    <w:p>
      <w:pPr>
        <w:pStyle w:val="ListBullet"/>
        <w:spacing w:after="50" w:line="247" w:lineRule="auto"/>
        <w:ind w:left="331" w:hanging="173"/>
        <w:keepLines/>
      </w:pPr>
      <w:r>
        <w:t>The assessment is completed by appropriately qualified clinicians using the specified pathway standard.</w:t>
      </w:r>
    </w:p>
    <w:p>
      <w:pPr>
        <w:pStyle w:val="ListBullet"/>
        <w:spacing w:after="50" w:line="247" w:lineRule="auto"/>
        <w:ind w:left="331" w:hanging="173"/>
        <w:keepLines/>
      </w:pPr>
      <w:r>
        <w:t>The diagnostic decision, report and care plan are communicated to the patient and referrer.</w:t>
      </w:r>
    </w:p>
    <w:p>
      <w:pPr>
        <w:pStyle w:val="ListBullet"/>
        <w:spacing w:after="50" w:line="247" w:lineRule="auto"/>
        <w:ind w:left="331" w:hanging="173"/>
        <w:keepLines/>
      </w:pPr>
      <w:r>
        <w:t>The report is usable by the receiving NHS service and does not trigger an avoidable repeat assessment.</w:t>
      </w:r>
    </w:p>
    <w:p>
      <w:pPr>
        <w:pStyle w:val="Heading2"/>
      </w:pPr>
      <w:r>
        <w:t>ADHD treatment and continuity</w:t>
      </w:r>
    </w:p>
    <w:p>
      <w:pPr>
        <w:pStyle w:val="ListBullet"/>
        <w:spacing w:after="50" w:line="247" w:lineRule="auto"/>
        <w:ind w:left="331" w:hanging="173"/>
        <w:keepLines/>
      </w:pPr>
      <w:r>
        <w:t>A treatment decision is recorded. If medication is chosen, titration ends in a stable regimen or a documented clinical stop decision.</w:t>
      </w:r>
    </w:p>
    <w:p>
      <w:pPr>
        <w:pStyle w:val="ListBullet"/>
        <w:spacing w:after="50" w:line="247" w:lineRule="auto"/>
        <w:ind w:left="331" w:hanging="173"/>
        <w:keepLines/>
      </w:pPr>
      <w:r>
        <w:t>Adverse effects, monitoring and the responsible ongoing prescriber are recorded.</w:t>
      </w:r>
    </w:p>
    <w:p>
      <w:pPr>
        <w:pStyle w:val="ListBullet"/>
        <w:spacing w:after="50" w:line="247" w:lineRule="auto"/>
        <w:ind w:left="331" w:hanging="173"/>
        <w:keepLines/>
      </w:pPr>
      <w:r>
        <w:t>Shared care is requested where relevant and its acceptance, refusal or alternative arrangement is documented.</w:t>
      </w:r>
    </w:p>
    <w:p>
      <w:pPr>
        <w:pStyle w:val="ListBullet"/>
        <w:spacing w:after="50" w:line="247" w:lineRule="auto"/>
        <w:ind w:left="331" w:hanging="173"/>
        <w:keepLines/>
      </w:pPr>
      <w:r>
        <w:t>A six month and twelve month review records symptoms, function and whether care remains accessible.</w:t>
      </w:r>
    </w:p>
    <w:p>
      <w:pPr>
        <w:pStyle w:val="Heading2"/>
      </w:pPr>
      <w:r>
        <w:t>Autism diagnostic pathway</w:t>
      </w:r>
    </w:p>
    <w:p>
      <w:pPr>
        <w:pStyle w:val="ListBullet"/>
        <w:spacing w:after="50" w:line="247" w:lineRule="auto"/>
        <w:ind w:left="331" w:hanging="173"/>
        <w:keepLines/>
      </w:pPr>
      <w:r>
        <w:t>Success means a completed diagnostic pathway, communication of the result, a useful report and an agreed handover or post diagnostic support plan.</w:t>
      </w:r>
    </w:p>
    <w:p>
      <w:pPr>
        <w:pStyle w:val="ListBullet"/>
        <w:spacing w:after="50" w:line="247" w:lineRule="auto"/>
        <w:ind w:left="331" w:hanging="173"/>
        <w:keepLines/>
      </w:pPr>
      <w:r>
        <w:t>Autism should not be measured as a cure or treatment response. Measures should cover access, completion, usefulness of recommendations and continuity of support.</w:t>
      </w:r>
    </w:p>
    <w:p>
      <w:pPr>
        <w:pStyle w:val="Heading2"/>
      </w:pPr>
      <w:r>
        <w:t>Core outcome fields</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259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Outcome</w:t>
            </w:r>
          </w:p>
        </w:tc>
        <w:tc>
          <w:tcPr>
            <w:tcW w:type="dxa" w:w="482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Minimum specification</w:t>
            </w:r>
          </w:p>
        </w:tc>
        <w:tc>
          <w:tcPr>
            <w:tcW w:type="dxa" w:w="280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Source</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Baseline and follow up symptom measure</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Named validated instrument score date and completeness</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clinical system or PROM platform</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Functional goal</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Patient selected goal baseline follow up and achieved status</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Provider and patient report</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Continuity status</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Responsible service at 6 and 12 months</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ICB and GP records</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Treatment status</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Started completed stopped or inaccessible with reason</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Provider clinical system</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Safety outcome</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Adverse effect serious incident or urgent care event</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incident and clinical records</w:t>
            </w:r>
          </w:p>
        </w:tc>
      </w:tr>
      <w:tr>
        <w:trPr>
          <w:cantSplit/>
        </w:trPr>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Patient experience</w:t>
            </w:r>
          </w:p>
        </w:tc>
        <w:tc>
          <w:tcPr>
            <w:tcW w:type="dxa" w:w="482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Communication access confidence and whether promised care occurred</w:t>
            </w:r>
          </w:p>
        </w:tc>
        <w:tc>
          <w:tcPr>
            <w:tcW w:type="dxa" w:w="280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Independent patient survey</w:t>
            </w:r>
          </w:p>
        </w:tc>
      </w:tr>
    </w:tbl>
    <w:p>
      <w:pPr>
        <w:spacing w:after="0"/>
      </w:pPr>
    </w:p>
    <w:p>
      <w:pPr>
        <w:pStyle w:val="Smallnote"/>
        <w:spacing w:before="0" w:after="0" w:line="254" w:lineRule="auto"/>
      </w:pPr>
      <w:r>
        <w:t>Outcome denominators must be reported twice: first for all accepted unique patients and again for patients with a recorded follow up. The difference is the outcome capture gap; excluding people with missing follow up can make performance look better than it is.</w:t>
      </w:r>
    </w:p>
    <w:p>
      <w:r>
        <w:br w:type="page"/>
      </w:r>
    </w:p>
    <w:p>
      <w:pPr>
        <w:pStyle w:val="Heading1"/>
      </w:pPr>
      <w:r>
        <w:t>Data acquisition plan</w:t>
      </w:r>
    </w:p>
    <w:p>
      <w:pPr>
        <w:pStyle w:val="Heading2"/>
      </w:pPr>
      <w:r>
        <w:t>Phase one public baseline</w:t>
      </w:r>
    </w:p>
    <w:p>
      <w:pPr>
        <w:spacing w:after="60"/>
        <w:ind w:left="360" w:hanging="216"/>
        <w:keepLines/>
      </w:pPr>
      <w:r>
        <w:rPr>
          <w:rFonts w:ascii="Aptos" w:hAnsi="Aptos"/>
          <w:b/>
          <w:color w:val="177E89"/>
        </w:rPr>
        <w:t xml:space="preserve">1. </w:t>
      </w:r>
      <w:r>
        <w:t>Build a provider master list from CQC active and inactive directories, NHS service listings, award notices and supplier names in expenditure files.</w:t>
      </w:r>
    </w:p>
    <w:p>
      <w:pPr>
        <w:spacing w:after="60"/>
        <w:ind w:left="360" w:hanging="216"/>
        <w:keepLines/>
      </w:pPr>
      <w:r>
        <w:rPr>
          <w:rFonts w:ascii="Aptos" w:hAnsi="Aptos"/>
          <w:b/>
          <w:color w:val="177E89"/>
        </w:rPr>
        <w:t xml:space="preserve">2. </w:t>
      </w:r>
      <w:r>
        <w:t>Resolve each trading name to the exact legal entity, company number, CQC provider and location identifiers, ODS code, parent entities and country of the ultimate parent.</w:t>
      </w:r>
    </w:p>
    <w:p>
      <w:pPr>
        <w:spacing w:after="60"/>
        <w:ind w:left="360" w:hanging="216"/>
        <w:keepLines/>
      </w:pPr>
      <w:r>
        <w:rPr>
          <w:rFonts w:ascii="Aptos" w:hAnsi="Aptos"/>
          <w:b/>
          <w:color w:val="177E89"/>
        </w:rPr>
        <w:t xml:space="preserve">3. </w:t>
      </w:r>
      <w:r>
        <w:t>Download Contracts Finder and Find a Tender awards, relevant framework records and each commissioner contract register that is public.</w:t>
      </w:r>
    </w:p>
    <w:p>
      <w:pPr>
        <w:spacing w:after="60"/>
        <w:ind w:left="360" w:hanging="216"/>
        <w:keepLines/>
      </w:pPr>
      <w:r>
        <w:rPr>
          <w:rFonts w:ascii="Aptos" w:hAnsi="Aptos"/>
          <w:b/>
          <w:color w:val="177E89"/>
        </w:rPr>
        <w:t xml:space="preserve">4. </w:t>
      </w:r>
      <w:r>
        <w:t>Download monthly expenditure files from NHS England and every relevant commissioner. Preserve the original files and record the download date.</w:t>
      </w:r>
    </w:p>
    <w:p>
      <w:pPr>
        <w:spacing w:after="60"/>
        <w:ind w:left="360" w:hanging="216"/>
        <w:keepLines/>
      </w:pPr>
      <w:r>
        <w:rPr>
          <w:rFonts w:ascii="Aptos" w:hAnsi="Aptos"/>
          <w:b/>
          <w:color w:val="177E89"/>
        </w:rPr>
        <w:t xml:space="preserve">5. </w:t>
      </w:r>
      <w:r>
        <w:t>Download public e-RS data, MHSDS publications, autism waiting statistics and published provider quality or inspection reports.</w:t>
      </w:r>
    </w:p>
    <w:p>
      <w:pPr>
        <w:pStyle w:val="Heading2"/>
      </w:pPr>
      <w:r>
        <w:t>Phase two commissioner disclosure</w:t>
      </w:r>
    </w:p>
    <w:p>
      <w:pPr>
        <w:spacing w:before="0" w:after="100" w:line="254" w:lineRule="auto"/>
      </w:pPr>
      <w:r>
        <w:t>Send the same machine readable request to every current commissioning body and ask it to include records inherited from predecessor bodies. Request existing electronic extracts, not manual review of individual clinical files. Accept lawful small number suppression but require unsuppressed totals.</w:t>
      </w:r>
    </w:p>
    <w:tbl>
      <w:tblPr>
        <w:tblStyle w:val="TableGrid"/>
        <w:tblW w:type="auto" w:w="0"/>
        <w:jc w:val="center"/>
        <w:tblLayout w:type="fixed"/>
        <w:tblLook w:firstColumn="1" w:firstRow="1" w:lastColumn="0" w:lastRow="0" w:noHBand="0" w:noVBand="1" w:val="04A0"/>
      </w:tblPr>
      <w:tblGrid>
        <w:gridCol w:w="5184"/>
        <w:gridCol w:w="5184"/>
      </w:tblGrid>
      <w:tr>
        <w:trPr>
          <w:tblHeader w:val="true"/>
          <w:cantSplit/>
        </w:trPr>
        <w:tc>
          <w:tcPr>
            <w:tcW w:type="dxa" w:w="2232"/>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Requested file</w:t>
            </w:r>
          </w:p>
        </w:tc>
        <w:tc>
          <w:tcPr>
            <w:tcW w:type="dxa" w:w="7992"/>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Minimum content</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Finance extract</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Invoice level or monthly provider level data with payment stage credits and contract reference</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Activity extract</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Unique referred accepted first clinical contact assessed treated closed and re referred counts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Continuity extract</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Shared care decisions ongoing prescriber and 6 and 12 month status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Outcome extract</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Named measures baseline follow up and missingness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e-RS extract</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Provider and commissioner metrics from the restricted dashboard or underlying data</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MHSDS assurance</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Submitting organisation codes record counts rejection rates coverage and known omissions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Contract documents</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Service specification price schedule key performance indicators audit clauses subcontractors and variations</w:t>
            </w:r>
          </w:p>
        </w:tc>
      </w:tr>
      <w:tr>
        <w:trPr>
          <w:cantSplit/>
        </w:trPr>
        <w:tc>
          <w:tcPr>
            <w:tcW w:type="dxa" w:w="223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Quality evidence</w:t>
            </w:r>
          </w:p>
        </w:tc>
        <w:tc>
          <w:tcPr>
            <w:tcW w:type="dxa" w:w="79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Complaints incidents safeguarding contract notices payment recovery and remedial action</w:t>
            </w:r>
          </w:p>
        </w:tc>
      </w:tr>
    </w:tbl>
    <w:p>
      <w:pPr>
        <w:spacing w:after="0"/>
      </w:pPr>
    </w:p>
    <w:p>
      <w:pPr>
        <w:pStyle w:val="Heading2"/>
      </w:pPr>
      <w:r>
        <w:t>Phase three provider verification</w:t>
      </w:r>
    </w:p>
    <w:p>
      <w:pPr>
        <w:pStyle w:val="ListBullet"/>
        <w:spacing w:after="50" w:line="247" w:lineRule="auto"/>
        <w:ind w:left="331" w:hanging="173"/>
        <w:keepLines/>
      </w:pPr>
      <w:r>
        <w:t>Reconcile provider returns to the commissioner ledger and to the activity submitted through e-RS and MHSDS.</w:t>
      </w:r>
    </w:p>
    <w:p>
      <w:pPr>
        <w:pStyle w:val="ListBullet"/>
        <w:spacing w:after="50" w:line="247" w:lineRule="auto"/>
        <w:ind w:left="331" w:hanging="173"/>
        <w:keepLines/>
      </w:pPr>
      <w:r>
        <w:t>Ask for the data dictionary, calculation logic, system source and dates for every reported metric.</w:t>
      </w:r>
    </w:p>
    <w:p>
      <w:pPr>
        <w:pStyle w:val="ListBullet"/>
        <w:spacing w:after="50" w:line="247" w:lineRule="auto"/>
        <w:ind w:left="331" w:hanging="173"/>
        <w:keepLines/>
      </w:pPr>
      <w:r>
        <w:t>Test a risk based sample of episodes only through authorised audit channels. Do not seek identifiable clinical records through a public FOI request.</w:t>
      </w:r>
    </w:p>
    <w:p>
      <w:pPr>
        <w:pStyle w:val="ListBullet"/>
        <w:spacing w:after="50" w:line="247" w:lineRule="auto"/>
        <w:ind w:left="331" w:hanging="173"/>
        <w:keepLines/>
      </w:pPr>
      <w:r>
        <w:t>Record refusal, non response, not held answers, incompatible definitions and data that cannot be reproduced as findings in their own right.</w:t>
      </w:r>
    </w:p>
    <w:p>
      <w:r>
        <w:br w:type="page"/>
      </w:r>
    </w:p>
    <w:p>
      <w:pPr>
        <w:pStyle w:val="Heading1"/>
      </w:pPr>
      <w:r>
        <w:t>Standard commissioner data request</w:t>
      </w:r>
    </w:p>
    <w:p>
      <w:pPr>
        <w:spacing w:before="0" w:after="100" w:line="254" w:lineRule="auto"/>
      </w:pPr>
      <w:r>
        <w:t>The following specification can be adapted into a Freedom of Information request or a formal contract information request. A formal request should name the service pathways and providers if known.</w:t>
      </w:r>
    </w:p>
    <w:p>
      <w:pPr>
        <w:spacing w:after="80"/>
        <w:ind w:left="403" w:hanging="317"/>
        <w:keepLines/>
      </w:pPr>
      <w:r>
        <w:rPr>
          <w:rFonts w:ascii="Aptos" w:hAnsi="Aptos"/>
          <w:b/>
          <w:color w:val="177E89"/>
        </w:rPr>
        <w:t xml:space="preserve">1. </w:t>
      </w:r>
      <w:r>
        <w:t>Please provide the information held for each financial year available, including inherited records from predecessor clinical commissioning groups, for NHS funded patient choice activity in the specified pathway.</w:t>
      </w:r>
    </w:p>
    <w:p>
      <w:pPr>
        <w:spacing w:after="80"/>
        <w:ind w:left="403" w:hanging="317"/>
        <w:keepLines/>
      </w:pPr>
      <w:r>
        <w:rPr>
          <w:rFonts w:ascii="Aptos" w:hAnsi="Aptos"/>
          <w:b/>
          <w:color w:val="177E89"/>
        </w:rPr>
        <w:t xml:space="preserve">2. </w:t>
      </w:r>
      <w:r>
        <w:t>Provide data by financial year, commissioner, provider legal name, trading name, company number where held, ODS code, CQC identifier, service and age group. CSV or XLSX is preferred.</w:t>
      </w:r>
    </w:p>
    <w:p>
      <w:pPr>
        <w:spacing w:after="80"/>
        <w:ind w:left="403" w:hanging="317"/>
        <w:keepLines/>
      </w:pPr>
      <w:r>
        <w:rPr>
          <w:rFonts w:ascii="Aptos" w:hAnsi="Aptos"/>
          <w:b/>
          <w:color w:val="177E89"/>
        </w:rPr>
        <w:t xml:space="preserve">3. </w:t>
      </w:r>
      <w:r>
        <w:t>Provide total gross payments, net payments, credits or recoveries, invoice count and expenditure by charge stage. Charge stages should include referral or onboarding, screening, assessment, report, diagnosis, medication initiation, titration, review, prescription related activity, non drug treatment and discharge where recorded.</w:t>
      </w:r>
    </w:p>
    <w:p>
      <w:pPr>
        <w:spacing w:after="80"/>
        <w:ind w:left="403" w:hanging="317"/>
        <w:keepLines/>
      </w:pPr>
      <w:r>
        <w:rPr>
          <w:rFonts w:ascii="Aptos" w:hAnsi="Aptos"/>
          <w:b/>
          <w:color w:val="177E89"/>
        </w:rPr>
        <w:t xml:space="preserve">4. </w:t>
      </w:r>
      <w:r>
        <w:t>Provide counts of unique people and referral episodes at each pathway stage: received, accepted, rejected, first administrative contact, first clinical contact, assessment started, assessment completed, decision communicated, treatment offered, treatment started, titration completed, ongoing care in place, discharged by provider, withdrawn by patient and re referred within 6, 12 and 24 months.</w:t>
      </w:r>
    </w:p>
    <w:p>
      <w:pPr>
        <w:spacing w:after="80"/>
        <w:ind w:left="403" w:hanging="317"/>
        <w:keepLines/>
      </w:pPr>
      <w:r>
        <w:rPr>
          <w:rFonts w:ascii="Aptos" w:hAnsi="Aptos"/>
          <w:b/>
          <w:color w:val="177E89"/>
        </w:rPr>
        <w:t xml:space="preserve">5. </w:t>
      </w:r>
      <w:r>
        <w:t>Provide the coded reasons for rejection, closure, provider initiated discharge, patient withdrawal, shared care refusal and re referral.</w:t>
      </w:r>
    </w:p>
    <w:p>
      <w:pPr>
        <w:spacing w:after="80"/>
        <w:ind w:left="403" w:hanging="317"/>
        <w:keepLines/>
      </w:pPr>
      <w:r>
        <w:rPr>
          <w:rFonts w:ascii="Aptos" w:hAnsi="Aptos"/>
          <w:b/>
          <w:color w:val="177E89"/>
        </w:rPr>
        <w:t xml:space="preserve">6. </w:t>
      </w:r>
      <w:r>
        <w:t>Provide the name and definition of each outcome measure, counts with baseline and follow up records, aggregate results, follow up timing and the number missing follow up.</w:t>
      </w:r>
    </w:p>
    <w:p>
      <w:pPr>
        <w:spacing w:after="80"/>
        <w:ind w:left="403" w:hanging="317"/>
        <w:keepLines/>
      </w:pPr>
      <w:r>
        <w:rPr>
          <w:rFonts w:ascii="Aptos" w:hAnsi="Aptos"/>
          <w:b/>
          <w:color w:val="177E89"/>
        </w:rPr>
        <w:t xml:space="preserve">7. </w:t>
      </w:r>
      <w:r>
        <w:t>Provide the relevant contract, service specification, price schedule, performance measures, audit provisions, subcontractor schedule and contract variations, subject to lawful redaction.</w:t>
      </w:r>
    </w:p>
    <w:p>
      <w:pPr>
        <w:spacing w:after="80"/>
        <w:ind w:left="403" w:hanging="317"/>
        <w:keepLines/>
      </w:pPr>
      <w:r>
        <w:rPr>
          <w:rFonts w:ascii="Aptos" w:hAnsi="Aptos"/>
          <w:b/>
          <w:color w:val="177E89"/>
        </w:rPr>
        <w:t xml:space="preserve">8. </w:t>
      </w:r>
      <w:r>
        <w:t>State whether the provider submitted this activity to e-RS and MHSDS. Provide submitting organisation codes, submission months, accepted and rejected record counts and any known coverage limitations.</w:t>
      </w:r>
    </w:p>
    <w:p>
      <w:pPr>
        <w:spacing w:after="80"/>
        <w:ind w:left="403" w:hanging="317"/>
        <w:keepLines/>
      </w:pPr>
      <w:r>
        <w:rPr>
          <w:rFonts w:ascii="Aptos" w:hAnsi="Aptos"/>
          <w:b/>
          <w:color w:val="177E89"/>
        </w:rPr>
        <w:t xml:space="preserve">9. </w:t>
      </w:r>
      <w:r>
        <w:t>If any item is not held, identify the organisation believed to hold it and the system, return or contract report in which it would ordinarily be recorded. Please provide the remaining items rather than rejecting the request as a whole.</w:t>
      </w:r>
    </w:p>
    <w:p>
      <w:pPr>
        <w:spacing w:after="80"/>
        <w:ind w:left="403" w:hanging="317"/>
        <w:keepLines/>
      </w:pPr>
      <w:r>
        <w:rPr>
          <w:rFonts w:ascii="Aptos" w:hAnsi="Aptos"/>
          <w:b/>
          <w:color w:val="177E89"/>
        </w:rPr>
        <w:t xml:space="preserve">10. </w:t>
      </w:r>
      <w:r>
        <w:t>No patient names, NHS numbers, dates of birth, addresses or free text clinical notes are requested. Small number suppression is acceptable. Please provide unsuppressed total denominators and explain each suppression rule.</w:t>
      </w:r>
    </w:p>
    <w:tbl>
      <w:tblPr>
        <w:tblW w:type="auto" w:w="0"/>
        <w:jc w:val="center"/>
        <w:tblLayout w:type="fixed"/>
        <w:tblLook w:firstColumn="1" w:firstRow="1" w:lastColumn="0" w:lastRow="0" w:noHBand="0" w:noVBand="1" w:val="04A0"/>
      </w:tblPr>
      <w:tblGrid>
        <w:gridCol w:w="5184"/>
        <w:gridCol w:w="5184"/>
      </w:tblGrid>
      <w:t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19324D"/>
          </w:tcPr>
          <w:p>
            <w:pPr>
              <w:spacing w:after="0"/>
            </w:pPr>
            <w:r>
              <w:rPr>
                <w:rFonts w:ascii="Aptos" w:hAnsi="Aptos"/>
                <w:b/>
                <w:color w:val="FFFFFF"/>
                <w:sz w:val="16"/>
              </w:rPr>
              <w:t>PRACTICAL</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EAF2F7"/>
          </w:tcPr>
          <w:p>
            <w:pPr>
              <w:spacing w:after="0"/>
            </w:pPr>
            <w:r>
              <w:rPr>
                <w:rFonts w:ascii="Aptos" w:hAnsi="Aptos"/>
                <w:color w:val="000000"/>
                <w:sz w:val="18"/>
              </w:rPr>
              <w:t>If the authority says the request exceeds the cost limit, ask first for annual provider totals, unique accepted patients, completed assessments, treatment starts, provider initiated closures and re referrals. Then split invoices, outcomes and contract documents into separate requests.</w:t>
            </w:r>
          </w:p>
        </w:tc>
      </w:tr>
    </w:tbl>
    <w:p>
      <w:pPr>
        <w:spacing w:after="0"/>
      </w:pPr>
    </w:p>
    <w:p>
      <w:r>
        <w:br w:type="page"/>
      </w:r>
    </w:p>
    <w:p>
      <w:pPr>
        <w:pStyle w:val="Heading1"/>
      </w:pPr>
      <w:r>
        <w:t>Independent patient survey module</w:t>
      </w:r>
    </w:p>
    <w:p>
      <w:pPr>
        <w:spacing w:before="0" w:after="100" w:line="254" w:lineRule="auto"/>
      </w:pPr>
      <w:r>
        <w:t>The survey should verify events that administrative records may miss. It should not ask respondents to decide whether fraud occurred. Ask about dates, actions, documents, charges communicated, loss of care and outcomes.</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1728"/>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Module</w:t>
            </w:r>
          </w:p>
        </w:tc>
        <w:tc>
          <w:tcPr>
            <w:tcW w:type="dxa" w:w="511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Core question or field</w:t>
            </w:r>
          </w:p>
        </w:tc>
        <w:tc>
          <w:tcPr>
            <w:tcW w:type="dxa" w:w="338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Use</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Eligibility</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Was your referral NHS funded under patient choice or Right to Choose</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Separate NHS funded activity from self pay</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Provider and pathway</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Provider trading name service age group referral quarter and year</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Match cohort without collecting identity</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Referral progress</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Accepted rejected waiting first clinical contact assessment completed</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Measure conversion and waiting</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Clinical interaction</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Roles of staff who screened assessed prescribed and reviewed</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Distinguish administration from regulated clinical work</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Documents</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Report care plan prescription monitoring plan and discharge letter received</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Verify delivered milestones</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Treatment</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Offered started titration completed stopped and reason</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Separate assessment from treatment</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Continuity</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Current prescriber shared care outcome next review and access after closure</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Find care gaps</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Repeat pathway</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Asked to repeat forms screening assessment or onboarding after closure</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Identify rework and possible repeat charging pattern</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Outcome</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Named symptom measure function goal adverse effects and overall change</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Add patient reported result</w:t>
            </w:r>
          </w:p>
        </w:tc>
      </w:tr>
      <w:tr>
        <w:trPr>
          <w:cantSplit/>
        </w:trPr>
        <w:tc>
          <w:tcPr>
            <w:tcW w:type="dxa" w:w="1728"/>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Evidence consent</w:t>
            </w:r>
          </w:p>
        </w:tc>
        <w:tc>
          <w:tcPr>
            <w:tcW w:type="dxa" w:w="51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Optional consent for secure follow up by an authorised investigator</w:t>
            </w:r>
          </w:p>
        </w:tc>
        <w:tc>
          <w:tcPr>
            <w:tcW w:type="dxa" w:w="338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Keep evidential contact separate from anonymous survey</w:t>
            </w:r>
          </w:p>
        </w:tc>
      </w:tr>
    </w:tbl>
    <w:p>
      <w:pPr>
        <w:spacing w:after="0"/>
      </w:pPr>
    </w:p>
    <w:p>
      <w:pPr>
        <w:pStyle w:val="Heading2"/>
      </w:pPr>
      <w:r>
        <w:t>Survey safeguards</w:t>
      </w:r>
    </w:p>
    <w:p>
      <w:pPr>
        <w:pStyle w:val="ListBullet"/>
        <w:spacing w:after="50" w:line="247" w:lineRule="auto"/>
        <w:ind w:left="331" w:hanging="173"/>
        <w:keepLines/>
      </w:pPr>
      <w:r>
        <w:t>Do not publish free text that could identify a patient or clinician without review and consent.</w:t>
      </w:r>
    </w:p>
    <w:p>
      <w:pPr>
        <w:pStyle w:val="ListBullet"/>
        <w:spacing w:after="50" w:line="247" w:lineRule="auto"/>
        <w:ind w:left="331" w:hanging="173"/>
        <w:keepLines/>
      </w:pPr>
      <w:r>
        <w:t>Keep contact details in a separate encrypted table from health responses and restrict access.</w:t>
      </w:r>
    </w:p>
    <w:p>
      <w:pPr>
        <w:pStyle w:val="ListBullet"/>
        <w:spacing w:after="50" w:line="247" w:lineRule="auto"/>
        <w:ind w:left="331" w:hanging="173"/>
        <w:keepLines/>
      </w:pPr>
      <w:r>
        <w:t>Prevent duplicate submissions where possible but retain a transparent rule for multiple referral episodes.</w:t>
      </w:r>
    </w:p>
    <w:p>
      <w:pPr>
        <w:pStyle w:val="ListBullet"/>
        <w:spacing w:after="50" w:line="247" w:lineRule="auto"/>
        <w:ind w:left="331" w:hanging="173"/>
        <w:keepLines/>
      </w:pPr>
      <w:r>
        <w:t>Report the recruitment source, response rate where known, missing data and demographic coverage.</w:t>
      </w:r>
    </w:p>
    <w:p>
      <w:pPr>
        <w:pStyle w:val="ListBullet"/>
        <w:spacing w:after="50" w:line="247" w:lineRule="auto"/>
        <w:ind w:left="331" w:hanging="173"/>
        <w:keepLines/>
      </w:pPr>
      <w:r>
        <w:t>Treat survey findings as corroboration and route individual safety concerns through an appropriate clinical or safeguarding process.</w:t>
      </w:r>
    </w:p>
    <w:p>
      <w:r>
        <w:br w:type="page"/>
      </w:r>
    </w:p>
    <w:p>
      <w:pPr>
        <w:pStyle w:val="Heading1"/>
      </w:pPr>
      <w:r>
        <w:t>Measures and reconciliation</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2376"/>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Measure</w:t>
            </w:r>
          </w:p>
        </w:tc>
        <w:tc>
          <w:tcPr>
            <w:tcW w:type="dxa" w:w="5256"/>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Calculation</w:t>
            </w:r>
          </w:p>
        </w:tc>
        <w:tc>
          <w:tcPr>
            <w:tcW w:type="dxa" w:w="259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Control</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Payment without clinical contact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Paid episodes with no first clinical contact divided by paid episodes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Requires episode linked payment and clinical event</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Cost per accepted person</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Net provider payments divided by unique accepted patients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Report with cost per referral episode</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Assessment completion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Unique completed assessments divided by unique accepted patients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Break down provider and cohort</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Treatment start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Unique treatment starts divided by eligible completed assessments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Do not use all referrals as denominator</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Continuity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People with a responsible care provider at 6 or 12 months divided by treatment starts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Count shared care refusals separately</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Repeat onboarding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People with more than one onboarding event for the same pathway within 24 months divided by people onboarded</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Requires stable pseudonymous person key</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initiated closure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initiated closures divided by accepted episodes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Show coded reasons and time to closure</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Re referral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People re referred within 6 12 or 24 months divided by closed episodes</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Separate completed and incomplete closure</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Outcome capture rate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People with usable follow up divided by people eligible for follow up</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Always publish beside outcome result</w:t>
            </w:r>
          </w:p>
        </w:tc>
      </w:tr>
      <w:tr>
        <w:trPr>
          <w:cantSplit/>
        </w:trPr>
        <w:tc>
          <w:tcPr>
            <w:tcW w:type="dxa" w:w="237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Cost per sustained positive outcome</w:t>
            </w:r>
          </w:p>
        </w:tc>
        <w:tc>
          <w:tcPr>
            <w:tcW w:type="dxa" w:w="5256"/>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Net payments divided by people meeting defined outcome and continuity criteria</w:t>
            </w:r>
          </w:p>
        </w:tc>
        <w:tc>
          <w:tcPr>
            <w:tcW w:type="dxa" w:w="259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Only valid with complete denominators</w:t>
            </w:r>
          </w:p>
        </w:tc>
      </w:tr>
    </w:tbl>
    <w:p>
      <w:pPr>
        <w:spacing w:after="0"/>
      </w:pPr>
    </w:p>
    <w:p>
      <w:pPr>
        <w:pStyle w:val="Heading2"/>
      </w:pPr>
      <w:r>
        <w:t>Reconciliation tests</w:t>
      </w:r>
    </w:p>
    <w:p>
      <w:pPr>
        <w:spacing w:after="60"/>
        <w:ind w:left="360" w:hanging="216"/>
        <w:keepLines/>
      </w:pPr>
      <w:r>
        <w:rPr>
          <w:rFonts w:ascii="Aptos" w:hAnsi="Aptos"/>
          <w:b/>
          <w:color w:val="177E89"/>
        </w:rPr>
        <w:t xml:space="preserve">1. </w:t>
      </w:r>
      <w:r>
        <w:t>Ledger total equals published expenditure plus sub threshold transactions, adjustments and explained timing differences.</w:t>
      </w:r>
    </w:p>
    <w:p>
      <w:pPr>
        <w:spacing w:after="60"/>
        <w:ind w:left="360" w:hanging="216"/>
        <w:keepLines/>
      </w:pPr>
      <w:r>
        <w:rPr>
          <w:rFonts w:ascii="Aptos" w:hAnsi="Aptos"/>
          <w:b/>
          <w:color w:val="177E89"/>
        </w:rPr>
        <w:t xml:space="preserve">2. </w:t>
      </w:r>
      <w:r>
        <w:t>Paid episode counts reconcile to invoice quantities and contract milestone definitions.</w:t>
      </w:r>
    </w:p>
    <w:p>
      <w:pPr>
        <w:spacing w:after="60"/>
        <w:ind w:left="360" w:hanging="216"/>
        <w:keepLines/>
      </w:pPr>
      <w:r>
        <w:rPr>
          <w:rFonts w:ascii="Aptos" w:hAnsi="Aptos"/>
          <w:b/>
          <w:color w:val="177E89"/>
        </w:rPr>
        <w:t xml:space="preserve">3. </w:t>
      </w:r>
      <w:r>
        <w:t>Accepted referrals reconcile across e-RS, provider returns and MHSDS after documented scope differences.</w:t>
      </w:r>
    </w:p>
    <w:p>
      <w:pPr>
        <w:spacing w:after="60"/>
        <w:ind w:left="360" w:hanging="216"/>
        <w:keepLines/>
      </w:pPr>
      <w:r>
        <w:rPr>
          <w:rFonts w:ascii="Aptos" w:hAnsi="Aptos"/>
          <w:b/>
          <w:color w:val="177E89"/>
        </w:rPr>
        <w:t xml:space="preserve">4. </w:t>
      </w:r>
      <w:r>
        <w:t>Each completed milestone occurs after referral acceptance and before closure; impossible or duplicated sequences are flagged.</w:t>
      </w:r>
    </w:p>
    <w:p>
      <w:pPr>
        <w:spacing w:after="60"/>
        <w:ind w:left="360" w:hanging="216"/>
        <w:keepLines/>
      </w:pPr>
      <w:r>
        <w:rPr>
          <w:rFonts w:ascii="Aptos" w:hAnsi="Aptos"/>
          <w:b/>
          <w:color w:val="177E89"/>
        </w:rPr>
        <w:t xml:space="preserve">5. </w:t>
      </w:r>
      <w:r>
        <w:t>Re referrals and repeat onboarding are counted by person and episode, not by appointment or form submission.</w:t>
      </w:r>
    </w:p>
    <w:p>
      <w:pPr>
        <w:spacing w:after="60"/>
        <w:ind w:left="360" w:hanging="216"/>
        <w:keepLines/>
      </w:pPr>
      <w:r>
        <w:rPr>
          <w:rFonts w:ascii="Aptos" w:hAnsi="Aptos"/>
          <w:b/>
          <w:color w:val="177E89"/>
        </w:rPr>
        <w:t xml:space="preserve">6. </w:t>
      </w:r>
      <w:r>
        <w:t>Outcome rates use the full eligible cohort and disclose missing follow up.</w:t>
      </w:r>
    </w:p>
    <w:p>
      <w:pPr>
        <w:pStyle w:val="Heading2"/>
      </w:pPr>
      <w:r>
        <w:t>Finding thresholds</w:t>
      </w:r>
    </w:p>
    <w:tbl>
      <w:tblPr>
        <w:tblStyle w:val="TableGrid"/>
        <w:tblW w:type="auto" w:w="0"/>
        <w:jc w:val="center"/>
        <w:tblLayout w:type="fixed"/>
        <w:tblLook w:firstColumn="1" w:firstRow="1" w:lastColumn="0" w:lastRow="0" w:noHBand="0" w:noVBand="1" w:val="04A0"/>
      </w:tblPr>
      <w:tblGrid>
        <w:gridCol w:w="5184"/>
        <w:gridCol w:w="5184"/>
      </w:tblGrid>
      <w:tr>
        <w:trPr>
          <w:tblHeader w:val="true"/>
          <w:cantSplit/>
        </w:trPr>
        <w:tc>
          <w:tcPr>
            <w:tcW w:type="dxa" w:w="2160"/>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Evidence label</w:t>
            </w:r>
          </w:p>
        </w:tc>
        <w:tc>
          <w:tcPr>
            <w:tcW w:type="dxa" w:w="8064"/>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Required basis</w:t>
            </w:r>
          </w:p>
        </w:tc>
      </w:tr>
      <w:tr>
        <w:trPr>
          <w:cantSplit/>
        </w:trPr>
        <w:tc>
          <w:tcPr>
            <w:tcW w:type="dxa" w:w="21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Observed pattern</w:t>
            </w:r>
          </w:p>
        </w:tc>
        <w:tc>
          <w:tcPr>
            <w:tcW w:type="dxa" w:w="80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A reproducible count or ratio with source and denominator</w:t>
            </w:r>
          </w:p>
        </w:tc>
      </w:tr>
      <w:tr>
        <w:trPr>
          <w:cantSplit/>
        </w:trPr>
        <w:tc>
          <w:tcPr>
            <w:tcW w:type="dxa" w:w="21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Anomaly</w:t>
            </w:r>
          </w:p>
        </w:tc>
        <w:tc>
          <w:tcPr>
            <w:tcW w:type="dxa" w:w="80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Pattern materially outside contract terms historical range or peer distribution</w:t>
            </w:r>
          </w:p>
        </w:tc>
      </w:tr>
      <w:tr>
        <w:trPr>
          <w:cantSplit/>
        </w:trPr>
        <w:tc>
          <w:tcPr>
            <w:tcW w:type="dxa" w:w="21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Supported concern</w:t>
            </w:r>
          </w:p>
        </w:tc>
        <w:tc>
          <w:tcPr>
            <w:tcW w:type="dxa" w:w="80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Anomaly corroborated by contracts patient journeys complaints or repeated records</w:t>
            </w:r>
          </w:p>
        </w:tc>
      </w:tr>
      <w:tr>
        <w:trPr>
          <w:cantSplit/>
        </w:trPr>
        <w:tc>
          <w:tcPr>
            <w:tcW w:type="dxa" w:w="216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Verified breach</w:t>
            </w:r>
          </w:p>
        </w:tc>
        <w:tc>
          <w:tcPr>
            <w:tcW w:type="dxa" w:w="806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Authoritative audit regulatory decision admission or adjudicated evidence</w:t>
            </w:r>
          </w:p>
        </w:tc>
      </w:tr>
    </w:tbl>
    <w:p>
      <w:pPr>
        <w:spacing w:after="0"/>
      </w:pPr>
    </w:p>
    <w:p>
      <w:pPr>
        <w:pStyle w:val="Smallnote"/>
        <w:spacing w:before="0" w:after="0" w:line="254" w:lineRule="auto"/>
      </w:pPr>
      <w:r>
        <w:t>Use neutral labels in all public outputs. A high cost, a US parent or a repeated referral may justify further checks, but none alone establishes fraud, tax evasion, clinical misconduct or unlawful billing.</w:t>
      </w:r>
    </w:p>
    <w:p>
      <w:r>
        <w:br w:type="page"/>
      </w:r>
    </w:p>
    <w:p>
      <w:pPr>
        <w:pStyle w:val="Heading1"/>
      </w:pPr>
      <w:r>
        <w:t>Authority competence and supply chain checks</w:t>
      </w:r>
    </w:p>
    <w:p>
      <w:pPr>
        <w:spacing w:before="0" w:after="100" w:line="254" w:lineRule="auto"/>
      </w:pPr>
      <w:r>
        <w:t>Apply this module where the pathway involves regulated clinical activity, prescribing, pharmacy or controlled drugs. Record the role each person actually performed. Administrative intake does not become a clinical assessment merely because a provider calls it screening.</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151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Object</w:t>
            </w:r>
          </w:p>
        </w:tc>
        <w:tc>
          <w:tcPr>
            <w:tcW w:type="dxa" w:w="540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Fields to verify</w:t>
            </w:r>
          </w:p>
        </w:tc>
        <w:tc>
          <w:tcPr>
            <w:tcW w:type="dxa" w:w="3312"/>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Evidence source</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Organisation</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CQC provider and location registration relevant regulated activities and dates</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CQC directory API and inspection records</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Clinician</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Full name profession registration number status specialty and role in the episode</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GMC or other statutory professional register</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Delegation</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Task delegated supervisor competence assessment protocol and escalation route</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policy audit and case record</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Prescriber</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Prescribing authority specialist status and responsibility for monitoring</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Professional register prescription and care plan</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Pharmacy</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Legal entity premises regulator registration and dispensing role</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GPhC or relevant regulator and contract</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Medicine</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Product legal status batch supplier manufacturer importer and certificate of analysis where applicable</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MHRA licence database Home Office licence and supply records</w:t>
            </w:r>
          </w:p>
        </w:tc>
      </w:tr>
      <w:tr>
        <w:trPr>
          <w:cantSplit/>
        </w:trPr>
        <w:tc>
          <w:tcPr>
            <w:tcW w:type="dxa" w:w="15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Subcontractor</w:t>
            </w:r>
          </w:p>
        </w:tc>
        <w:tc>
          <w:tcPr>
            <w:tcW w:type="dxa" w:w="54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Entity function agreement payment route and regulatory responsibility</w:t>
            </w:r>
          </w:p>
        </w:tc>
        <w:tc>
          <w:tcPr>
            <w:tcW w:type="dxa" w:w="3312"/>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Contract schedule invoices and declarations</w:t>
            </w:r>
          </w:p>
        </w:tc>
      </w:tr>
    </w:tbl>
    <w:p>
      <w:pPr>
        <w:spacing w:after="0"/>
      </w:pPr>
    </w:p>
    <w:p>
      <w:pPr>
        <w:pStyle w:val="Heading2"/>
      </w:pPr>
      <w:r>
        <w:t>Medical cannabis application</w:t>
      </w:r>
    </w:p>
    <w:p>
      <w:pPr>
        <w:pStyle w:val="ListBullet"/>
        <w:spacing w:after="50" w:line="247" w:lineRule="auto"/>
        <w:ind w:left="331" w:hanging="173"/>
        <w:keepLines/>
      </w:pPr>
      <w:r>
        <w:t>For an unlicensed cannabis based product for medicinal use, verify who made the prescribing decision, their specialist status, the clinical rationale and the arrangements for monitoring and continuity. [13]</w:t>
      </w:r>
    </w:p>
    <w:p>
      <w:pPr>
        <w:pStyle w:val="ListBullet"/>
        <w:spacing w:after="50" w:line="247" w:lineRule="auto"/>
        <w:ind w:left="331" w:hanging="173"/>
        <w:keepLines/>
      </w:pPr>
      <w:r>
        <w:t>Separate introductory or administrative screening from diagnosis, prescribing and treatment review. Record the qualification and registration required for the actual task performed.</w:t>
      </w:r>
    </w:p>
    <w:p>
      <w:pPr>
        <w:pStyle w:val="ListBullet"/>
        <w:spacing w:after="50" w:line="247" w:lineRule="auto"/>
        <w:ind w:left="331" w:hanging="173"/>
        <w:keepLines/>
      </w:pPr>
      <w:r>
        <w:t>Verify the clinic, pharmacy, manufacturer, importer and controlled drug licence chain separately. One organisation's registration does not automatically cover every other entity in the supply chain. [14] [15]</w:t>
      </w:r>
    </w:p>
    <w:p>
      <w:pPr>
        <w:pStyle w:val="ListBullet"/>
        <w:spacing w:after="50" w:line="247" w:lineRule="auto"/>
        <w:ind w:left="331" w:hanging="173"/>
        <w:keepLines/>
      </w:pPr>
      <w:r>
        <w:t>Preserve batch and dispensing evidence when product quality is in question. Do not infer product origin or legality from a brand name alone.</w:t>
      </w:r>
    </w:p>
    <w:p>
      <w:pPr>
        <w:pStyle w:val="Heading2"/>
      </w:pPr>
      <w:r>
        <w:t>Corporate and tax boundaries</w:t>
      </w:r>
    </w:p>
    <w:p>
      <w:pPr>
        <w:spacing w:before="0" w:after="100" w:line="254" w:lineRule="auto"/>
      </w:pPr>
      <w:r>
        <w:t>Corporate mapping should include the UK payee, parent chain, beneficial control, registered establishments, permanent establishment indicators, related party charges and VAT treatment where lawfully available. A foreign ultimate parent or the absence of a UK branch registration does not by itself show tax evasion. [12] HMRC reporting should be reserved for tax specific facts such as concealed taxable activity, false invoices, undeclared UK presence or artificial transactions supported by records. [16]</w:t>
      </w:r>
    </w:p>
    <w:tbl>
      <w:tblPr>
        <w:tblW w:type="auto" w:w="0"/>
        <w:jc w:val="center"/>
        <w:tblLayout w:type="fixed"/>
        <w:tblLook w:firstColumn="1" w:firstRow="1" w:lastColumn="0" w:lastRow="0" w:noHBand="0" w:noVBand="1" w:val="04A0"/>
      </w:tblPr>
      <w:tblGrid>
        <w:gridCol w:w="5184"/>
        <w:gridCol w:w="5184"/>
      </w:tblGrid>
      <w:t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19324D"/>
          </w:tcPr>
          <w:p>
            <w:pPr>
              <w:spacing w:after="0"/>
            </w:pPr>
            <w:r>
              <w:rPr>
                <w:rFonts w:ascii="Aptos" w:hAnsi="Aptos"/>
                <w:b/>
                <w:color w:val="FFFFFF"/>
                <w:sz w:val="16"/>
              </w:rPr>
              <w:t>NAMED ENTITIES</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F8E7E5"/>
          </w:tcPr>
          <w:p>
            <w:pPr>
              <w:spacing w:after="0"/>
            </w:pPr>
            <w:r>
              <w:rPr>
                <w:rFonts w:ascii="Aptos" w:hAnsi="Aptos"/>
                <w:color w:val="000000"/>
                <w:sz w:val="18"/>
              </w:rPr>
              <w:t>Do not add Serco or any other named group to the provider network on semantic association alone. Require a contract, payment, ownership, subcontract, referral or shared officer record that establishes the connection.</w:t>
            </w:r>
          </w:p>
        </w:tc>
      </w:tr>
    </w:tbl>
    <w:p>
      <w:pPr>
        <w:spacing w:after="0"/>
      </w:pPr>
    </w:p>
    <w:p>
      <w:r>
        <w:br w:type="page"/>
      </w:r>
    </w:p>
    <w:p>
      <w:pPr>
        <w:pStyle w:val="Heading1"/>
      </w:pPr>
      <w:r>
        <w:t>Reporting routes</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288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Concern</w:t>
            </w:r>
          </w:p>
        </w:tc>
        <w:tc>
          <w:tcPr>
            <w:tcW w:type="dxa" w:w="3600"/>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Primary route</w:t>
            </w:r>
          </w:p>
        </w:tc>
        <w:tc>
          <w:tcPr>
            <w:tcW w:type="dxa" w:w="3744"/>
            <w:shd w:fill="19324D"/>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5"/>
              </w:rPr>
              <w:t>Minimum evidence</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Contract under delivery duplicate or unsupported billing</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Commissioner contract manager internal audit and NHS Counter Fraud Authority [17]</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Invoices contract terms episode evidence and reconciliation</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Tax evasion or false tax treatment</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HMRC [16]</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Tax specific facts entities dates values and supporting records</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Unsafe or unregistered provider activity</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CQC</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Provider location regulated activity dates and patient safety evidence</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Doctor conduct prescribing or competence</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GMC</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Named doctor registration episode role and contemporaneous records</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Medicine quality manufacturing or supply</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MHRA and relevant controlled drug authority</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5"/>
              </w:rPr>
              <w:t>Product batch licences supplier route and adverse event evidence</w:t>
            </w:r>
          </w:p>
        </w:tc>
      </w:tr>
      <w:tr>
        <w:trPr>
          <w:cantSplit/>
        </w:trPr>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Individual NHS complaint</w:t>
            </w:r>
          </w:p>
        </w:tc>
        <w:tc>
          <w:tcPr>
            <w:tcW w:type="dxa" w:w="360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Provider then commissioner and Parliamentary and Health Service Ombudsman where applicable</w:t>
            </w:r>
          </w:p>
        </w:tc>
        <w:tc>
          <w:tcPr>
            <w:tcW w:type="dxa" w:w="374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5"/>
              </w:rPr>
              <w:t>Chronology correspondence requested remedy and final response</w:t>
            </w:r>
          </w:p>
        </w:tc>
      </w:tr>
    </w:tbl>
    <w:p>
      <w:pPr>
        <w:spacing w:after="0"/>
      </w:pPr>
    </w:p>
    <w:p>
      <w:pPr>
        <w:pStyle w:val="Smallnote"/>
        <w:spacing w:before="0" w:after="0" w:line="254" w:lineRule="auto"/>
      </w:pPr>
      <w:r>
        <w:t>Keep the tax, NHS billing, clinical quality and medicine supply evidence packs separate. The same facts may be relevant to more than one body, but each body needs the part within its remit. Do not contact subjects covertly, impersonate patients or obtain confidential records without authority.</w:t>
      </w:r>
    </w:p>
    <w:p>
      <w:pPr>
        <w:pStyle w:val="Heading1"/>
      </w:pPr>
      <w:r>
        <w:t>First thirty days</w:t>
      </w:r>
    </w:p>
    <w:tbl>
      <w:tblPr>
        <w:tblStyle w:val="TableGrid"/>
        <w:tblW w:type="auto" w:w="0"/>
        <w:jc w:val="center"/>
        <w:tblLayout w:type="fixed"/>
        <w:tblLook w:firstColumn="1" w:firstRow="1" w:lastColumn="0" w:lastRow="0" w:noHBand="0" w:noVBand="1" w:val="04A0"/>
      </w:tblPr>
      <w:tblGrid>
        <w:gridCol w:w="3456"/>
        <w:gridCol w:w="3456"/>
        <w:gridCol w:w="3456"/>
      </w:tblGrid>
      <w:tr>
        <w:trPr>
          <w:tblHeader w:val="true"/>
          <w:cantSplit/>
        </w:trPr>
        <w:tc>
          <w:tcPr>
            <w:tcW w:type="dxa" w:w="1440"/>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Timing</w:t>
            </w:r>
          </w:p>
        </w:tc>
        <w:tc>
          <w:tcPr>
            <w:tcW w:type="dxa" w:w="5904"/>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Action</w:t>
            </w:r>
          </w:p>
        </w:tc>
        <w:tc>
          <w:tcPr>
            <w:tcW w:type="dxa" w:w="2880"/>
            <w:shd w:fill="177E89"/>
            <w:tcBorders>
              <w:top w:val="single" w:sz="5" w:color="D9E0E6"/>
              <w:left w:val="single" w:sz="5" w:color="D9E0E6"/>
              <w:bottom w:val="single" w:sz="5" w:color="D9E0E6"/>
              <w:right w:val="single" w:sz="5" w:color="D9E0E6"/>
              <w:insideH w:val="single" w:sz="5" w:color="D9E0E6"/>
              <w:insideV w:val="single" w:sz="5" w:color="D9E0E6"/>
            </w:tcBorders>
            <w:tcMar>
              <w:top w:w="80" w:type="dxa"/>
              <w:start w:w="85" w:type="dxa"/>
              <w:bottom w:w="80" w:type="dxa"/>
              <w:end w:w="85" w:type="dxa"/>
            </w:tcMar>
            <w:vAlign w:val="center"/>
          </w:tcPr>
          <w:p>
            <w:pPr>
              <w:spacing w:after="0"/>
            </w:pPr>
            <w:r>
              <w:rPr>
                <w:rFonts w:ascii="Aptos" w:hAnsi="Aptos"/>
                <w:b/>
                <w:color w:val="FFFFFF"/>
                <w:sz w:val="16"/>
              </w:rPr>
              <w:t>Output</w:t>
            </w:r>
          </w:p>
        </w:tc>
      </w:tr>
      <w:tr>
        <w:trPr>
          <w:cantSplit/>
        </w:trPr>
        <w:tc>
          <w:tcPr>
            <w:tcW w:type="dxa" w:w="14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Days 1 to 5</w:t>
            </w:r>
          </w:p>
        </w:tc>
        <w:tc>
          <w:tcPr>
            <w:tcW w:type="dxa" w:w="590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Fix pathway scope outcome definitions period and provider seed list</w:t>
            </w:r>
          </w:p>
        </w:tc>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Signed data dictionary and issue log</w:t>
            </w:r>
          </w:p>
        </w:tc>
      </w:tr>
      <w:tr>
        <w:trPr>
          <w:cantSplit/>
        </w:trPr>
        <w:tc>
          <w:tcPr>
            <w:tcW w:type="dxa" w:w="14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Days 3 to 12</w:t>
            </w:r>
          </w:p>
        </w:tc>
        <w:tc>
          <w:tcPr>
            <w:tcW w:type="dxa" w:w="590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Download public corporate regulatory procurement spend referral and waiting data</w:t>
            </w:r>
          </w:p>
        </w:tc>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Archived source register and provider master</w:t>
            </w:r>
          </w:p>
        </w:tc>
      </w:tr>
      <w:tr>
        <w:trPr>
          <w:cantSplit/>
        </w:trPr>
        <w:tc>
          <w:tcPr>
            <w:tcW w:type="dxa" w:w="14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Days 8 to 15</w:t>
            </w:r>
          </w:p>
        </w:tc>
        <w:tc>
          <w:tcPr>
            <w:tcW w:type="dxa" w:w="590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Pilot the standard request with two commissioners and revise for cost and clarity</w:t>
            </w:r>
          </w:p>
        </w:tc>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Test responses and final request pack</w:t>
            </w:r>
          </w:p>
        </w:tc>
      </w:tr>
      <w:tr>
        <w:trPr>
          <w:cantSplit/>
        </w:trPr>
        <w:tc>
          <w:tcPr>
            <w:tcW w:type="dxa" w:w="14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Days 15 to 25</w:t>
            </w:r>
          </w:p>
        </w:tc>
        <w:tc>
          <w:tcPr>
            <w:tcW w:type="dxa" w:w="590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Send requests to current commissioners and named providers through contract channels</w:t>
            </w:r>
          </w:p>
        </w:tc>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shd w:fill="F4F6F8"/>
          </w:tcPr>
          <w:p>
            <w:pPr>
              <w:spacing w:after="0" w:line="240" w:lineRule="auto"/>
            </w:pPr>
            <w:r>
              <w:rPr>
                <w:rFonts w:ascii="Aptos" w:hAnsi="Aptos"/>
                <w:color w:val="000000"/>
                <w:sz w:val="16"/>
              </w:rPr>
              <w:t>Disclosure tracker with due dates</w:t>
            </w:r>
          </w:p>
        </w:tc>
      </w:tr>
      <w:tr>
        <w:trPr>
          <w:cantSplit/>
        </w:trPr>
        <w:tc>
          <w:tcPr>
            <w:tcW w:type="dxa" w:w="144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Days 20 to 30</w:t>
            </w:r>
          </w:p>
        </w:tc>
        <w:tc>
          <w:tcPr>
            <w:tcW w:type="dxa" w:w="5904"/>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Build reconciliation model and patient survey protocol</w:t>
            </w:r>
          </w:p>
        </w:tc>
        <w:tc>
          <w:tcPr>
            <w:tcW w:type="dxa" w:w="2880"/>
            <w:tcBorders>
              <w:top w:val="single" w:sz="5" w:color="D9E0E6"/>
              <w:left w:val="single" w:sz="5" w:color="D9E0E6"/>
              <w:bottom w:val="single" w:sz="5" w:color="D9E0E6"/>
              <w:right w:val="single" w:sz="5" w:color="D9E0E6"/>
              <w:insideH w:val="single" w:sz="5" w:color="D9E0E6"/>
              <w:insideV w:val="single" w:sz="5" w:color="D9E0E6"/>
            </w:tcBorders>
            <w:tcMar>
              <w:top w:w="70" w:type="dxa"/>
              <w:start w:w="85" w:type="dxa"/>
              <w:bottom w:w="70" w:type="dxa"/>
              <w:end w:w="85" w:type="dxa"/>
            </w:tcMar>
            <w:vAlign w:val="top"/>
          </w:tcPr>
          <w:p>
            <w:pPr>
              <w:spacing w:after="0" w:line="240" w:lineRule="auto"/>
            </w:pPr>
            <w:r>
              <w:rPr>
                <w:rFonts w:ascii="Aptos" w:hAnsi="Aptos"/>
                <w:color w:val="000000"/>
                <w:sz w:val="16"/>
              </w:rPr>
              <w:t>Baseline dashboard and survey governance note</w:t>
            </w:r>
          </w:p>
        </w:tc>
      </w:tr>
    </w:tbl>
    <w:p>
      <w:pPr>
        <w:spacing w:after="0"/>
      </w:pPr>
    </w:p>
    <w:p>
      <w:pPr>
        <w:pStyle w:val="Heading1"/>
      </w:pPr>
      <w:r>
        <w:t>Go decision</w:t>
      </w:r>
    </w:p>
    <w:tbl>
      <w:tblPr>
        <w:tblW w:type="auto" w:w="0"/>
        <w:jc w:val="center"/>
        <w:tblLayout w:type="fixed"/>
        <w:tblLook w:firstColumn="1" w:firstRow="1" w:lastColumn="0" w:lastRow="0" w:noHBand="0" w:noVBand="1" w:val="04A0"/>
      </w:tblPr>
      <w:tblGrid>
        <w:gridCol w:w="5184"/>
        <w:gridCol w:w="5184"/>
      </w:tblGrid>
      <w:tr>
        <w:tc>
          <w:tcPr>
            <w:tcW w:type="dxa" w:w="1800"/>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19324D"/>
          </w:tcPr>
          <w:p>
            <w:pPr>
              <w:spacing w:after="0"/>
            </w:pPr>
            <w:r>
              <w:rPr>
                <w:rFonts w:ascii="Aptos" w:hAnsi="Aptos"/>
                <w:b/>
                <w:color w:val="FFFFFF"/>
                <w:sz w:val="16"/>
              </w:rPr>
              <w:t>PROCEED</w:t>
            </w:r>
          </w:p>
        </w:tc>
        <w:tc>
          <w:tcPr>
            <w:tcW w:type="dxa" w:w="8424"/>
            <w:tcBorders>
              <w:top w:val="single" w:sz="5" w:color="D9E0E6"/>
              <w:left w:val="single" w:sz="5" w:color="D9E0E6"/>
              <w:bottom w:val="single" w:sz="5" w:color="D9E0E6"/>
              <w:right w:val="single" w:sz="5" w:color="D9E0E6"/>
              <w:insideH w:val="single" w:sz="5" w:color="D9E0E6"/>
              <w:insideV w:val="single" w:sz="5" w:color="D9E0E6"/>
            </w:tcBorders>
            <w:tcMar>
              <w:top w:w="100" w:type="dxa"/>
              <w:start w:w="110" w:type="dxa"/>
              <w:bottom w:w="100" w:type="dxa"/>
              <w:end w:w="110" w:type="dxa"/>
            </w:tcMar>
            <w:vAlign w:val="center"/>
            <w:shd w:fill="E8F4F3"/>
          </w:tcPr>
          <w:p>
            <w:pPr>
              <w:spacing w:after="0"/>
            </w:pPr>
            <w:r>
              <w:rPr>
                <w:rFonts w:ascii="Aptos" w:hAnsi="Aptos"/>
                <w:color w:val="000000"/>
                <w:sz w:val="18"/>
              </w:rPr>
              <w:t>Start with one pathway and two commissioners. If the pilot can reconcile provider payments to unique accepted patients and completed care, scale nationally. If outcome and repeat onboarding fields are not held, make that absence an explicit finding and use contract audit plus an independently governed patient survey to fill the gap.</w:t>
            </w:r>
          </w:p>
        </w:tc>
      </w:tr>
    </w:tbl>
    <w:p>
      <w:pPr>
        <w:spacing w:after="0"/>
      </w:pPr>
    </w:p>
    <w:p>
      <w:r>
        <w:br w:type="page"/>
      </w:r>
    </w:p>
    <w:p>
      <w:pPr>
        <w:pStyle w:val="Heading1"/>
      </w:pPr>
      <w:r>
        <w:t>Sources and access points</w:t>
      </w:r>
    </w:p>
    <w:p>
      <w:pPr>
        <w:pStyle w:val="Smallnote"/>
        <w:spacing w:before="0" w:after="100" w:line="254" w:lineRule="auto"/>
      </w:pPr>
      <w:r>
        <w:t>Official sources accessed 10 September 2026. Thresholds, organisational structures and dashboard availability can change, so retain a dated copy of every file used.</w:t>
      </w:r>
    </w:p>
    <w:p>
      <w:pPr>
        <w:spacing w:after="80"/>
        <w:ind w:left="403" w:hanging="317"/>
      </w:pPr>
      <w:r>
        <w:rPr>
          <w:rFonts w:ascii="Aptos" w:hAnsi="Aptos"/>
          <w:b/>
          <w:color w:val="177E89"/>
          <w:sz w:val="16"/>
        </w:rPr>
        <w:t xml:space="preserve">1. </w:t>
      </w:r>
      <w:hyperlink r:id="rId13">
        <w:r>
          <w:rPr>
            <w:color w:val="245F87"/>
            <w:u w:val="single"/>
          </w:rPr>
          <w:t>NHS choices in the NHS</w:t>
        </w:r>
      </w:hyperlink>
    </w:p>
    <w:p>
      <w:pPr>
        <w:spacing w:after="80"/>
        <w:ind w:left="403" w:hanging="317"/>
      </w:pPr>
      <w:r>
        <w:rPr>
          <w:rFonts w:ascii="Aptos" w:hAnsi="Aptos"/>
          <w:b/>
          <w:color w:val="177E89"/>
          <w:sz w:val="16"/>
        </w:rPr>
        <w:t xml:space="preserve">2. </w:t>
      </w:r>
      <w:hyperlink r:id="rId14">
        <w:r>
          <w:rPr>
            <w:color w:val="245F87"/>
            <w:u w:val="single"/>
          </w:rPr>
          <w:t>NHS e-Referral Service</w:t>
        </w:r>
      </w:hyperlink>
    </w:p>
    <w:p>
      <w:pPr>
        <w:spacing w:after="80"/>
        <w:ind w:left="403" w:hanging="317"/>
      </w:pPr>
      <w:r>
        <w:rPr>
          <w:rFonts w:ascii="Aptos" w:hAnsi="Aptos"/>
          <w:b/>
          <w:color w:val="177E89"/>
          <w:sz w:val="16"/>
        </w:rPr>
        <w:t xml:space="preserve">3. </w:t>
      </w:r>
      <w:hyperlink r:id="rId15">
        <w:r>
          <w:rPr>
            <w:color w:val="245F87"/>
            <w:u w:val="single"/>
          </w:rPr>
          <w:t>NHS e-Referral Service open data dashboard</w:t>
        </w:r>
      </w:hyperlink>
    </w:p>
    <w:p>
      <w:pPr>
        <w:spacing w:after="80"/>
        <w:ind w:left="403" w:hanging="317"/>
      </w:pPr>
      <w:r>
        <w:rPr>
          <w:rFonts w:ascii="Aptos" w:hAnsi="Aptos"/>
          <w:b/>
          <w:color w:val="177E89"/>
          <w:sz w:val="16"/>
        </w:rPr>
        <w:t xml:space="preserve">4. </w:t>
      </w:r>
      <w:hyperlink r:id="rId16">
        <w:r>
          <w:rPr>
            <w:color w:val="245F87"/>
            <w:u w:val="single"/>
          </w:rPr>
          <w:t>NHS e-Referral Service private dashboard</w:t>
        </w:r>
      </w:hyperlink>
    </w:p>
    <w:p>
      <w:pPr>
        <w:spacing w:after="80"/>
        <w:ind w:left="403" w:hanging="317"/>
      </w:pPr>
      <w:r>
        <w:rPr>
          <w:rFonts w:ascii="Aptos" w:hAnsi="Aptos"/>
          <w:b/>
          <w:color w:val="177E89"/>
          <w:sz w:val="16"/>
        </w:rPr>
        <w:t xml:space="preserve">5. </w:t>
      </w:r>
      <w:hyperlink r:id="rId17">
        <w:r>
          <w:rPr>
            <w:color w:val="245F87"/>
            <w:u w:val="single"/>
          </w:rPr>
          <w:t>Mental Health Services Data Set</w:t>
        </w:r>
      </w:hyperlink>
    </w:p>
    <w:p>
      <w:pPr>
        <w:spacing w:after="80"/>
        <w:ind w:left="403" w:hanging="317"/>
      </w:pPr>
      <w:r>
        <w:rPr>
          <w:rFonts w:ascii="Aptos" w:hAnsi="Aptos"/>
          <w:b/>
          <w:color w:val="177E89"/>
          <w:sz w:val="16"/>
        </w:rPr>
        <w:t xml:space="preserve">6. </w:t>
      </w:r>
      <w:hyperlink r:id="rId18">
        <w:r>
          <w:rPr>
            <w:color w:val="245F87"/>
            <w:u w:val="single"/>
          </w:rPr>
          <w:t>Mental Health Services Data Set Data Provision Notice</w:t>
        </w:r>
      </w:hyperlink>
    </w:p>
    <w:p>
      <w:pPr>
        <w:spacing w:after="80"/>
        <w:ind w:left="403" w:hanging="317"/>
      </w:pPr>
      <w:r>
        <w:rPr>
          <w:rFonts w:ascii="Aptos" w:hAnsi="Aptos"/>
          <w:b/>
          <w:color w:val="177E89"/>
          <w:sz w:val="16"/>
        </w:rPr>
        <w:t xml:space="preserve">7. </w:t>
      </w:r>
      <w:hyperlink r:id="rId19">
        <w:r>
          <w:rPr>
            <w:color w:val="245F87"/>
            <w:u w:val="single"/>
          </w:rPr>
          <w:t>Autism waiting time statistics</w:t>
        </w:r>
      </w:hyperlink>
    </w:p>
    <w:p>
      <w:pPr>
        <w:spacing w:after="80"/>
        <w:ind w:left="403" w:hanging="317"/>
      </w:pPr>
      <w:r>
        <w:rPr>
          <w:rFonts w:ascii="Aptos" w:hAnsi="Aptos"/>
          <w:b/>
          <w:color w:val="177E89"/>
          <w:sz w:val="16"/>
        </w:rPr>
        <w:t xml:space="preserve">8. </w:t>
      </w:r>
      <w:hyperlink r:id="rId20">
        <w:r>
          <w:rPr>
            <w:color w:val="245F87"/>
            <w:u w:val="single"/>
          </w:rPr>
          <w:t>Using CQC data</w:t>
        </w:r>
      </w:hyperlink>
    </w:p>
    <w:p>
      <w:pPr>
        <w:spacing w:after="80"/>
        <w:ind w:left="403" w:hanging="317"/>
      </w:pPr>
      <w:r>
        <w:rPr>
          <w:rFonts w:ascii="Aptos" w:hAnsi="Aptos"/>
          <w:b/>
          <w:color w:val="177E89"/>
          <w:sz w:val="16"/>
        </w:rPr>
        <w:t xml:space="preserve">9. </w:t>
      </w:r>
      <w:hyperlink r:id="rId21">
        <w:r>
          <w:rPr>
            <w:color w:val="245F87"/>
            <w:u w:val="single"/>
          </w:rPr>
          <w:t>Contracts Finder</w:t>
        </w:r>
      </w:hyperlink>
    </w:p>
    <w:p>
      <w:pPr>
        <w:spacing w:after="80"/>
        <w:ind w:left="403" w:hanging="317"/>
      </w:pPr>
      <w:r>
        <w:rPr>
          <w:rFonts w:ascii="Aptos" w:hAnsi="Aptos"/>
          <w:b/>
          <w:color w:val="177E89"/>
          <w:sz w:val="16"/>
        </w:rPr>
        <w:t xml:space="preserve">10. </w:t>
      </w:r>
      <w:hyperlink r:id="rId22">
        <w:r>
          <w:rPr>
            <w:color w:val="245F87"/>
            <w:u w:val="single"/>
          </w:rPr>
          <w:t>Find a Tender</w:t>
        </w:r>
      </w:hyperlink>
    </w:p>
    <w:p>
      <w:pPr>
        <w:spacing w:after="80"/>
        <w:ind w:left="403" w:hanging="317"/>
      </w:pPr>
      <w:r>
        <w:rPr>
          <w:rFonts w:ascii="Aptos" w:hAnsi="Aptos"/>
          <w:b/>
          <w:color w:val="177E89"/>
          <w:sz w:val="16"/>
        </w:rPr>
        <w:t xml:space="preserve">11. </w:t>
      </w:r>
      <w:hyperlink r:id="rId23">
        <w:r>
          <w:rPr>
            <w:color w:val="245F87"/>
            <w:u w:val="single"/>
          </w:rPr>
          <w:t>NHS England expenditure over twenty five thousand pounds</w:t>
        </w:r>
      </w:hyperlink>
    </w:p>
    <w:p>
      <w:pPr>
        <w:spacing w:after="80"/>
        <w:ind w:left="403" w:hanging="317"/>
      </w:pPr>
      <w:r>
        <w:rPr>
          <w:rFonts w:ascii="Aptos" w:hAnsi="Aptos"/>
          <w:b/>
          <w:color w:val="177E89"/>
          <w:sz w:val="16"/>
        </w:rPr>
        <w:t xml:space="preserve">12. </w:t>
      </w:r>
      <w:hyperlink r:id="rId24">
        <w:r>
          <w:rPr>
            <w:color w:val="245F87"/>
            <w:u w:val="single"/>
          </w:rPr>
          <w:t>Register as an overseas company</w:t>
        </w:r>
      </w:hyperlink>
    </w:p>
    <w:p>
      <w:pPr>
        <w:spacing w:after="80"/>
        <w:ind w:left="403" w:hanging="317"/>
      </w:pPr>
      <w:r>
        <w:rPr>
          <w:rFonts w:ascii="Aptos" w:hAnsi="Aptos"/>
          <w:b/>
          <w:color w:val="177E89"/>
          <w:sz w:val="16"/>
        </w:rPr>
        <w:t xml:space="preserve">13. </w:t>
      </w:r>
      <w:hyperlink r:id="rId25">
        <w:r>
          <w:rPr>
            <w:color w:val="245F87"/>
            <w:u w:val="single"/>
          </w:rPr>
          <w:t>GMC information for doctors on cannabis based products</w:t>
        </w:r>
      </w:hyperlink>
    </w:p>
    <w:p>
      <w:pPr>
        <w:spacing w:after="80"/>
        <w:ind w:left="403" w:hanging="317"/>
      </w:pPr>
      <w:r>
        <w:rPr>
          <w:rFonts w:ascii="Aptos" w:hAnsi="Aptos"/>
          <w:b/>
          <w:color w:val="177E89"/>
          <w:sz w:val="16"/>
        </w:rPr>
        <w:t xml:space="preserve">14. </w:t>
      </w:r>
      <w:hyperlink r:id="rId26">
        <w:r>
          <w:rPr>
            <w:color w:val="245F87"/>
            <w:u w:val="single"/>
          </w:rPr>
          <w:t>MHRA licences and inspections database</w:t>
        </w:r>
      </w:hyperlink>
    </w:p>
    <w:p>
      <w:pPr>
        <w:spacing w:after="80"/>
        <w:ind w:left="403" w:hanging="317"/>
      </w:pPr>
      <w:r>
        <w:rPr>
          <w:rFonts w:ascii="Aptos" w:hAnsi="Aptos"/>
          <w:b/>
          <w:color w:val="177E89"/>
          <w:sz w:val="16"/>
        </w:rPr>
        <w:t xml:space="preserve">15. </w:t>
      </w:r>
      <w:hyperlink r:id="rId27">
        <w:r>
          <w:rPr>
            <w:color w:val="245F87"/>
            <w:u w:val="single"/>
          </w:rPr>
          <w:t>Home Office drug licensing factsheet for cannabis and cannabinoids</w:t>
        </w:r>
      </w:hyperlink>
    </w:p>
    <w:p>
      <w:pPr>
        <w:spacing w:after="80"/>
        <w:ind w:left="403" w:hanging="317"/>
      </w:pPr>
      <w:r>
        <w:rPr>
          <w:rFonts w:ascii="Aptos" w:hAnsi="Aptos"/>
          <w:b/>
          <w:color w:val="177E89"/>
          <w:sz w:val="16"/>
        </w:rPr>
        <w:t xml:space="preserve">16. </w:t>
      </w:r>
      <w:hyperlink r:id="rId28">
        <w:r>
          <w:rPr>
            <w:color w:val="245F87"/>
            <w:u w:val="single"/>
          </w:rPr>
          <w:t>Report tax fraud or avoidance to HMRC</w:t>
        </w:r>
      </w:hyperlink>
    </w:p>
    <w:p>
      <w:pPr>
        <w:spacing w:after="80"/>
        <w:ind w:left="403" w:hanging="317"/>
      </w:pPr>
      <w:r>
        <w:rPr>
          <w:rFonts w:ascii="Aptos" w:hAnsi="Aptos"/>
          <w:b/>
          <w:color w:val="177E89"/>
          <w:sz w:val="16"/>
        </w:rPr>
        <w:t xml:space="preserve">17. </w:t>
      </w:r>
      <w:hyperlink r:id="rId29">
        <w:r>
          <w:rPr>
            <w:color w:val="245F87"/>
            <w:u w:val="single"/>
          </w:rPr>
          <w:t>Report NHS fraud to the NHS Counter Fraud Authority</w:t>
        </w:r>
      </w:hyperlink>
    </w:p>
    <w:p>
      <w:pPr>
        <w:pStyle w:val="Heading2"/>
      </w:pPr>
      <w:r>
        <w:t>Source notes</w:t>
      </w:r>
    </w:p>
    <w:p>
      <w:pPr>
        <w:pStyle w:val="ListBullet"/>
        <w:spacing w:after="50" w:line="247" w:lineRule="auto"/>
        <w:ind w:left="331" w:hanging="173"/>
        <w:keepLines/>
      </w:pPr>
      <w:r>
        <w:t>Source claims in this report describe what each dataset or register is designed to contain. Actual completeness must be tested for each provider and year.</w:t>
      </w:r>
    </w:p>
    <w:p>
      <w:pPr>
        <w:pStyle w:val="ListBullet"/>
        <w:spacing w:after="50" w:line="247" w:lineRule="auto"/>
        <w:ind w:left="331" w:hanging="173"/>
        <w:keepLines/>
      </w:pPr>
      <w:r>
        <w:t>Public expenditure files are a discovery source rather than a complete total because publication thresholds and coding practices omit or obscure transactions.</w:t>
      </w:r>
    </w:p>
    <w:p>
      <w:pPr>
        <w:pStyle w:val="ListBullet"/>
        <w:spacing w:after="50" w:line="247" w:lineRule="auto"/>
        <w:ind w:left="331" w:hanging="173"/>
        <w:keepLines/>
      </w:pPr>
      <w:r>
        <w:t>MHSDS coverage should be measured by provider, submission month and accepted record count. A duty or expectation to submit does not prove that complete data was submitted.</w:t>
      </w:r>
    </w:p>
    <w:p>
      <w:pPr>
        <w:pStyle w:val="ListBullet"/>
        <w:spacing w:after="50" w:line="247" w:lineRule="auto"/>
        <w:ind w:left="331" w:hanging="173"/>
        <w:keepLines/>
      </w:pPr>
      <w:r>
        <w:t>Public e-RS counts are events or unique booking references under published rules, not necessarily unique people, completed clinical care or successful outcomes.</w:t>
      </w:r>
    </w:p>
    <w:sectPr w:rsidR="00FC693F" w:rsidRPr="0006063C" w:rsidSect="00034616">
      <w:headerReference w:type="default" r:id="rId9"/>
      <w:headerReference w:type="even" r:id="rId10"/>
      <w:footerReference w:type="default" r:id="rId11"/>
      <w:footerReference w:type="even" r:id="rId12"/>
      <w:pgSz w:w="12240" w:h="15840"/>
      <w:pgMar w:top="907" w:right="936" w:bottom="864" w:left="936"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color w:val="394653"/>
        <w:sz w:val="14"/>
      </w:rPr>
      <w:t>Working research specification   •   10 September 2026</w:t>
    </w:r>
    <w:r>
      <w:t xml:space="preserve">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ptos" w:hAnsi="Aptos"/>
        <w:color w:val="394653"/>
        <w:sz w:val="14"/>
      </w:rPr>
      <w:t>Working research specification   •   10 September 2026</w:t>
    </w:r>
    <w:r>
      <w:t xml:space="preserv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394653"/>
        <w:sz w:val="15"/>
      </w:rPr>
      <w:t>NHS Right to Choose data acquisition survey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394653"/>
        <w:sz w:val="15"/>
      </w:rPr>
      <w:t>NHS Right to Choose data acquisition survey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rPr>
      <w:rFonts w:ascii="Aptos" w:hAnsi="Apto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394653"/>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www.nhs.uk/using-the-nhs/about-the-nhs/your-choices-in-the-nhs/" TargetMode="External"/><Relationship Id="rId14" Type="http://schemas.openxmlformats.org/officeDocument/2006/relationships/hyperlink" Target="https://digital.nhs.uk/services/e-referral-service" TargetMode="External"/><Relationship Id="rId15" Type="http://schemas.openxmlformats.org/officeDocument/2006/relationships/hyperlink" Target="https://digital.nhs.uk/dashboards/ers-open-data" TargetMode="External"/><Relationship Id="rId16" Type="http://schemas.openxmlformats.org/officeDocument/2006/relationships/hyperlink" Target="https://digital.nhs.uk/dashboards/e-referral-service-dashboard-private-version" TargetMode="External"/><Relationship Id="rId17" Type="http://schemas.openxmlformats.org/officeDocument/2006/relationships/hyperlink" Target="https://digital.nhs.uk/data-and-information/data-collections-and-data-sets/data-sets/mental-health-services-data-set" TargetMode="External"/><Relationship Id="rId18" Type="http://schemas.openxmlformats.org/officeDocument/2006/relationships/hyperlink" Target="https://digital.nhs.uk/about-nhs-digital/corporate-information-and-documents/directions-and-data-provision-notices/data-provision-notices-dpns/mental-health-services-data-set-data-provision-notice" TargetMode="External"/><Relationship Id="rId19" Type="http://schemas.openxmlformats.org/officeDocument/2006/relationships/hyperlink" Target="https://digital.nhs.uk/data-and-information/publications/statistical/autism-statistics" TargetMode="External"/><Relationship Id="rId20" Type="http://schemas.openxmlformats.org/officeDocument/2006/relationships/hyperlink" Target="https://www.cqc.org.uk/about-us/transparency/using-cqc-data" TargetMode="External"/><Relationship Id="rId21" Type="http://schemas.openxmlformats.org/officeDocument/2006/relationships/hyperlink" Target="https://www.gov.uk/contracts-finder" TargetMode="External"/><Relationship Id="rId22" Type="http://schemas.openxmlformats.org/officeDocument/2006/relationships/hyperlink" Target="https://www.gov.uk/find-tender" TargetMode="External"/><Relationship Id="rId23" Type="http://schemas.openxmlformats.org/officeDocument/2006/relationships/hyperlink" Target="https://www.england.nhs.uk/contact-us/pub-scheme/spend/" TargetMode="External"/><Relationship Id="rId24" Type="http://schemas.openxmlformats.org/officeDocument/2006/relationships/hyperlink" Target="https://www.gov.uk/register-as-an-overseas-company" TargetMode="External"/><Relationship Id="rId25" Type="http://schemas.openxmlformats.org/officeDocument/2006/relationships/hyperlink" Target="https://www.gmc-uk.org/professional-standards/learning-materials/information-for-doctors-on-cannabis-based-products-for-medicinal-use" TargetMode="External"/><Relationship Id="rId26" Type="http://schemas.openxmlformats.org/officeDocument/2006/relationships/hyperlink" Target="https://cms.mhra.gov.uk/mhra" TargetMode="External"/><Relationship Id="rId27" Type="http://schemas.openxmlformats.org/officeDocument/2006/relationships/hyperlink" Target="https://www.gov.uk/government/publications/cannabis-cbd-and-other-cannabinoids-drug-licensing-factsheet/drug-licensing-factsheet-cannabis-cbd-and-other-cannabinoids" TargetMode="External"/><Relationship Id="rId28" Type="http://schemas.openxmlformats.org/officeDocument/2006/relationships/hyperlink" Target="https://www.gov.uk/report-tax-fraud" TargetMode="External"/><Relationship Id="rId29" Type="http://schemas.openxmlformats.org/officeDocument/2006/relationships/hyperlink" Target="https://cfa.nhs.uk/report-fra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Right to Choose Data Acquisition Survey</dc:title>
  <dc:subject>Data requirements public availability and acquisition plan</dc:subject>
  <dc:creator>Working research team</dc:creator>
  <cp:keywords>NHS Right to Choose private providers expenditure outcomes FOI data acquisition</cp:keywords>
  <dc:description>generated by python-docx</dc:description>
  <cp:lastModifiedBy/>
  <cp:revision>1</cp:revision>
  <dcterms:created xsi:type="dcterms:W3CDTF">2013-12-23T23:15:00Z</dcterms:created>
  <dcterms:modified xsi:type="dcterms:W3CDTF">2013-12-23T23:15:00Z</dcterms:modified>
  <cp:category/>
</cp:coreProperties>
</file>