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3. Patient Legal Standing Against NHS Policy</w:t>
      </w:r>
    </w:p>
    <w:p>
      <w:pPr>
        <w:jc w:val="center"/>
      </w:pPr>
      <w:r>
        <w:rPr>
          <w:b/>
          <w:color w:val="505050"/>
          <w:sz w:val="23"/>
        </w:rPr>
        <w:t>Rights and lawful tools a patient can use to influence individual care without claiming a power to compel clinically inappropriate treatment</w:t>
      </w:r>
    </w:p>
    <w:p>
      <w:pPr>
        <w:pStyle w:val="SmallNote"/>
        <w:jc w:val="center"/>
      </w:pPr>
      <w:r>
        <w:t>Law and Policy in Medicine toolkit | Version 1.0 | 27 September 2026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EAF2F8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r>
              <w:rPr>
                <w:b/>
              </w:rPr>
              <w:t xml:space="preserve">Scope and status. </w:t>
            </w:r>
            <w:r>
              <w:t>This document focuses on NHS care in England, while also using UK-wide/Great Britain professional, medicines and employment-law sources where applicable. Health-service law differs in Scotland, Wales and Northern Ireland. This is a researched legal-information and assessment tool, not individual legal advice and not a substitute for urgent clinical care.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rPr>
          <w:cantSplit/>
        </w:trPr>
        <w:tc>
          <w:tcPr>
            <w:tcW w:type="dxa" w:w="9994"/>
            <w:shd w:fill="FFF2CC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Core position. </w:t>
            </w:r>
            <w:r>
              <w:t>The patient has substantial legal rights to consent, information, individualised safe care, rational NHS decision-making, equality, records, choice in specified referrals and complaints. Those rights can force a decision to be reconsidered or properly justified. They do not give a patient a general legal power to compel a doctor to prescribe a treatment that the doctor concludes is not clinically appropriate.</w:t>
            </w:r>
          </w:p>
        </w:tc>
      </w:tr>
    </w:tbl>
    <w:p>
      <w:pPr>
        <w:pStyle w:val="Heading1"/>
      </w:pPr>
      <w:r>
        <w:t>1. Basic patient rights relevant to treatment disputes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cantSplit/>
        </w:trPr>
        <w:tc>
          <w:tcPr>
            <w:tcW w:type="dxa" w:w="4997"/>
            <w:shd w:fill="D9EAF7"/>
            <w:vAlign w:val="center"/>
          </w:tcPr>
          <w:p>
            <w:r>
              <w:rPr>
                <w:b/>
              </w:rPr>
              <w:t>Right / tool</w:t>
            </w:r>
          </w:p>
        </w:tc>
        <w:tc>
          <w:tcPr>
            <w:tcW w:type="dxa" w:w="4997"/>
            <w:shd w:fill="D9EAF7"/>
            <w:vAlign w:val="center"/>
          </w:tcPr>
          <w:p>
            <w:r>
              <w:rPr>
                <w:b/>
              </w:rPr>
              <w:t>Effect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Access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NHS Constitution: access to NHS services must not be refused on unreasonable grounds.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Appropriate individual care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Care and treatment should be appropriate, meet needs and reflect preferences; Regulation 9 requires collaborative assessment and support for participation in decisions.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Safe care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Regulation 12 requires care and treatment to be provided safely, with risk assessment and reasonably practicable mitigation.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Consent / refusal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A capacitous adult can accept or refuse offered treatment, subject to limited statutory exceptions.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Information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The patient must receive sufficient information about available options, material risks and benefits to make an informed decision.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Involvement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The NHS Constitution recognises a right to be involved in planning and decisions about health and care.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NICE-approved treatment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The NHS Constitution states a right to NICE-recommended drugs/treatments for NHS use if the doctor says they are clinically appropriate.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Other treatment funding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Local funding decisions should be rational and based on proper consideration of evidence; relevant bodies have statutory arrangements/reasons duties under Standing Rules regs 34-36.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Choice of GP/practitioner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A person has legal rights around GP registration and may express a reasonable preference for a particular practitioner; the practice must endeavour to comply subject to limits.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Elective referral choice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In qualifying referrals, patients have legal rights to choose a clinically appropriate provider/team; referral-management systems should not obstruct the right.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Records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Patients have rights of access and rectification of inaccurate personal data; disputed opinions may be retained but a supplementary statement/challenge can be recorded.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Equality and reasonable adjustment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Disabled patients may be entitled to reasonable changes to policies, procedures or communication arrangements.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Complaint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A patient has a statutory NHS complaints route; complaints must be investigated and answered under the 2009 Complaints Regulations.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Protection from abuse/neglect/degrading care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Regulation 13 is a legal fundamental standard for registered providers.</w:t>
            </w:r>
          </w:p>
        </w:tc>
      </w:tr>
    </w:tbl>
    <w:p>
      <w:pPr>
        <w:pStyle w:val="Heading1"/>
      </w:pPr>
      <w:r>
        <w:t>2. How a patient can lawfully strengthen a treatment request</w:t>
      </w:r>
    </w:p>
    <w:p>
      <w:pPr>
        <w:pStyle w:val="ListBullet"/>
      </w:pPr>
      <w:r>
        <w:t>State the clinical objective, not only the name of the medicine or intervention. Explain the symptom/function you are trying to improve and why existing treatment is inadequate or unacceptable.</w:t>
      </w:r>
    </w:p>
    <w:p>
      <w:pPr>
        <w:pStyle w:val="ListBullet"/>
      </w:pPr>
      <w:r>
        <w:t>Provide relevant evidence and previous treatment outcomes, including adverse reactions, lack of benefit, contraindications and the consequences of no effective treatment.</w:t>
      </w:r>
    </w:p>
    <w:p>
      <w:pPr>
        <w:pStyle w:val="ListBullet"/>
      </w:pPr>
      <w:r>
        <w:t>Ask the clinician to distinguish: (a) clinically inappropriate, (b) outside competence, (c) legally restricted, (d) not routinely commissioned/funded, (e) prohibited by local policy, or (f) not normally done.</w:t>
      </w:r>
    </w:p>
    <w:p>
      <w:pPr>
        <w:pStyle w:val="ListBullet"/>
      </w:pPr>
      <w:r>
        <w:t>If the GP cannot initiate the treatment, ask whether referral to an appropriately authorised specialist is clinically indicated and whether a legal right to provider choice applies.</w:t>
      </w:r>
    </w:p>
    <w:p>
      <w:pPr>
        <w:pStyle w:val="ListBullet"/>
      </w:pPr>
      <w:r>
        <w:t>Ask that the decision and reasons are recorded. Where a commissioning body refuses funding under a general non-funding policy, request the written reasons and the Individual Funding Request/exception process.</w:t>
      </w:r>
    </w:p>
    <w:p>
      <w:pPr>
        <w:pStyle w:val="ListBullet"/>
      </w:pPr>
      <w:r>
        <w:t>Where disability affects communication, access or ability to use a standard pathway, make a specific reasonable-adjustment request and ask that it is recorded.</w:t>
      </w:r>
    </w:p>
    <w:p>
      <w:pPr>
        <w:pStyle w:val="ListBullet"/>
      </w:pPr>
      <w:r>
        <w:t>Ask for a second opinion when there is genuine clinical disagreement. This is not generally an absolute statutory right, but GMC standards require doctors to respect the route and consider it when refusing a requested treatment.</w:t>
      </w:r>
    </w:p>
    <w:p>
      <w:pPr>
        <w:pStyle w:val="ListBullet"/>
      </w:pPr>
      <w:r>
        <w:t>Use records access and rectification rights to ensure important factual safety information - such as medication, allergies/adverse reactions and relevant history - is correct and visible.</w:t>
      </w:r>
    </w:p>
    <w:p>
      <w:pPr>
        <w:pStyle w:val="Heading1"/>
      </w:pPr>
      <w:r>
        <w:t>3. The patient cannot compel every requested treatment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rPr>
          <w:cantSplit/>
        </w:trPr>
        <w:tc>
          <w:tcPr>
            <w:tcW w:type="dxa" w:w="9994"/>
            <w:shd w:fill="FCE4D6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Limit. </w:t>
            </w:r>
            <w:r>
              <w:t>R (Burke) v GMC and later case law confirm that a doctor cannot normally be compelled to provide treatment they consider clinically inappropriate. The legal leverage is therefore strongest when directed at the quality and legality of the decision-making process: assessment, information, reasons, equality, referral, funding procedure and review.</w:t>
            </w:r>
          </w:p>
        </w:tc>
      </w:tr>
    </w:tbl>
    <w:p>
      <w:pPr>
        <w:pStyle w:val="Heading1"/>
      </w:pPr>
      <w:r>
        <w:t>4. Conflict map: patient request vs restriction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cantSplit/>
        </w:trPr>
        <w:tc>
          <w:tcPr>
            <w:tcW w:type="dxa" w:w="4997"/>
            <w:shd w:fill="D9EAF7"/>
            <w:vAlign w:val="center"/>
          </w:tcPr>
          <w:p>
            <w:r>
              <w:rPr>
                <w:b/>
              </w:rPr>
              <w:t>What the patient is told</w:t>
            </w:r>
          </w:p>
        </w:tc>
        <w:tc>
          <w:tcPr>
            <w:tcW w:type="dxa" w:w="4997"/>
            <w:shd w:fill="D9EAF7"/>
            <w:vAlign w:val="center"/>
          </w:tcPr>
          <w:p>
            <w:r>
              <w:rPr>
                <w:b/>
              </w:rPr>
              <w:t>What to ask next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“It is illegal.”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Which Act/regulation and section makes it illegal for this clinician/patient/indication?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“NICE says no.”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Is this a NICE clinical guideline or a technology-appraisal/funding recommendation? Does the guideline preserve patient-specific judgment?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“The NHS will not fund it.”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Which commissioner/policy? What are the published reasons? Is there an exception/IFR route?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“Our practice does not prescribe it.”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Is the reason competence, legal restriction, shared-care rules or local policy? Is specialist referral appropriate?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“You cannot be referred there.”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Does the statutory right to choice apply to this referral/provider? If not, what clinical/commissioning rule prevents it?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“You must take this medicine first.”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Is that a legal requirement, evidence-based clinical sequence, commissioning criterion or local policy? What happens if it is contraindicated or previously harmful?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“We cannot communicate that way.”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Does the Equality Act / Accessible Information Standard require a reasonable adjustment or accessible format?</w:t>
            </w:r>
          </w:p>
        </w:tc>
      </w:tr>
    </w:tbl>
    <w:p>
      <w:pPr>
        <w:pStyle w:val="Heading1"/>
      </w:pPr>
      <w:r>
        <w:t>5. Legal conflict tools available to a patient</w:t>
      </w:r>
    </w:p>
    <w:p>
      <w:pPr>
        <w:pStyle w:val="ListNumber"/>
      </w:pPr>
      <w:r>
        <w:t>Ask for reconsideration by the treating clinician using patient-specific evidence.</w:t>
      </w:r>
    </w:p>
    <w:p>
      <w:pPr>
        <w:pStyle w:val="ListNumber"/>
      </w:pPr>
      <w:r>
        <w:t>Ask to see another clinician in the GP practice, using the statutory/pre-contract preference mechanism where applicable.</w:t>
      </w:r>
    </w:p>
    <w:p>
      <w:pPr>
        <w:pStyle w:val="ListNumber"/>
      </w:pPr>
      <w:r>
        <w:t>Ask for specialist referral/advice where the GP lacks competence or authority to initiate the requested treatment.</w:t>
      </w:r>
    </w:p>
    <w:p>
      <w:pPr>
        <w:pStyle w:val="ListNumber"/>
      </w:pPr>
      <w:r>
        <w:t>Exercise a qualifying legal right to provider/team choice for elective referral.</w:t>
      </w:r>
    </w:p>
    <w:p>
      <w:pPr>
        <w:pStyle w:val="ListNumber"/>
      </w:pPr>
      <w:r>
        <w:t>Request an Individual Funding Request or other exception process if the treatment is not routinely commissioned.</w:t>
      </w:r>
    </w:p>
    <w:p>
      <w:pPr>
        <w:pStyle w:val="ListNumber"/>
      </w:pPr>
      <w:r>
        <w:t>Request written policy and refusal reasons under the Standing Rules where applicable.</w:t>
      </w:r>
    </w:p>
    <w:p>
      <w:pPr>
        <w:pStyle w:val="ListNumber"/>
      </w:pPr>
      <w:r>
        <w:t>Make a formal complaint to the provider OR commissioner (normally the local ICB for most local NHS services), not both for the same complaint at the same time.</w:t>
      </w:r>
    </w:p>
    <w:p>
      <w:pPr>
        <w:pStyle w:val="ListNumber"/>
      </w:pPr>
      <w:r>
        <w:t>Escalate an unresolved NHS complaint to the Parliamentary and Health Service Ombudsman.</w:t>
      </w:r>
    </w:p>
    <w:p>
      <w:pPr>
        <w:pStyle w:val="ListNumber"/>
      </w:pPr>
      <w:r>
        <w:t>Provide safety/quality intelligence to CQC where fundamental standards may be affected; CQC generally does not resolve an individual complaint on the patient’s behalf.</w:t>
      </w:r>
    </w:p>
    <w:p>
      <w:pPr>
        <w:pStyle w:val="ListNumber"/>
      </w:pPr>
      <w:r>
        <w:t>Use ICO/data-protection routes where the issue is inaccurate records, access or data processing.</w:t>
      </w:r>
    </w:p>
    <w:p>
      <w:pPr>
        <w:pStyle w:val="ListNumber"/>
      </w:pPr>
      <w:r>
        <w:t>Seek specialist public-law advice urgently where judicial review may be necessary; judicial-review time limits can be short.</w:t>
      </w:r>
    </w:p>
    <w:p>
      <w:pPr>
        <w:pStyle w:val="Heading1"/>
      </w:pPr>
      <w:r>
        <w:t>6. Patient Treatment Request / Legal Standing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cantSplit/>
        </w:trPr>
        <w:tc>
          <w:tcPr>
            <w:tcW w:type="dxa" w:w="4997"/>
            <w:shd w:fill="D9EAF7"/>
            <w:vAlign w:val="center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4997"/>
            <w:shd w:fill="D9EAF7"/>
            <w:vAlign w:val="center"/>
          </w:tcPr>
          <w:p>
            <w:r>
              <w:rPr>
                <w:b/>
              </w:rPr>
              <w:t>Patient entry</w:t>
            </w:r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Condition/symptom/function requiring treatment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Treatment(s) tried and outcome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Adverse reactions / safety concerns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Requested clinical objective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Requested treatment/referral (if any)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Evidence supplied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Clinician’s stated reason for refusal/alternative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Is reason: clinical / competence / law / policy / funding / other?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Exact law/policy cited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Alternative/referral/second opinion offered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Reasonable adjustment needed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Record updated with safety information?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Written reasons requested?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t>Next review / escalation date</w:t>
            </w:r>
          </w:p>
        </w:tc>
        <w:tc>
          <w:tcPr>
            <w:tcW w:type="dxa" w:w="4997"/>
            <w:vAlign w:val="top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/>
          </w:p>
        </w:tc>
      </w:tr>
    </w:tbl>
    <w:p>
      <w:pPr>
        <w:pStyle w:val="Heading1"/>
      </w:pPr>
      <w:r>
        <w:t>Authorities and references</w:t>
      </w:r>
    </w:p>
    <w:p>
      <w:pPr>
        <w:pStyle w:val="SmallNote"/>
      </w:pPr>
      <w:r>
        <w:t>Primary legislation and official/regulatory sources are preferred. Links were checked for this version on 27 September 2026.</w:t>
      </w:r>
    </w:p>
    <w:p>
      <w:r>
        <w:rPr>
          <w:b/>
        </w:rPr>
        <w:t xml:space="preserve">[1] </w:t>
      </w:r>
      <w:hyperlink r:id="rId10">
        <w:r>
          <w:rPr>
            <w:color w:val="0563C1"/>
            <w:u w:val="single"/>
          </w:rPr>
          <w:t>NHS Constitution for England</w:t>
        </w:r>
      </w:hyperlink>
      <w:r>
        <w:t xml:space="preserve"> — Patient rights on access, appropriate care, NICE treatments, consent, information, records, choice, involvement and complaints.</w:t>
      </w:r>
    </w:p>
    <w:p>
      <w:r>
        <w:rPr>
          <w:b/>
        </w:rPr>
        <w:t xml:space="preserve">[2] </w:t>
      </w:r>
      <w:hyperlink r:id="rId11">
        <w:r>
          <w:rPr>
            <w:color w:val="0563C1"/>
            <w:u w:val="single"/>
          </w:rPr>
          <w:t>Handbook to the NHS Constitution for England</w:t>
        </w:r>
      </w:hyperlink>
      <w:r>
        <w:t xml:space="preserve"> — Explains legal sources and administrative-law limits.</w:t>
      </w:r>
    </w:p>
    <w:p>
      <w:r>
        <w:rPr>
          <w:b/>
        </w:rPr>
        <w:t xml:space="preserve">[3] </w:t>
      </w:r>
      <w:hyperlink r:id="rId12">
        <w:r>
          <w:rPr>
            <w:color w:val="0563C1"/>
            <w:u w:val="single"/>
          </w:rPr>
          <w:t>Health and Social Care Act 2008 (Regulated Activities) Regulations 2014</w:t>
        </w:r>
      </w:hyperlink>
      <w:r>
        <w:t xml:space="preserve"> — Regs 9, 11, 12, 13, 17 and 20.</w:t>
      </w:r>
    </w:p>
    <w:p>
      <w:r>
        <w:rPr>
          <w:b/>
        </w:rPr>
        <w:t xml:space="preserve">[4] </w:t>
      </w:r>
      <w:hyperlink r:id="rId13">
        <w:r>
          <w:rPr>
            <w:color w:val="0563C1"/>
            <w:u w:val="single"/>
          </w:rPr>
          <w:t>Equality Act 2010</w:t>
        </w:r>
      </w:hyperlink>
      <w:r>
        <w:t xml:space="preserve"> — Reasonable-adjustment and service-provider duties.</w:t>
      </w:r>
    </w:p>
    <w:p>
      <w:r>
        <w:rPr>
          <w:b/>
        </w:rPr>
        <w:t xml:space="preserve">[5] </w:t>
      </w:r>
      <w:hyperlink r:id="rId14">
        <w:r>
          <w:rPr>
            <w:color w:val="0563C1"/>
            <w:u w:val="single"/>
          </w:rPr>
          <w:t>NHS England Accessible Information Standard</w:t>
        </w:r>
      </w:hyperlink>
      <w:r>
        <w:t xml:space="preserve"> — Accessible communication requirements for publicly funded NHS care.</w:t>
      </w:r>
    </w:p>
    <w:p>
      <w:r>
        <w:rPr>
          <w:b/>
        </w:rPr>
        <w:t xml:space="preserve">[6] </w:t>
      </w:r>
      <w:hyperlink r:id="rId15">
        <w:r>
          <w:rPr>
            <w:color w:val="0563C1"/>
            <w:u w:val="single"/>
          </w:rPr>
          <w:t>Standing Rules Regulations 2012, Part 7</w:t>
        </w:r>
      </w:hyperlink>
      <w:r>
        <w:t xml:space="preserve"> — Healthcare intervention funding, reasons and written arrangements.</w:t>
      </w:r>
    </w:p>
    <w:p>
      <w:r>
        <w:rPr>
          <w:b/>
        </w:rPr>
        <w:t xml:space="preserve">[7] </w:t>
      </w:r>
      <w:hyperlink r:id="rId16">
        <w:r>
          <w:rPr>
            <w:color w:val="0563C1"/>
            <w:u w:val="single"/>
          </w:rPr>
          <w:t>NHS England Patient Choice Guidance</w:t>
        </w:r>
      </w:hyperlink>
      <w:r>
        <w:t xml:space="preserve"> — Current guidance on legal choice rights.</w:t>
      </w:r>
    </w:p>
    <w:p>
      <w:r>
        <w:rPr>
          <w:b/>
        </w:rPr>
        <w:t xml:space="preserve">[8] </w:t>
      </w:r>
      <w:hyperlink r:id="rId17">
        <w:r>
          <w:rPr>
            <w:color w:val="0563C1"/>
            <w:u w:val="single"/>
          </w:rPr>
          <w:t>GMS Contracts Regulations 2015</w:t>
        </w:r>
      </w:hyperlink>
      <w:r>
        <w:t xml:space="preserve"> — Includes essential services and patient preference of practitioner.</w:t>
      </w:r>
    </w:p>
    <w:p>
      <w:r>
        <w:rPr>
          <w:b/>
        </w:rPr>
        <w:t xml:space="preserve">[9] </w:t>
      </w:r>
      <w:hyperlink r:id="rId18">
        <w:r>
          <w:rPr>
            <w:color w:val="0563C1"/>
            <w:u w:val="single"/>
          </w:rPr>
          <w:t>GMC Decision making and consent - patient request</w:t>
        </w:r>
      </w:hyperlink>
      <w:r>
        <w:t xml:space="preserve"> — Para 49 on requests a clinician considers not in clinical interests.</w:t>
      </w:r>
    </w:p>
    <w:p>
      <w:r>
        <w:rPr>
          <w:b/>
        </w:rPr>
        <w:t xml:space="preserve">[10] </w:t>
      </w:r>
      <w:hyperlink r:id="rId19">
        <w:r>
          <w:rPr>
            <w:color w:val="0563C1"/>
            <w:u w:val="single"/>
          </w:rPr>
          <w:t>Montgomery v Lanarkshire Health Board [2015] UKSC 11</w:t>
        </w:r>
      </w:hyperlink>
      <w:r>
        <w:t xml:space="preserve"> — Material risk and reasonable alternatives.</w:t>
      </w:r>
    </w:p>
    <w:p>
      <w:r>
        <w:rPr>
          <w:b/>
        </w:rPr>
        <w:t xml:space="preserve">[11] </w:t>
      </w:r>
      <w:hyperlink r:id="rId20">
        <w:r>
          <w:rPr>
            <w:color w:val="0563C1"/>
            <w:u w:val="single"/>
          </w:rPr>
          <w:t>McCulloch v Forth Valley Health Board [2023] UKSC 26</w:t>
        </w:r>
      </w:hyperlink>
      <w:r>
        <w:t xml:space="preserve"> — Reasonable alternative-treatment analysis.</w:t>
      </w:r>
    </w:p>
    <w:p>
      <w:r>
        <w:rPr>
          <w:b/>
        </w:rPr>
        <w:t xml:space="preserve">[12] </w:t>
      </w:r>
      <w:hyperlink r:id="rId21">
        <w:r>
          <w:rPr>
            <w:color w:val="0563C1"/>
            <w:u w:val="single"/>
          </w:rPr>
          <w:t>R (Burke) v GMC [2005] EWCA Civ 1003</w:t>
        </w:r>
      </w:hyperlink>
      <w:r>
        <w:t xml:space="preserve"> — Limits on compelling clinically inappropriate treatment.</w:t>
      </w:r>
    </w:p>
    <w:p>
      <w:r>
        <w:rPr>
          <w:b/>
        </w:rPr>
        <w:t xml:space="preserve">[13] </w:t>
      </w:r>
      <w:hyperlink r:id="rId22">
        <w:r>
          <w:rPr>
            <w:color w:val="0563C1"/>
            <w:u w:val="single"/>
          </w:rPr>
          <w:t>UK GDPR, Article 16</w:t>
        </w:r>
      </w:hyperlink>
      <w:r>
        <w:t xml:space="preserve"> — Right to rectification of inaccurate personal data.</w:t>
      </w:r>
    </w:p>
    <w:p>
      <w:r>
        <w:rPr>
          <w:b/>
        </w:rPr>
        <w:t xml:space="preserve">[14] </w:t>
      </w:r>
      <w:hyperlink r:id="rId23">
        <w:r>
          <w:rPr>
            <w:color w:val="0563C1"/>
            <w:u w:val="single"/>
          </w:rPr>
          <w:t>ICO Right to Rectification</w:t>
        </w:r>
      </w:hyperlink>
      <w:r>
        <w:t xml:space="preserve"> — Practical guidance, including medical-record examples.</w:t>
      </w:r>
    </w:p>
    <w:p>
      <w:r>
        <w:rPr>
          <w:b/>
        </w:rPr>
        <w:t xml:space="preserve">[15] </w:t>
      </w:r>
      <w:hyperlink r:id="rId24">
        <w:r>
          <w:rPr>
            <w:color w:val="0563C1"/>
            <w:u w:val="single"/>
          </w:rPr>
          <w:t>NHS Complaints Regulations 2009</w:t>
        </w:r>
      </w:hyperlink>
      <w:r>
        <w:t xml:space="preserve"> — Statutory handling/investigation/response requirements.</w:t>
      </w:r>
    </w:p>
    <w:sectPr w:rsidR="00FC693F" w:rsidRPr="0006063C" w:rsidSect="00034616">
      <w:footerReference w:type="default" r:id="rId9"/>
      <w:pgSz w:w="12240" w:h="15840"/>
      <w:pgMar w:top="1037" w:right="1123" w:bottom="1008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Law and Policy in Medicine | England-focused legal information | 27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4E79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i/>
      <w:color w:val="5A5A5A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ov.uk/government/publications/the-nhs-constitution-for-england/the-nhs-constitution-for-england" TargetMode="External"/><Relationship Id="rId11" Type="http://schemas.openxmlformats.org/officeDocument/2006/relationships/hyperlink" Target="https://www.gov.uk/government/publications/supplements-to-the-nhs-constitution-for-england/the-handbook-to-the-nhs-constitution-for-england" TargetMode="External"/><Relationship Id="rId12" Type="http://schemas.openxmlformats.org/officeDocument/2006/relationships/hyperlink" Target="https://www.legislation.gov.uk/uksi/2014/2936" TargetMode="External"/><Relationship Id="rId13" Type="http://schemas.openxmlformats.org/officeDocument/2006/relationships/hyperlink" Target="https://www.legislation.gov.uk/ukpga/2010/15" TargetMode="External"/><Relationship Id="rId14" Type="http://schemas.openxmlformats.org/officeDocument/2006/relationships/hyperlink" Target="https://www.england.nhs.uk/accessible-information-standard/" TargetMode="External"/><Relationship Id="rId15" Type="http://schemas.openxmlformats.org/officeDocument/2006/relationships/hyperlink" Target="https://www.legislation.gov.uk/uksi/2012/2996/part/7" TargetMode="External"/><Relationship Id="rId16" Type="http://schemas.openxmlformats.org/officeDocument/2006/relationships/hyperlink" Target="https://www.england.nhs.uk/long-read/patient-choice-guidance/" TargetMode="External"/><Relationship Id="rId17" Type="http://schemas.openxmlformats.org/officeDocument/2006/relationships/hyperlink" Target="https://www.legislation.gov.uk/uksi/2015/1862" TargetMode="External"/><Relationship Id="rId18" Type="http://schemas.openxmlformats.org/officeDocument/2006/relationships/hyperlink" Target="https://www.gmc-uk.org/professional-standards/the-professional-standards/decision-making-and-consent/the-dialogue-leading-to-a-decision-continued-3" TargetMode="External"/><Relationship Id="rId19" Type="http://schemas.openxmlformats.org/officeDocument/2006/relationships/hyperlink" Target="https://www.supremecourt.uk/cases/uksc-2013-0136" TargetMode="External"/><Relationship Id="rId20" Type="http://schemas.openxmlformats.org/officeDocument/2006/relationships/hyperlink" Target="https://www.supremecourt.uk/cases/uksc-2021-0149" TargetMode="External"/><Relationship Id="rId21" Type="http://schemas.openxmlformats.org/officeDocument/2006/relationships/hyperlink" Target="https://www.bailii.org/ew/cases/EWCA/Civ/2005/1003.html" TargetMode="External"/><Relationship Id="rId22" Type="http://schemas.openxmlformats.org/officeDocument/2006/relationships/hyperlink" Target="https://www.legislation.gov.uk/eur/2016/679/article/16" TargetMode="External"/><Relationship Id="rId23" Type="http://schemas.openxmlformats.org/officeDocument/2006/relationships/hyperlink" Target="https://ico.org.uk/for-organisations/uk-gdpr-guidance-and-resources/individual-rights/individual-rights/right-to-rectification" TargetMode="External"/><Relationship Id="rId24" Type="http://schemas.openxmlformats.org/officeDocument/2006/relationships/hyperlink" Target="https://www.legislation.gov.uk/uksi/2009/3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