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Population Group Size and Settlement Capacity</w:t>
      </w:r>
    </w:p>
    <w:p>
      <w:pPr>
        <w:pStyle w:val="Subtitle"/>
      </w:pPr>
      <w:r>
        <w:t>Scientific research and archaeological evidence</w:t>
      </w:r>
    </w:p>
    <w:p>
      <w:r>
        <w:t>43 source annotated catalogue   |   10 October 2026   |   Updated 13 October 2026</w:t>
      </w:r>
    </w:p>
    <w:p>
      <w:r>
        <w:t>Research does not establish one universal maximum number of people who should live in a place. It does identify constraints on relationships, housing conditions, resources and coordination, alongside benefits from cooperation and larger networks. Those are distinct questions and must be measured separately [1–6, 32–41].</w:t>
      </w:r>
    </w:p>
    <w:p>
      <w:pPr>
        <w:pStyle w:val="Heading1"/>
      </w:pPr>
      <w:r>
        <w:t>What the evidence supports</w:t>
      </w:r>
    </w:p>
    <w:tbl>
      <w:tblPr>
        <w:tblW w:type="auto" w:w="0"/>
        <w:tblLayout w:type="fixed"/>
        <w:tblLook w:firstColumn="1" w:firstRow="1" w:lastColumn="0" w:lastRow="0" w:noHBand="0" w:noVBand="1" w:val="04A0"/>
      </w:tblPr>
      <w:tblGrid>
        <w:gridCol w:w="2880"/>
        <w:gridCol w:w="6840"/>
      </w:tblGrid>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shd w:fill="DCE8EF"/>
          </w:tcPr>
          <w:p>
            <w:pPr>
              <w:spacing w:after="40"/>
            </w:pPr>
            <w:r>
              <w:rPr>
                <w:b/>
                <w:sz w:val="20"/>
              </w:rPr>
              <w:t>Question</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shd w:fill="DCE8EF"/>
          </w:tcPr>
          <w:p>
            <w:pPr>
              <w:spacing w:after="40"/>
            </w:pPr>
            <w:r>
              <w:rPr>
                <w:b/>
                <w:sz w:val="20"/>
              </w:rPr>
              <w:t>What can be concluded</w:t>
            </w:r>
          </w:p>
        </w:tc>
      </w:tr>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How large is a personal social group?</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Network sizes and camp sizes show patterns, but means and uncertain extrapolations are not residential limits [1–6].</w:t>
            </w:r>
          </w:p>
        </w:tc>
      </w:tr>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Can settlement growth cause harm?</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Crowding, resource demands and exposure to disease can matter. Their effects depend on living conditions and organisation [13–15, 32–34].</w:t>
            </w:r>
          </w:p>
        </w:tc>
      </w:tr>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Is a larger settlement always worse?</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No. Some studies find benefits in production and knowledge; their size and distribution vary [7–8, 16–17, 35–37].</w:t>
            </w:r>
          </w:p>
        </w:tc>
      </w:tr>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Did ancient populations exceed capacity?</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Specific cases show growth, decline or dispersal. Causes are contested, and familiar collapse narratives can fail empirical tests [10–12, 18–22].</w:t>
            </w:r>
          </w:p>
        </w:tc>
      </w:tr>
      <w:tr>
        <w:tc>
          <w:tcPr>
            <w:tcW w:type="dxa" w:w="288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At what number do people become redundant?</w:t>
            </w:r>
          </w:p>
        </w:tc>
        <w:tc>
          <w:tcPr>
            <w:tcW w:type="dxa" w:w="6840"/>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These studies do not establish such a threshold. Resource shortages, unmet needs, exclusion and limited work opportunities require separate measures.</w:t>
            </w:r>
          </w:p>
        </w:tc>
      </w:tr>
    </w:tbl>
    <w:p>
      <w:pPr>
        <w:pStyle w:val="Heading1"/>
      </w:pPr>
      <w:r>
        <w:t>How to use this catalogue</w:t>
      </w:r>
    </w:p>
    <w:p>
      <w:r>
        <w:t>Start with the featured settlement-growth papers by Ortman [16] and Hirst [43]. Then read Hill [4] for residential groups, Larsen [13] for settlement history, Shennan and Bevan [10, 12] for demographic change, Crema [30] for methods, and Cohen [38] for carrying capacity. Bracketed numbers refer to catalogue entries.</w:t>
      </w:r>
    </w:p>
    <w:p>
      <w:r>
        <w:t>This is a scoped evidence map, not an exhaustive systematic review or a new meta-analysis. Records were checked against scientific journals, PubMed and institutional repositories. Annotations use available full text, abstracts and indexed primary-paper text; full access varies. Original studies, models, reviews and scientific criticisms are explicitly labelled.</w:t>
      </w:r>
    </w:p>
    <w:p>
      <w:r>
        <w:br w:type="page"/>
      </w:r>
    </w:p>
    <w:p>
      <w:pPr>
        <w:pStyle w:val="Heading1"/>
        <w:keepNext/>
        <w:keepLines/>
        <w:spacing w:after="100" w:before="0"/>
      </w:pPr>
      <w:r>
        <w:rPr>
          <w:color w:val="000000"/>
        </w:rPr>
        <w:t>Priority evidence for settlement growth</w:t>
      </w:r>
    </w:p>
    <w:p>
      <w:pPr>
        <w:keepNext w:val="0"/>
        <w:keepLines/>
        <w:spacing w:after="100" w:line="254" w:lineRule="auto"/>
      </w:pPr>
      <w:r>
        <w:rPr>
          <w:sz w:val="22"/>
        </w:rPr>
        <w:t>The two PLOS ONE papers below are central references for the later population-design argument. Their importance lies in the relationship between settlement organisation, infrastructure, resource conditions and growth. They should receive substantive discussion in the main text.</w:t>
      </w:r>
    </w:p>
    <w:p>
      <w:pPr>
        <w:pStyle w:val="Heading2"/>
        <w:keepNext/>
        <w:keepLines/>
        <w:spacing w:after="100" w:before="160"/>
      </w:pPr>
      <w:r>
        <w:rPr>
          <w:color w:val="000000"/>
        </w:rPr>
        <w:t>Design intent and room for growth</w:t>
      </w:r>
    </w:p>
    <w:p>
      <w:pPr>
        <w:keepNext w:val="0"/>
        <w:keepLines/>
        <w:spacing w:after="100" w:line="254" w:lineRule="auto"/>
      </w:pPr>
      <w:r>
        <w:rPr>
          <w:sz w:val="22"/>
        </w:rPr>
        <w:t>The proposed settlements begin with 5,000 people and development space allocated for 50,000. The final footprint is planned in advance, with permanent green zones. AL chose 50,000 because it is half the approximately 100,000 threshold remembered from earlier research. That reasoning must remain explicit; the remembered universal ceiling remains a hypothesis to verify.</w:t>
      </w:r>
    </w:p>
    <w:p>
      <w:pPr>
        <w:keepNext w:val="0"/>
        <w:keepLines/>
        <w:spacing w:after="100" w:line="254" w:lineRule="auto"/>
      </w:pPr>
      <w:r>
        <w:rPr>
          <w:sz w:val="22"/>
        </w:rPr>
        <w:t>Geographical boundaries and population policy are intended to guide development while leaving room for natural growth, ecological regeneration and progress through learning. Population can grow towards the planned cap, while knowledge, technology, enterprise and social organisation can continue to develop. The intention is to enhance the process through learning and allow adaptation as conditions change.</w:t>
      </w:r>
    </w:p>
    <w:p>
      <w:pPr>
        <w:pStyle w:val="Heading2"/>
        <w:keepNext/>
        <w:keepLines/>
        <w:spacing w:after="100" w:before="160"/>
      </w:pPr>
      <w:r>
        <w:rPr>
          <w:color w:val="000000"/>
        </w:rPr>
        <w:t>Ortman and colleagues 2014</w:t>
      </w:r>
    </w:p>
    <w:p>
      <w:pPr>
        <w:keepNext w:val="0"/>
        <w:keepLines/>
        <w:spacing w:after="100" w:line="254" w:lineRule="auto"/>
      </w:pPr>
      <w:r>
        <w:rPr>
          <w:i/>
          <w:sz w:val="22"/>
        </w:rPr>
        <w:t>The Pre-History of Urban Scaling</w:t>
      </w:r>
    </w:p>
    <w:p>
      <w:pPr>
        <w:keepNext w:val="0"/>
        <w:keepLines/>
        <w:spacing w:after="100" w:line="254" w:lineRule="auto"/>
      </w:pPr>
      <w:r>
        <w:rPr>
          <w:sz w:val="22"/>
        </w:rPr>
        <w:t>Across approximately 1,500 settlements in the Basin of Mexico, population and occupied area show scaling patterns resembling modern cities. The framework connects social interaction with movement costs and infrastructure. It cites Teotihuacan at approximately 100,000 people and Tenochtitlan-Tlatelolco at approximately 200,000. This makes it central to questions of organisation and scale, rather than evidence for a universal 100,000 ceiling. See entry [16].</w:t>
      </w:r>
    </w:p>
    <w:p>
      <w:pPr>
        <w:keepNext w:val="0"/>
        <w:keepLines/>
        <w:spacing w:after="100" w:line="254" w:lineRule="auto"/>
      </w:pPr>
      <w:hyperlink r:id="rId36">
        <w:r>
          <w:rPr>
            <w:color w:val="0563C1"/>
            <w:u w:val="single"/>
          </w:rPr>
          <w:t>Open original paper</w:t>
        </w:r>
      </w:hyperlink>
    </w:p>
    <w:p>
      <w:pPr>
        <w:pStyle w:val="Heading2"/>
        <w:keepNext/>
        <w:keepLines/>
        <w:spacing w:after="100" w:before="160"/>
      </w:pPr>
      <w:r>
        <w:rPr>
          <w:color w:val="000000"/>
        </w:rPr>
        <w:t>Hirst and colleagues 2025</w:t>
      </w:r>
    </w:p>
    <w:p>
      <w:pPr>
        <w:keepNext w:val="0"/>
        <w:keepLines/>
        <w:spacing w:after="100" w:line="254" w:lineRule="auto"/>
      </w:pPr>
      <w:r>
        <w:rPr>
          <w:i/>
          <w:sz w:val="22"/>
        </w:rPr>
        <w:t>Constraining the population size estimates of the pre-Columbian Casarabe Culture of Amazonian Bolivia</w:t>
      </w:r>
    </w:p>
    <w:p>
      <w:pPr>
        <w:keepNext w:val="0"/>
        <w:keepLines/>
        <w:spacing w:after="100" w:line="254" w:lineRule="auto"/>
      </w:pPr>
      <w:r>
        <w:rPr>
          <w:sz w:val="22"/>
        </w:rPr>
        <w:t>The estimated peak of 10,000 to 100,000 people covers a settlement network across 5,020 square kilometres, occupied between 400 and 1400 CE. It is a close match to the remembered growth wording and is relevant to the proposal for connected settlements within a wider landscape. The relationship to the present design is an interpretation, not a tested result of the study. See entry [43].</w:t>
      </w:r>
    </w:p>
    <w:p>
      <w:pPr>
        <w:keepNext w:val="0"/>
        <w:keepLines/>
        <w:spacing w:after="100" w:line="254" w:lineRule="auto"/>
      </w:pPr>
      <w:hyperlink r:id="rId80">
        <w:r>
          <w:rPr>
            <w:color w:val="0563C1"/>
            <w:u w:val="single"/>
          </w:rPr>
          <w:t>Open original paper</w:t>
        </w:r>
      </w:hyperlink>
    </w:p>
    <w:p>
      <w:pPr>
        <w:pStyle w:val="Heading2"/>
        <w:keepNext/>
        <w:keepLines/>
        <w:spacing w:after="100" w:before="160"/>
      </w:pPr>
      <w:r>
        <w:rPr>
          <w:color w:val="000000"/>
        </w:rPr>
        <w:t>Use in the later write up</w:t>
      </w:r>
    </w:p>
    <w:p>
      <w:pPr>
        <w:keepNext w:val="0"/>
        <w:keepLines/>
        <w:spacing w:after="100" w:line="254" w:lineRule="auto"/>
      </w:pPr>
      <w:r>
        <w:rPr>
          <w:sz w:val="22"/>
        </w:rPr>
        <w:t>Discuss both papers prominently when explaining the population cap and the scope for growth. Connect their findings to the design questions, retain the original geographical and temporal scales, and state where the proposal goes beyond the evidence. Neither study establishes that 50,000 is an optimum or that 100,000 is a universal natural roof.</w:t>
      </w:r>
    </w:p>
    <w:p>
      <w:pPr>
        <w:keepNext w:val="0"/>
        <w:keepLines/>
        <w:spacing w:after="100" w:line="254" w:lineRule="auto"/>
      </w:pPr>
      <w:r>
        <w:br w:type="page"/>
      </w:r>
    </w:p>
    <w:p>
      <w:pPr>
        <w:pStyle w:val="Heading1"/>
      </w:pPr>
      <w:r>
        <w:t>Reading archaeological population evidence</w:t>
      </w:r>
    </w:p>
    <w:p>
      <w:r>
        <w:t>Radiocarbon measures the age of organic material. Population size is an additional inference built from dates, archaeological context and assumptions. A date on one sample does not itself tell us how many people were present [24–31].</w:t>
      </w:r>
    </w:p>
    <w:tbl>
      <w:tblPr>
        <w:tblW w:type="auto" w:w="0"/>
        <w:tblLayout w:type="fixed"/>
        <w:tblLook w:firstColumn="1" w:firstRow="1" w:lastColumn="0" w:lastRow="0" w:noHBand="0" w:noVBand="1" w:val="04A0"/>
      </w:tblPr>
      <w:tblGrid>
        <w:gridCol w:w="1915"/>
        <w:gridCol w:w="3413"/>
        <w:gridCol w:w="4392"/>
      </w:tblGrid>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shd w:fill="DCE8EF"/>
          </w:tcPr>
          <w:p>
            <w:pPr>
              <w:spacing w:after="40"/>
            </w:pPr>
            <w:r>
              <w:rPr>
                <w:b/>
                <w:sz w:val="20"/>
              </w:rPr>
              <w:t>Evidence</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shd w:fill="DCE8EF"/>
          </w:tcPr>
          <w:p>
            <w:pPr>
              <w:spacing w:after="40"/>
            </w:pPr>
            <w:r>
              <w:rPr>
                <w:b/>
                <w:sz w:val="20"/>
              </w:rPr>
              <w:t>What it contributes</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shd w:fill="DCE8EF"/>
          </w:tcPr>
          <w:p>
            <w:pPr>
              <w:spacing w:after="40"/>
            </w:pPr>
            <w:r>
              <w:rPr>
                <w:b/>
                <w:sz w:val="20"/>
              </w:rPr>
              <w:t>Main caution</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Radiocarbon dating</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Calendar-age probability after calibration.</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Old wood, contamination, reservoir effects and calibration plateaus can alter interpretation [24–25].</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Stratigraphy and Bayesian chronology</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Ordering, occupation phases and duration.</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 more precise estimate remains conditional on correct archaeological assumptions [25].</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Buildings and settlement area</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Potential households and residential extent.</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Buildings may belong to different generations. Household size and contemporaneous occupancy must be estimated [13, 20].</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Summed radiocarbon distributions</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 proxy for changing activity or relative population.</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Research effort, preservation and calibration can create peaks or gaps [26–31].</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Human skeletons and burials</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Age profiles, health and some evidence of violence.</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Burial samples are selective; many skeletal lesions have multiple causes [9, 13].</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Stable isotopes</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Diet, cultivation, mobility or other environmental information, depending on isotope and material.</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Stable carbon and nitrogen isotope analysis is distinct from carbon-14 dating [14].</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Ancient DNA</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Ancestry, kinship and modelled demographic history.</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Genetic effective population size differs from census headcount [22].</w:t>
            </w:r>
          </w:p>
        </w:tc>
      </w:tr>
      <w:tr>
        <w:tc>
          <w:tcPr>
            <w:tcW w:type="dxa" w:w="1915"/>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Tree rings and climate archives</w:t>
            </w:r>
          </w:p>
        </w:tc>
        <w:tc>
          <w:tcPr>
            <w:tcW w:type="dxa" w:w="341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Independent chronology and environmental context.</w:t>
            </w:r>
          </w:p>
        </w:tc>
        <w:tc>
          <w:tcPr>
            <w:tcW w:type="dxa" w:w="4392"/>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sz w:val="20"/>
              </w:rPr>
              <w:t>Climate stress and settlement decline can coincide without climate being the sole cause [18–19].</w:t>
            </w:r>
          </w:p>
        </w:tc>
      </w:tr>
    </w:tbl>
    <w:p>
      <w:pPr>
        <w:pStyle w:val="Heading1"/>
      </w:pPr>
      <w:r>
        <w:t>Chronology and comparability</w:t>
      </w:r>
    </w:p>
    <w:p>
      <w:r>
        <w:t>BP conventionally means before 1950. “Cal BP” indicates calibrated calendar years; BCE and CE are calendar eras. Keep dating uncertainty when comparing events. An island, a settlement region, a village, a household and a personal network have different boundaries and cannot share one meaningful population threshold [20, 24, 36].</w:t>
      </w:r>
    </w:p>
    <w:p>
      <w:r>
        <w:t>For a defensible settlement estimate, specify the place, time period, simultaneous residents, usable space, resource supply, imports, infrastructure and outcome of concern. Report an interval and sensitivity to assumptions. Separate measured evidence, reconstructed population, proposed mechanism and planning judgement.</w:t>
      </w:r>
    </w:p>
    <w:p>
      <w:r>
        <w:br w:type="page"/>
      </w:r>
    </w:p>
    <w:p>
      <w:pPr>
        <w:pStyle w:val="Heading1"/>
      </w:pPr>
      <w:r>
        <w:t>Research catalogue</w:t>
      </w:r>
    </w:p>
    <w:p>
      <w:r>
        <w:t>Sources 1 to 3</w:t>
      </w:r>
    </w:p>
    <w:p>
      <w:pPr>
        <w:pStyle w:val="Heading2"/>
      </w:pPr>
      <w:r>
        <w:t>1  Dunbar, R. I. M.  1992</w:t>
      </w:r>
    </w:p>
    <w:p>
      <w:r>
        <w:rPr>
          <w:b/>
        </w:rPr>
        <w:t>Neocortex size as a constraint on group size in primates</w:t>
      </w:r>
    </w:p>
    <w:p>
      <w:pPr>
        <w:spacing w:after="100"/>
      </w:pPr>
      <w:r>
        <w:t>Journal of Human Evolution 22, 469–493  |  Comparative analysis and evolutionary hypothesis</w:t>
      </w:r>
    </w:p>
    <w:p>
      <w:r>
        <w:rPr>
          <w:b/>
        </w:rPr>
        <w:t xml:space="preserve">Evidence </w:t>
      </w:r>
      <w:r>
        <w:t>Compares primate neocortex measures with social-group sizes and extrapolates to humans.</w:t>
      </w:r>
    </w:p>
    <w:p>
      <w:r>
        <w:rPr>
          <w:b/>
        </w:rPr>
        <w:t xml:space="preserve">Finding </w:t>
      </w:r>
      <w:r>
        <w:t>Foundational source for the proposed human relationship-network size commonly rounded to 150.</w:t>
      </w:r>
    </w:p>
    <w:p>
      <w:r>
        <w:rPr>
          <w:b/>
        </w:rPr>
        <w:t xml:space="preserve">Limit </w:t>
      </w:r>
      <w:r>
        <w:t>A regression-based hypothesis about social relationships is not a maximum residential population. The human extrapolation and its uncertainty have been challenged directly [2].</w:t>
      </w:r>
    </w:p>
    <w:p>
      <w:pPr>
        <w:spacing w:after="160"/>
      </w:pPr>
      <w:hyperlink r:id="rId9">
        <w:r>
          <w:rPr>
            <w:color w:val="155B88"/>
          </w:rPr>
          <w:t>Original paper or authoritative record</w:t>
        </w:r>
      </w:hyperlink>
    </w:p>
    <w:p>
      <w:pPr>
        <w:pStyle w:val="Heading2"/>
      </w:pPr>
      <w:r>
        <w:t>2  Lindenfors, P., Wartel, A. and Lind, J.  2021</w:t>
      </w:r>
    </w:p>
    <w:p>
      <w:r>
        <w:rPr>
          <w:b/>
        </w:rPr>
        <w:t>‘Dunbar’s number’ deconstructed</w:t>
      </w:r>
    </w:p>
    <w:p>
      <w:pPr>
        <w:spacing w:after="100"/>
      </w:pPr>
      <w:r>
        <w:t>Biology Letters 17, 20210158  |  Statistical reanalysis</w:t>
      </w:r>
    </w:p>
    <w:p>
      <w:r>
        <w:rPr>
          <w:b/>
        </w:rPr>
        <w:t xml:space="preserve">Evidence </w:t>
      </w:r>
      <w:r>
        <w:t>Reanalyses primate brain and group-size data with updated datasets and comparative statistical methods.</w:t>
      </w:r>
    </w:p>
    <w:p>
      <w:r>
        <w:rPr>
          <w:b/>
        </w:rPr>
        <w:t xml:space="preserve">Finding </w:t>
      </w:r>
      <w:r>
        <w:t>Human estimates vary markedly; reported 95% intervals include 4–520 and 2–336 in two analyses.</w:t>
      </w:r>
    </w:p>
    <w:p>
      <w:r>
        <w:rPr>
          <w:b/>
        </w:rPr>
        <w:t xml:space="preserve">Limit </w:t>
      </w:r>
      <w:r>
        <w:t>These are uncertainty intervals for extrapolations, not recommended group-size ranges. The paper challenges a precise universal number; it does not show unlimited social capacity.</w:t>
      </w:r>
    </w:p>
    <w:p>
      <w:pPr>
        <w:spacing w:after="160"/>
      </w:pPr>
      <w:hyperlink r:id="rId10">
        <w:r>
          <w:rPr>
            <w:color w:val="155B88"/>
          </w:rPr>
          <w:t>Original paper or authoritative record</w:t>
        </w:r>
      </w:hyperlink>
      <w:r>
        <w:t xml:space="preserve">   •   </w:t>
      </w:r>
      <w:hyperlink r:id="rId11">
        <w:r>
          <w:rPr>
            <w:color w:val="155B88"/>
          </w:rPr>
          <w:t>Free paper</w:t>
        </w:r>
      </w:hyperlink>
    </w:p>
    <w:p>
      <w:pPr>
        <w:pStyle w:val="Heading2"/>
      </w:pPr>
      <w:r>
        <w:t>3  Hamilton, M. J. et al.  2007</w:t>
      </w:r>
    </w:p>
    <w:p>
      <w:r>
        <w:rPr>
          <w:b/>
        </w:rPr>
        <w:t>The complex structure of hunter–gatherer social networks</w:t>
      </w:r>
    </w:p>
    <w:p>
      <w:pPr>
        <w:spacing w:after="100"/>
      </w:pPr>
      <w:r>
        <w:t>Proceedings of the Royal Society B  |  Cross-cultural quantitative analysis</w:t>
      </w:r>
    </w:p>
    <w:p>
      <w:r>
        <w:rPr>
          <w:b/>
        </w:rPr>
        <w:t xml:space="preserve">Evidence </w:t>
      </w:r>
      <w:r>
        <w:t>Analyses 1,189 social groups in 339 hunter–gatherer societies using a compilation of ethnographies and fractal network theory.</w:t>
      </w:r>
    </w:p>
    <w:p>
      <w:r>
        <w:rPr>
          <w:b/>
        </w:rPr>
        <w:t xml:space="preserve">Finding </w:t>
      </w:r>
      <w:r>
        <w:t>Finds statistical organisation across several social scales rather than a single isolated residential group.</w:t>
      </w:r>
    </w:p>
    <w:p>
      <w:r>
        <w:rPr>
          <w:b/>
        </w:rPr>
        <w:t xml:space="preserve">Limit </w:t>
      </w:r>
      <w:r>
        <w:t>Ethnographic categories and historical sampling affect the results. Modern foraging societies are not unchanged replicas of Palaeolithic populations; compare the critique in [5].</w:t>
      </w:r>
    </w:p>
    <w:p>
      <w:pPr>
        <w:spacing w:after="160"/>
      </w:pPr>
      <w:hyperlink r:id="rId12">
        <w:r>
          <w:rPr>
            <w:color w:val="155B88"/>
          </w:rPr>
          <w:t>Original paper or authoritative record</w:t>
        </w:r>
      </w:hyperlink>
      <w:r>
        <w:t xml:space="preserve">   •   </w:t>
      </w:r>
      <w:hyperlink r:id="rId13">
        <w:r>
          <w:rPr>
            <w:color w:val="155B88"/>
          </w:rPr>
          <w:t>Free paper</w:t>
        </w:r>
      </w:hyperlink>
    </w:p>
    <w:p>
      <w:r>
        <w:br w:type="page"/>
      </w:r>
    </w:p>
    <w:p>
      <w:pPr>
        <w:pStyle w:val="Heading1"/>
      </w:pPr>
      <w:r>
        <w:t>Research catalogue</w:t>
      </w:r>
    </w:p>
    <w:p>
      <w:r>
        <w:t>Sources 4 to 6</w:t>
      </w:r>
    </w:p>
    <w:p>
      <w:pPr>
        <w:pStyle w:val="Heading2"/>
      </w:pPr>
      <w:r>
        <w:t>4  Hill, K. R. et al.  2011</w:t>
      </w:r>
    </w:p>
    <w:p>
      <w:r>
        <w:rPr>
          <w:b/>
        </w:rPr>
        <w:t>Co-residence patterns in hunter-gatherer societies show unique human social structure</w:t>
      </w:r>
    </w:p>
    <w:p>
      <w:pPr>
        <w:spacing w:after="100"/>
      </w:pPr>
      <w:r>
        <w:t>Science 331, 1286–1289  |  Cross-cultural empirical analysis</w:t>
      </w:r>
    </w:p>
    <w:p>
      <w:r>
        <w:rPr>
          <w:b/>
        </w:rPr>
        <w:t xml:space="preserve">Evidence </w:t>
      </w:r>
      <w:r>
        <w:t>Studies 32 present-day foraging societies, covering 5,067 individuals. Mean experienced band size was 28.2 adults.</w:t>
      </w:r>
    </w:p>
    <w:p>
      <w:r>
        <w:rPr>
          <w:b/>
        </w:rPr>
        <w:t xml:space="preserve">Finding </w:t>
      </w:r>
      <w:r>
        <w:t>Most adults in residential groups were genetically unrelated, with flexible residence patterns connecting people to larger networks.</w:t>
      </w:r>
    </w:p>
    <w:p>
      <w:r>
        <w:rPr>
          <w:b/>
        </w:rPr>
        <w:t xml:space="preserve">Limit </w:t>
      </w:r>
      <w:r>
        <w:t>The 28.2 figure counts adults and is a sample mean, not a maximum population or a total including children. Camp size must be distinguished from the wider society.</w:t>
      </w:r>
    </w:p>
    <w:p>
      <w:pPr>
        <w:spacing w:after="160"/>
      </w:pPr>
      <w:hyperlink r:id="rId14">
        <w:r>
          <w:rPr>
            <w:color w:val="155B88"/>
          </w:rPr>
          <w:t>Original paper or authoritative record</w:t>
        </w:r>
      </w:hyperlink>
      <w:r>
        <w:t xml:space="preserve">   •   </w:t>
      </w:r>
      <w:hyperlink r:id="rId15">
        <w:r>
          <w:rPr>
            <w:color w:val="155B88"/>
          </w:rPr>
          <w:t>Abstract and source record</w:t>
        </w:r>
      </w:hyperlink>
    </w:p>
    <w:p>
      <w:pPr>
        <w:pStyle w:val="Heading2"/>
      </w:pPr>
      <w:r>
        <w:t>5  Bird, D. W., Bliege Bird, R., Codding, B. F. and Zeanah, D. W.  2019</w:t>
      </w:r>
    </w:p>
    <w:p>
      <w:r>
        <w:rPr>
          <w:b/>
        </w:rPr>
        <w:t>Variability in the organization and size of hunter-gatherer groups: Foragers do not live in small-scale societies</w:t>
      </w:r>
    </w:p>
    <w:p>
      <w:pPr>
        <w:spacing w:after="100"/>
      </w:pPr>
      <w:r>
        <w:t>Journal of Human Evolution 131, 96–108  |  Ethnographic analysis and model comparison</w:t>
      </w:r>
    </w:p>
    <w:p>
      <w:r>
        <w:rPr>
          <w:b/>
        </w:rPr>
        <w:t xml:space="preserve">Evidence </w:t>
      </w:r>
      <w:r>
        <w:t>Examines flexible residence and foraging networks, including Western Desert Australian social organisation.</w:t>
      </w:r>
    </w:p>
    <w:p>
      <w:r>
        <w:rPr>
          <w:b/>
        </w:rPr>
        <w:t xml:space="preserve">Finding </w:t>
      </w:r>
      <w:r>
        <w:t>Argues that small co-resident groups can draw on extensive networks of relationships rather than nest neatly inside fixed small societies.</w:t>
      </w:r>
    </w:p>
    <w:p>
      <w:r>
        <w:rPr>
          <w:b/>
        </w:rPr>
        <w:t xml:space="preserve">Limit </w:t>
      </w:r>
      <w:r>
        <w:t>A strong corrective to equating a camp with an entire society. It is not a universal replacement population threshold.</w:t>
      </w:r>
    </w:p>
    <w:p>
      <w:pPr>
        <w:spacing w:after="160"/>
      </w:pPr>
      <w:hyperlink r:id="rId16">
        <w:r>
          <w:rPr>
            <w:color w:val="155B88"/>
          </w:rPr>
          <w:t>Original paper or authoritative record</w:t>
        </w:r>
      </w:hyperlink>
      <w:r>
        <w:t xml:space="preserve">   •   </w:t>
      </w:r>
      <w:hyperlink r:id="rId17">
        <w:r>
          <w:rPr>
            <w:color w:val="155B88"/>
          </w:rPr>
          <w:t>Abstract</w:t>
        </w:r>
      </w:hyperlink>
    </w:p>
    <w:p>
      <w:pPr>
        <w:pStyle w:val="Heading2"/>
      </w:pPr>
      <w:r>
        <w:t>6  Lobo, J. et al.  2022</w:t>
      </w:r>
    </w:p>
    <w:p>
      <w:r>
        <w:rPr>
          <w:b/>
        </w:rPr>
        <w:t>Scaling of Hunter-Gatherer Camp Size and Human Sociality</w:t>
      </w:r>
    </w:p>
    <w:p>
      <w:pPr>
        <w:spacing w:after="100"/>
      </w:pPr>
      <w:r>
        <w:t>Current Anthropology 63, 68–94  |  Ethnographic dataset and spatial model</w:t>
      </w:r>
    </w:p>
    <w:p>
      <w:r>
        <w:rPr>
          <w:b/>
        </w:rPr>
        <w:t xml:space="preserve">Evidence </w:t>
      </w:r>
      <w:r>
        <w:t>Compares population and residential area across mobile hunter–gatherer camps and models social interaction and scalar stress.</w:t>
      </w:r>
    </w:p>
    <w:p>
      <w:r>
        <w:rPr>
          <w:b/>
        </w:rPr>
        <w:t xml:space="preserve">Finding </w:t>
      </w:r>
      <w:r>
        <w:t>Shows that how much space a group occupies changes with group size and differs from the pattern in permanent settlements.</w:t>
      </w:r>
    </w:p>
    <w:p>
      <w:r>
        <w:rPr>
          <w:b/>
        </w:rPr>
        <w:t xml:space="preserve">Limit </w:t>
      </w:r>
      <w:r>
        <w:t>Camp layout, mobility and institutions matter. A fitted area–population relationship supplies neither a universal optimum nor an occupancy regulation.</w:t>
      </w:r>
    </w:p>
    <w:p>
      <w:pPr>
        <w:spacing w:after="160"/>
      </w:pPr>
      <w:hyperlink r:id="rId18">
        <w:r>
          <w:rPr>
            <w:color w:val="155B88"/>
          </w:rPr>
          <w:t>Original paper or authoritative record</w:t>
        </w:r>
      </w:hyperlink>
      <w:r>
        <w:t xml:space="preserve">   •   </w:t>
      </w:r>
      <w:hyperlink r:id="rId19">
        <w:r>
          <w:rPr>
            <w:color w:val="155B88"/>
          </w:rPr>
          <w:t>Institutional manuscript</w:t>
        </w:r>
      </w:hyperlink>
    </w:p>
    <w:p>
      <w:r>
        <w:br w:type="page"/>
      </w:r>
    </w:p>
    <w:p>
      <w:pPr>
        <w:pStyle w:val="Heading1"/>
      </w:pPr>
      <w:r>
        <w:t>Research catalogue</w:t>
      </w:r>
    </w:p>
    <w:p>
      <w:r>
        <w:t>Sources 7 to 9</w:t>
      </w:r>
    </w:p>
    <w:p>
      <w:pPr>
        <w:pStyle w:val="Heading2"/>
      </w:pPr>
      <w:r>
        <w:t>7  Derex, M., Beugin, M.-P., Godelle, B. and Raymond, M.  2013</w:t>
      </w:r>
    </w:p>
    <w:p>
      <w:r>
        <w:rPr>
          <w:b/>
        </w:rPr>
        <w:t>Experimental evidence for the influence of group size on cultural complexity</w:t>
      </w:r>
    </w:p>
    <w:p>
      <w:pPr>
        <w:spacing w:after="100"/>
      </w:pPr>
      <w:r>
        <w:t>Nature 503, 389–391  |  Controlled human experiment</w:t>
      </w:r>
    </w:p>
    <w:p>
      <w:r>
        <w:rPr>
          <w:b/>
        </w:rPr>
        <w:t xml:space="preserve">Evidence </w:t>
      </w:r>
      <w:r>
        <w:t>Uses a dual-task computer game to test cultural transmission and skill accumulation in differently sized groups.</w:t>
      </w:r>
    </w:p>
    <w:p>
      <w:r>
        <w:rPr>
          <w:b/>
        </w:rPr>
        <w:t xml:space="preserve">Finding </w:t>
      </w:r>
      <w:r>
        <w:t>The authors report better preservation of complexity, more improvements and greater trait diversity in larger groups.</w:t>
      </w:r>
    </w:p>
    <w:p>
      <w:r>
        <w:rPr>
          <w:b/>
        </w:rPr>
        <w:t xml:space="preserve">Limit </w:t>
      </w:r>
      <w:r>
        <w:t>Task performance cannot establish an ideal town size. The interpretation was disputed by a published reanalysis [8]; the authors also published a reply.</w:t>
      </w:r>
    </w:p>
    <w:p>
      <w:pPr>
        <w:spacing w:after="160"/>
      </w:pPr>
      <w:hyperlink r:id="rId20">
        <w:r>
          <w:rPr>
            <w:color w:val="155B88"/>
          </w:rPr>
          <w:t>Original paper or authoritative record</w:t>
        </w:r>
      </w:hyperlink>
    </w:p>
    <w:p>
      <w:pPr>
        <w:pStyle w:val="Heading2"/>
      </w:pPr>
      <w:r>
        <w:t>8  Andersson, C. and Read, D.  2014</w:t>
      </w:r>
    </w:p>
    <w:p>
      <w:r>
        <w:rPr>
          <w:b/>
        </w:rPr>
        <w:t>Group size and cultural complexity</w:t>
      </w:r>
    </w:p>
    <w:p>
      <w:pPr>
        <w:spacing w:after="100"/>
      </w:pPr>
      <w:r>
        <w:t>Nature 511, E1  |  Published reanalysis and scientific correspondence</w:t>
      </w:r>
    </w:p>
    <w:p>
      <w:r>
        <w:rPr>
          <w:b/>
        </w:rPr>
        <w:t xml:space="preserve">Evidence </w:t>
      </w:r>
      <w:r>
        <w:t>Reexamines the experimental data and interpretation of Derex and colleagues [7].</w:t>
      </w:r>
    </w:p>
    <w:p>
      <w:r>
        <w:rPr>
          <w:b/>
        </w:rPr>
        <w:t xml:space="preserve">Finding </w:t>
      </w:r>
      <w:r>
        <w:t>Argues that a different performance assessment reverses the apparent advantage of larger groups.</w:t>
      </w:r>
    </w:p>
    <w:p>
      <w:r>
        <w:rPr>
          <w:b/>
        </w:rPr>
        <w:t xml:space="preserve">Limit </w:t>
      </w:r>
      <w:r>
        <w:t>This disagreement illustrates why outcome definition matters. It does not establish that smaller communities are universally superior. Read alongside the original experiment and its response.</w:t>
      </w:r>
    </w:p>
    <w:p>
      <w:pPr>
        <w:spacing w:after="160"/>
      </w:pPr>
      <w:hyperlink r:id="rId21">
        <w:r>
          <w:rPr>
            <w:color w:val="155B88"/>
          </w:rPr>
          <w:t>Original paper or authoritative record</w:t>
        </w:r>
      </w:hyperlink>
      <w:r>
        <w:t xml:space="preserve">   •   </w:t>
      </w:r>
      <w:hyperlink r:id="rId22">
        <w:r>
          <w:rPr>
            <w:color w:val="155B88"/>
          </w:rPr>
          <w:t>Derex and colleagues reply</w:t>
        </w:r>
      </w:hyperlink>
    </w:p>
    <w:p>
      <w:pPr>
        <w:pStyle w:val="Heading2"/>
      </w:pPr>
      <w:r>
        <w:t>9  Bocquet-Appel, J.-P.  2011</w:t>
      </w:r>
    </w:p>
    <w:p>
      <w:r>
        <w:rPr>
          <w:b/>
        </w:rPr>
        <w:t>When the world’s population took off: the springboard of the Neolithic Demographic Transition</w:t>
      </w:r>
    </w:p>
    <w:p>
      <w:pPr>
        <w:spacing w:after="100"/>
      </w:pPr>
      <w:r>
        <w:t>Science 333, 560–561  |  Comparative archaeological synthesis</w:t>
      </w:r>
    </w:p>
    <w:p>
      <w:r>
        <w:rPr>
          <w:b/>
        </w:rPr>
        <w:t xml:space="preserve">Evidence </w:t>
      </w:r>
      <w:r>
        <w:t>Examines demographic signals in cemetery age profiles across the transition from foraging to farming.</w:t>
      </w:r>
    </w:p>
    <w:p>
      <w:r>
        <w:rPr>
          <w:b/>
        </w:rPr>
        <w:t xml:space="preserve">Finding </w:t>
      </w:r>
      <w:r>
        <w:t>An increased proportion of juvenile skeletons is interpreted as evidence of rising fertility and population growth.</w:t>
      </w:r>
    </w:p>
    <w:p>
      <w:r>
        <w:rPr>
          <w:b/>
        </w:rPr>
        <w:t xml:space="preserve">Limit </w:t>
      </w:r>
      <w:r>
        <w:t>Burial selection, preservation and age estimation affect cemetery profiles. A larger juvenile fraction is interpreted through a demographic model, not read as a direct census.</w:t>
      </w:r>
    </w:p>
    <w:p>
      <w:pPr>
        <w:spacing w:after="160"/>
      </w:pPr>
      <w:hyperlink r:id="rId23">
        <w:r>
          <w:rPr>
            <w:color w:val="155B88"/>
          </w:rPr>
          <w:t>Original paper or authoritative record</w:t>
        </w:r>
      </w:hyperlink>
    </w:p>
    <w:p>
      <w:r>
        <w:br w:type="page"/>
      </w:r>
    </w:p>
    <w:p>
      <w:pPr>
        <w:pStyle w:val="Heading1"/>
      </w:pPr>
      <w:r>
        <w:t>Research catalogue</w:t>
      </w:r>
    </w:p>
    <w:p>
      <w:r>
        <w:t>Sources 10 to 12</w:t>
      </w:r>
    </w:p>
    <w:p>
      <w:pPr>
        <w:pStyle w:val="Heading2"/>
      </w:pPr>
      <w:r>
        <w:t>10  Shennan, S. et al.  2013</w:t>
      </w:r>
    </w:p>
    <w:p>
      <w:r>
        <w:rPr>
          <w:b/>
        </w:rPr>
        <w:t>Regional population collapse followed initial agriculture booms in mid-Holocene Europe</w:t>
      </w:r>
    </w:p>
    <w:p>
      <w:pPr>
        <w:spacing w:after="100"/>
      </w:pPr>
      <w:r>
        <w:t>Nature Communications 4, 2486  |  Radiocarbon proxy analysis with simulations</w:t>
      </w:r>
    </w:p>
    <w:p>
      <w:r>
        <w:rPr>
          <w:b/>
        </w:rPr>
        <w:t xml:space="preserve">Evidence </w:t>
      </w:r>
      <w:r>
        <w:t>Tests demographic fluctuations in Central and Northwest Europe between 8,000 and 4,000 calibrated years BP.</w:t>
      </w:r>
    </w:p>
    <w:p>
      <w:r>
        <w:rPr>
          <w:b/>
        </w:rPr>
        <w:t xml:space="preserve">Finding </w:t>
      </w:r>
      <w:r>
        <w:t>Finds regional growth and decline after agriculture spread. The climate comparisons in this study did not explain the observed patterns.</w:t>
      </w:r>
    </w:p>
    <w:p>
      <w:r>
        <w:rPr>
          <w:b/>
        </w:rPr>
        <w:t xml:space="preserve">Limit </w:t>
      </w:r>
      <w:r>
        <w:t>The proposed internal causes remain speculative. Relative radiocarbon activity is not an exact headcount, and this study does not identify a universal carrying-capacity ceiling.</w:t>
      </w:r>
    </w:p>
    <w:p>
      <w:pPr>
        <w:spacing w:after="160"/>
      </w:pPr>
      <w:hyperlink r:id="rId24">
        <w:r>
          <w:rPr>
            <w:color w:val="155B88"/>
          </w:rPr>
          <w:t>Original paper or authoritative record</w:t>
        </w:r>
      </w:hyperlink>
      <w:r>
        <w:t xml:space="preserve">   •   </w:t>
      </w:r>
      <w:hyperlink r:id="rId25">
        <w:r>
          <w:rPr>
            <w:color w:val="155B88"/>
          </w:rPr>
          <w:t>Free paper</w:t>
        </w:r>
      </w:hyperlink>
    </w:p>
    <w:p>
      <w:pPr>
        <w:pStyle w:val="Heading2"/>
      </w:pPr>
      <w:r>
        <w:t>11  Downey, S. S., Haas, W. R. and Shennan, S. J.  2016</w:t>
      </w:r>
    </w:p>
    <w:p>
      <w:r>
        <w:rPr>
          <w:b/>
        </w:rPr>
        <w:t>European Neolithic societies showed early warning signals of population collapse</w:t>
      </w:r>
    </w:p>
    <w:p>
      <w:pPr>
        <w:spacing w:after="100"/>
      </w:pPr>
      <w:r>
        <w:t>PNAS  |  Retrospective time-series and model analysis</w:t>
      </w:r>
    </w:p>
    <w:p>
      <w:r>
        <w:rPr>
          <w:b/>
        </w:rPr>
        <w:t xml:space="preserve">Evidence </w:t>
      </w:r>
      <w:r>
        <w:t>Calculates early-warning statistics from summed archaeological radiocarbon date probability densities.</w:t>
      </w:r>
    </w:p>
    <w:p>
      <w:r>
        <w:rPr>
          <w:b/>
        </w:rPr>
        <w:t xml:space="preserve">Finding </w:t>
      </w:r>
      <w:r>
        <w:t>Reports statistical signals consistent with declining resilience before some reconstructed population collapses.</w:t>
      </w:r>
    </w:p>
    <w:p>
      <w:r>
        <w:rPr>
          <w:b/>
        </w:rPr>
        <w:t xml:space="preserve">Limit </w:t>
      </w:r>
      <w:r>
        <w:t>Retrospective signals do not provide a validated forecast for a modern town. Calibration, sampling and dependence in the proxy series require careful treatment [30].</w:t>
      </w:r>
    </w:p>
    <w:p>
      <w:pPr>
        <w:spacing w:after="160"/>
      </w:pPr>
      <w:hyperlink r:id="rId26">
        <w:r>
          <w:rPr>
            <w:color w:val="155B88"/>
          </w:rPr>
          <w:t>Original paper or authoritative record</w:t>
        </w:r>
      </w:hyperlink>
      <w:r>
        <w:t xml:space="preserve">   •   </w:t>
      </w:r>
      <w:hyperlink r:id="rId27">
        <w:r>
          <w:rPr>
            <w:color w:val="155B88"/>
          </w:rPr>
          <w:t>Free paper</w:t>
        </w:r>
      </w:hyperlink>
    </w:p>
    <w:p>
      <w:pPr>
        <w:pStyle w:val="Heading2"/>
      </w:pPr>
      <w:r>
        <w:t>12  Bevan, A. et al.  2017</w:t>
      </w:r>
    </w:p>
    <w:p>
      <w:r>
        <w:rPr>
          <w:b/>
        </w:rPr>
        <w:t>Holocene fluctuations in human population demonstrate repeated links to food production and climate</w:t>
      </w:r>
    </w:p>
    <w:p>
      <w:pPr>
        <w:spacing w:after="100"/>
      </w:pPr>
      <w:r>
        <w:t>PNAS 114, E10524–E10531  |  Radiocarbon and subsistence analysis</w:t>
      </w:r>
    </w:p>
    <w:p>
      <w:r>
        <w:rPr>
          <w:b/>
        </w:rPr>
        <w:t xml:space="preserve">Evidence </w:t>
      </w:r>
      <w:r>
        <w:t>Compares population proxies across Britain and Ireland with climate patterns and directly dated plants and animals.</w:t>
      </w:r>
    </w:p>
    <w:p>
      <w:r>
        <w:rPr>
          <w:b/>
        </w:rPr>
        <w:t xml:space="preserve">Finding </w:t>
      </w:r>
      <w:r>
        <w:t>Finds repeated downturns coinciding with climate reorganisation and shifts in food procurement. Challenges wholly internal explanations of Neolithic boom and bust.</w:t>
      </w:r>
    </w:p>
    <w:p>
      <w:r>
        <w:rPr>
          <w:b/>
        </w:rPr>
        <w:t xml:space="preserve">Limit </w:t>
      </w:r>
      <w:r>
        <w:t>Temporal correspondence and plausible mechanisms do not establish one cause for every decline. A correction exists and should accompany detailed reuse of the study.</w:t>
      </w:r>
    </w:p>
    <w:p>
      <w:pPr>
        <w:spacing w:after="160"/>
      </w:pPr>
      <w:hyperlink r:id="rId28">
        <w:r>
          <w:rPr>
            <w:color w:val="155B88"/>
          </w:rPr>
          <w:t>Original paper or authoritative record</w:t>
        </w:r>
      </w:hyperlink>
      <w:r>
        <w:t xml:space="preserve">   •   </w:t>
      </w:r>
      <w:hyperlink r:id="rId29">
        <w:r>
          <w:rPr>
            <w:color w:val="155B88"/>
          </w:rPr>
          <w:t>Data and analysis</w:t>
        </w:r>
      </w:hyperlink>
    </w:p>
    <w:p>
      <w:r>
        <w:br w:type="page"/>
      </w:r>
    </w:p>
    <w:p>
      <w:pPr>
        <w:pStyle w:val="Heading1"/>
      </w:pPr>
      <w:r>
        <w:t>Research catalogue</w:t>
      </w:r>
    </w:p>
    <w:p>
      <w:r>
        <w:t>Sources 13 to 15</w:t>
      </w:r>
    </w:p>
    <w:p>
      <w:pPr>
        <w:pStyle w:val="Heading2"/>
      </w:pPr>
      <w:r>
        <w:t>13  Larsen, C. S. et al.  2019</w:t>
      </w:r>
    </w:p>
    <w:p>
      <w:r>
        <w:rPr>
          <w:b/>
        </w:rPr>
        <w:t>Bioarchaeology of Neolithic Çatalhöyük reveals fundamental transitions in health, mobility, and lifestyle in early farmers</w:t>
      </w:r>
    </w:p>
    <w:p>
      <w:pPr>
        <w:spacing w:after="100"/>
      </w:pPr>
      <w:r>
        <w:t>PNAS 116, 12615–12623  |  Bioarchaeology and settlement reconstruction</w:t>
      </w:r>
    </w:p>
    <w:p>
      <w:r>
        <w:rPr>
          <w:b/>
        </w:rPr>
        <w:t xml:space="preserve">Evidence </w:t>
      </w:r>
      <w:r>
        <w:t>Combines human remains, settlement context and biogeochemical evidence for approximately 7100–5950 cal BCE in Anatolia.</w:t>
      </w:r>
    </w:p>
    <w:p>
      <w:r>
        <w:rPr>
          <w:b/>
        </w:rPr>
        <w:t xml:space="preserve">Finding </w:t>
      </w:r>
      <w:r>
        <w:t>The paper reports a Middle Period peak estimate of about 3,500–8,000 inhabitants and changing health, labour, mobility and interpersonal conflict across the settlement’s history.</w:t>
      </w:r>
    </w:p>
    <w:p>
      <w:r>
        <w:rPr>
          <w:b/>
        </w:rPr>
        <w:t xml:space="preserve">Limit </w:t>
      </w:r>
      <w:r>
        <w:t>The population range is reconstructed, not counted. Some skeletal lesions are nonspecific; co-occurrence of crowding and harm does not isolate density as the sole cause.</w:t>
      </w:r>
    </w:p>
    <w:p>
      <w:pPr>
        <w:spacing w:after="160"/>
      </w:pPr>
      <w:hyperlink r:id="rId30">
        <w:r>
          <w:rPr>
            <w:color w:val="155B88"/>
          </w:rPr>
          <w:t>Original paper or authoritative record</w:t>
        </w:r>
      </w:hyperlink>
      <w:r>
        <w:t xml:space="preserve">   •   </w:t>
      </w:r>
      <w:hyperlink r:id="rId31">
        <w:r>
          <w:rPr>
            <w:color w:val="155B88"/>
          </w:rPr>
          <w:t>Free paper</w:t>
        </w:r>
      </w:hyperlink>
    </w:p>
    <w:p>
      <w:pPr>
        <w:pStyle w:val="Heading2"/>
      </w:pPr>
      <w:r>
        <w:t>14  Schlütz, F. et al.  2023</w:t>
      </w:r>
    </w:p>
    <w:p>
      <w:r>
        <w:rPr>
          <w:b/>
        </w:rPr>
        <w:t>Isotopes prove advanced, integral crop production, and stockbreeding strategies nourished Trypillia mega-populations</w:t>
      </w:r>
    </w:p>
    <w:p>
      <w:pPr>
        <w:spacing w:after="100"/>
      </w:pPr>
      <w:r>
        <w:t>PNAS 120, e2312962120  |  Stable-isotope and archaeological analysis</w:t>
      </w:r>
    </w:p>
    <w:p>
      <w:r>
        <w:rPr>
          <w:b/>
        </w:rPr>
        <w:t xml:space="preserve">Evidence </w:t>
      </w:r>
      <w:r>
        <w:t>Analyses stable isotopes in archaeological food-system evidence from Copper Age Trypillia communities in eastern Europe.</w:t>
      </w:r>
    </w:p>
    <w:p>
      <w:r>
        <w:rPr>
          <w:b/>
        </w:rPr>
        <w:t xml:space="preserve">Finding </w:t>
      </w:r>
      <w:r>
        <w:t>Supports intensive cultivation, manuring and integrated livestock practices capable of nourishing large settlements.</w:t>
      </w:r>
    </w:p>
    <w:p>
      <w:r>
        <w:rPr>
          <w:b/>
        </w:rPr>
        <w:t xml:space="preserve">Limit </w:t>
      </w:r>
      <w:r>
        <w:t>Stable isotopes inform diet and cultivation; they are not radiocarbon dates or direct population counts. Contemporaneous house occupancy remains a separate issue. A 2024 correction accompanies the paper.</w:t>
      </w:r>
    </w:p>
    <w:p>
      <w:pPr>
        <w:spacing w:after="160"/>
      </w:pPr>
      <w:hyperlink r:id="rId32">
        <w:r>
          <w:rPr>
            <w:color w:val="155B88"/>
          </w:rPr>
          <w:t>Original paper or authoritative record</w:t>
        </w:r>
      </w:hyperlink>
      <w:r>
        <w:t xml:space="preserve">   •   </w:t>
      </w:r>
      <w:hyperlink r:id="rId33">
        <w:r>
          <w:rPr>
            <w:color w:val="155B88"/>
          </w:rPr>
          <w:t>Correction</w:t>
        </w:r>
      </w:hyperlink>
    </w:p>
    <w:p>
      <w:pPr>
        <w:pStyle w:val="Heading2"/>
      </w:pPr>
      <w:r>
        <w:t>15  Bentley, R. A. et al.  2024</w:t>
      </w:r>
    </w:p>
    <w:p>
      <w:r>
        <w:rPr>
          <w:b/>
        </w:rPr>
        <w:t>Modelling cultural responses to disease spread in Neolithic Trypillia mega-settlements</w:t>
      </w:r>
    </w:p>
    <w:p>
      <w:pPr>
        <w:spacing w:after="100"/>
      </w:pPr>
      <w:r>
        <w:t>Journal of the Royal Society Interface 21, 20240313  |  Epidemiological simulation grounded in site layout</w:t>
      </w:r>
    </w:p>
    <w:p>
      <w:r>
        <w:rPr>
          <w:b/>
        </w:rPr>
        <w:t xml:space="preserve">Evidence </w:t>
      </w:r>
      <w:r>
        <w:t>Runs susceptible–infected–recovered–susceptible models on clustered networks and a Trypillia settlement plan, relevant to the fourth millennium BCE.</w:t>
      </w:r>
    </w:p>
    <w:p>
      <w:r>
        <w:rPr>
          <w:b/>
        </w:rPr>
        <w:t xml:space="preserve">Finding </w:t>
      </w:r>
      <w:r>
        <w:t>Lower occupation density or fewer interactions between residential clusters can reduce modelled disease spread.</w:t>
      </w:r>
    </w:p>
    <w:p>
      <w:r>
        <w:rPr>
          <w:b/>
        </w:rPr>
        <w:t xml:space="preserve">Limit </w:t>
      </w:r>
      <w:r>
        <w:t>Model plausibility is not direct proof of an ancient epidemic or deliberate distancing policy. Thresholds depend on the specified pathogen and contact assumptions.</w:t>
      </w:r>
    </w:p>
    <w:p>
      <w:pPr>
        <w:spacing w:after="160"/>
      </w:pPr>
      <w:hyperlink r:id="rId34">
        <w:r>
          <w:rPr>
            <w:color w:val="155B88"/>
          </w:rPr>
          <w:t>Original paper or authoritative record</w:t>
        </w:r>
      </w:hyperlink>
      <w:r>
        <w:t xml:space="preserve">   •   </w:t>
      </w:r>
      <w:hyperlink r:id="rId35">
        <w:r>
          <w:rPr>
            <w:color w:val="155B88"/>
          </w:rPr>
          <w:t>Data and code</w:t>
        </w:r>
      </w:hyperlink>
    </w:p>
    <w:p>
      <w:r>
        <w:br w:type="page"/>
      </w:r>
    </w:p>
    <w:p>
      <w:pPr>
        <w:pStyle w:val="Heading1"/>
      </w:pPr>
      <w:r>
        <w:t>Research catalogue</w:t>
      </w:r>
    </w:p>
    <w:p>
      <w:r>
        <w:t>Sources 16 to 18</w:t>
      </w:r>
    </w:p>
    <w:p>
      <w:pPr>
        <w:pStyle w:val="Heading2"/>
      </w:pPr>
      <w:r>
        <w:t>16  Ortman, S. G., Cabaniss, A. H. F., Sturm, J. O. and Bettencourt, L. M. A.  2014</w:t>
      </w:r>
    </w:p>
    <w:p>
      <w:r>
        <w:rPr>
          <w:b/>
        </w:rPr>
        <w:t>The Pre-History of Urban Scaling</w:t>
      </w:r>
    </w:p>
    <w:p>
      <w:pPr>
        <w:spacing w:after="100"/>
      </w:pPr>
      <w:r>
        <w:t>PLOS ONE 9, e87902  |  Archaeological settlement dataset and scaling model</w:t>
      </w:r>
    </w:p>
    <w:p>
      <w:r>
        <w:rPr>
          <w:b/>
        </w:rPr>
        <w:t>Evidence</w:t>
      </w:r>
      <w:r>
        <w:rPr>
          <w:b w:val="0"/>
        </w:rPr>
        <w:t xml:space="preserve"> Tests estimated population and settled area across approximately 1,500 pre-Hispanic settlements in the Basin of Mexico, spanning four cultural periods.</w:t>
      </w:r>
    </w:p>
    <w:p>
      <w:r>
        <w:rPr>
          <w:b/>
        </w:rPr>
        <w:t>Finding</w:t>
      </w:r>
      <w:r>
        <w:rPr>
          <w:b w:val="0"/>
        </w:rPr>
        <w:t xml:space="preserve"> Finds spatial scaling patterns resembling modern urban systems, connecting social interaction with infrastructure and settlement area. The paper cites Teotihuacan at about 100,000 people and Tenochtitlan-Tlatelolco at about 200,000.</w:t>
      </w:r>
    </w:p>
    <w:p>
      <w:r>
        <w:rPr>
          <w:b/>
        </w:rPr>
        <w:t>Limit</w:t>
      </w:r>
      <w:r>
        <w:rPr>
          <w:b w:val="0"/>
        </w:rPr>
        <w:t xml:space="preserve"> Population estimates and settlement boundaries influence the fitted relationships. Average scaling is not a maximum-size rule or an individual growth trajectory. Priority for the later write-up is recorded near the front of this catalogue.</w:t>
      </w:r>
    </w:p>
    <w:p>
      <w:pPr>
        <w:spacing w:after="160"/>
      </w:pPr>
      <w:hyperlink r:id="rId36">
        <w:r>
          <w:rPr>
            <w:color w:val="155B88"/>
          </w:rPr>
          <w:t>Original paper or authoritative record</w:t>
        </w:r>
      </w:hyperlink>
    </w:p>
    <w:p>
      <w:pPr>
        <w:pStyle w:val="Heading2"/>
      </w:pPr>
      <w:r>
        <w:t>17  Ortman, S. G. et al.  2015</w:t>
      </w:r>
    </w:p>
    <w:p>
      <w:r>
        <w:rPr>
          <w:b/>
        </w:rPr>
        <w:t>Settlement scaling and increasing returns in an ancient society</w:t>
      </w:r>
    </w:p>
    <w:p>
      <w:pPr>
        <w:spacing w:after="100"/>
      </w:pPr>
      <w:r>
        <w:t>Science Advances 1, e1400066  |  Archaeological quantitative analysis</w:t>
      </w:r>
    </w:p>
    <w:p>
      <w:r>
        <w:rPr>
          <w:b/>
        </w:rPr>
        <w:t xml:space="preserve">Evidence </w:t>
      </w:r>
      <w:r>
        <w:t>Examines monuments and house-size evidence from settlements in the pre-Hispanic Basin of Mexico.</w:t>
      </w:r>
    </w:p>
    <w:p>
      <w:r>
        <w:rPr>
          <w:b/>
        </w:rPr>
        <w:t xml:space="preserve">Finding </w:t>
      </w:r>
      <w:r>
        <w:t>Finds patterns consistent with increasing returns to socioeconomic production as settlement population rises.</w:t>
      </w:r>
    </w:p>
    <w:p>
      <w:r>
        <w:rPr>
          <w:b/>
        </w:rPr>
        <w:t xml:space="preserve">Limit </w:t>
      </w:r>
      <w:r>
        <w:t>Output proxies do not measure everybody’s welfare. The findings show why a larger population may confer benefits as well as costs; they do not prove unlimited growth.</w:t>
      </w:r>
    </w:p>
    <w:p>
      <w:pPr>
        <w:spacing w:after="160"/>
      </w:pPr>
      <w:hyperlink r:id="rId37">
        <w:r>
          <w:rPr>
            <w:color w:val="155B88"/>
          </w:rPr>
          <w:t>Original paper or authoritative record</w:t>
        </w:r>
      </w:hyperlink>
      <w:r>
        <w:t xml:space="preserve">   •   </w:t>
      </w:r>
      <w:hyperlink r:id="rId38">
        <w:r>
          <w:rPr>
            <w:color w:val="155B88"/>
          </w:rPr>
          <w:t>Free paper</w:t>
        </w:r>
      </w:hyperlink>
    </w:p>
    <w:p>
      <w:pPr>
        <w:pStyle w:val="Heading2"/>
      </w:pPr>
      <w:r>
        <w:t>18  Axtell, R. L. et al.  2002</w:t>
      </w:r>
    </w:p>
    <w:p>
      <w:r>
        <w:rPr>
          <w:b/>
        </w:rPr>
        <w:t>Population growth and collapse in a multiagent model of the Kayenta Anasazi in Long House Valley</w:t>
      </w:r>
    </w:p>
    <w:p>
      <w:pPr>
        <w:spacing w:after="100"/>
      </w:pPr>
      <w:r>
        <w:t>PNAS 99, 7275–7279  |  Agent-based model tested against archaeological patterns</w:t>
      </w:r>
    </w:p>
    <w:p>
      <w:r>
        <w:rPr>
          <w:b/>
        </w:rPr>
        <w:t xml:space="preserve">Evidence </w:t>
      </w:r>
      <w:r>
        <w:t>Combines settlement records, geomorphology, pollen and tree-ring climate evidence in a 96 km² Arizona valley, focusing on CE 200–1300.</w:t>
      </w:r>
    </w:p>
    <w:p>
      <w:r>
        <w:rPr>
          <w:b/>
        </w:rPr>
        <w:t xml:space="preserve">Finding </w:t>
      </w:r>
      <w:r>
        <w:t>Models households, maize production, settlement decisions and nutritional constraints; reproduces major features of population and spatial change.</w:t>
      </w:r>
    </w:p>
    <w:p>
      <w:r>
        <w:rPr>
          <w:b/>
        </w:rPr>
        <w:t xml:space="preserve">Limit </w:t>
      </w:r>
      <w:r>
        <w:t>A close fit is not unique causal proof. The assumptions about farming, household behaviour and resources restrict transfer to other places.</w:t>
      </w:r>
    </w:p>
    <w:p>
      <w:pPr>
        <w:spacing w:after="160"/>
      </w:pPr>
      <w:hyperlink r:id="rId39">
        <w:r>
          <w:rPr>
            <w:color w:val="155B88"/>
          </w:rPr>
          <w:t>Original paper or authoritative record</w:t>
        </w:r>
      </w:hyperlink>
      <w:r>
        <w:t xml:space="preserve">   •   </w:t>
      </w:r>
      <w:hyperlink r:id="rId40">
        <w:r>
          <w:rPr>
            <w:color w:val="155B88"/>
          </w:rPr>
          <w:t>Free paper</w:t>
        </w:r>
      </w:hyperlink>
    </w:p>
    <w:p>
      <w:r>
        <w:br w:type="page"/>
      </w:r>
    </w:p>
    <w:p>
      <w:pPr>
        <w:pStyle w:val="Heading1"/>
      </w:pPr>
      <w:r>
        <w:t>Research catalogue</w:t>
      </w:r>
    </w:p>
    <w:p>
      <w:r>
        <w:t>Sources 19 to 21</w:t>
      </w:r>
    </w:p>
    <w:p>
      <w:pPr>
        <w:pStyle w:val="Heading2"/>
      </w:pPr>
      <w:r>
        <w:t>19  Kennett, D. J. et al.  2012</w:t>
      </w:r>
    </w:p>
    <w:p>
      <w:r>
        <w:rPr>
          <w:b/>
        </w:rPr>
        <w:t>Development and disintegration of Maya political systems in response to climate change</w:t>
      </w:r>
    </w:p>
    <w:p>
      <w:pPr>
        <w:spacing w:after="100"/>
      </w:pPr>
      <w:r>
        <w:t>Science 338, 788–791  |  Palaeoclimate and historical archaeological comparison</w:t>
      </w:r>
    </w:p>
    <w:p>
      <w:r>
        <w:rPr>
          <w:b/>
        </w:rPr>
        <w:t xml:space="preserve">Evidence </w:t>
      </w:r>
      <w:r>
        <w:t>Compares a precisely dated, subannual cave-climate record from Belize with historical sequences recorded on Maya monuments.</w:t>
      </w:r>
    </w:p>
    <w:p>
      <w:r>
        <w:rPr>
          <w:b/>
        </w:rPr>
        <w:t xml:space="preserve">Finding </w:t>
      </w:r>
      <w:r>
        <w:t>Associates wetter conditions with expansion and later drying with political fragmentation and decline during parts of the first and early second millennia CE.</w:t>
      </w:r>
    </w:p>
    <w:p>
      <w:r>
        <w:rPr>
          <w:b/>
        </w:rPr>
        <w:t xml:space="preserve">Limit </w:t>
      </w:r>
      <w:r>
        <w:t>Regional timing varies. The study’s causal interpretation should not be treated as a universal account of Maya history or evidence that a particular headcount was exceeded.</w:t>
      </w:r>
    </w:p>
    <w:p>
      <w:pPr>
        <w:spacing w:after="160"/>
      </w:pPr>
      <w:hyperlink r:id="rId41">
        <w:r>
          <w:rPr>
            <w:color w:val="155B88"/>
          </w:rPr>
          <w:t>Original paper or authoritative record</w:t>
        </w:r>
      </w:hyperlink>
    </w:p>
    <w:p>
      <w:pPr>
        <w:pStyle w:val="Heading2"/>
      </w:pPr>
      <w:r>
        <w:t>20  Klassen, S. et al.  2021</w:t>
      </w:r>
    </w:p>
    <w:p>
      <w:r>
        <w:rPr>
          <w:b/>
        </w:rPr>
        <w:t>Diachronic modeling of the population within the medieval Greater Angkor Region settlement complex</w:t>
      </w:r>
    </w:p>
    <w:p>
      <w:pPr>
        <w:spacing w:after="100"/>
      </w:pPr>
      <w:r>
        <w:t>Science Advances 7, eabf8441  |  Lidar and archaeological demographic modelling</w:t>
      </w:r>
    </w:p>
    <w:p>
      <w:r>
        <w:rPr>
          <w:b/>
        </w:rPr>
        <w:t xml:space="preserve">Evidence </w:t>
      </w:r>
      <w:r>
        <w:t>Combines lidar, excavation, radiocarbon dates and machine learning to reconstruct settlement growth in medieval Cambodia.</w:t>
      </w:r>
    </w:p>
    <w:p>
      <w:r>
        <w:rPr>
          <w:b/>
        </w:rPr>
        <w:t xml:space="preserve">Finding </w:t>
      </w:r>
      <w:r>
        <w:t>Estimates approximately 700,000–900,000 inhabitants in the Greater Angkor Region at its thirteenth-century peak.</w:t>
      </w:r>
    </w:p>
    <w:p>
      <w:r>
        <w:rPr>
          <w:b/>
        </w:rPr>
        <w:t xml:space="preserve">Limit </w:t>
      </w:r>
      <w:r>
        <w:t>This refers to an extensive settlement region, not a single tightly packed neighbourhood. Household assumptions and spatial boundaries affect the estimate; it is not a demonstrated optimum.</w:t>
      </w:r>
    </w:p>
    <w:p>
      <w:pPr>
        <w:spacing w:after="160"/>
      </w:pPr>
      <w:hyperlink r:id="rId42">
        <w:r>
          <w:rPr>
            <w:color w:val="155B88"/>
          </w:rPr>
          <w:t>Original paper or authoritative record</w:t>
        </w:r>
      </w:hyperlink>
      <w:r>
        <w:t xml:space="preserve">   •   </w:t>
      </w:r>
      <w:hyperlink r:id="rId43">
        <w:r>
          <w:rPr>
            <w:color w:val="155B88"/>
          </w:rPr>
          <w:t>Free paper</w:t>
        </w:r>
      </w:hyperlink>
    </w:p>
    <w:p>
      <w:pPr>
        <w:pStyle w:val="Heading2"/>
      </w:pPr>
      <w:r>
        <w:t>21  Davis, D. S. et al.  2024</w:t>
      </w:r>
    </w:p>
    <w:p>
      <w:r>
        <w:rPr>
          <w:b/>
        </w:rPr>
        <w:t>Island-wide characterization of agricultural production challenges the demographic collapse hypothesis for Rapa Nui (Easter Island)</w:t>
      </w:r>
    </w:p>
    <w:p>
      <w:pPr>
        <w:spacing w:after="100"/>
      </w:pPr>
      <w:r>
        <w:t>Science Advances 10, eado1459  |  Remote sensing and agricultural-capacity reconstruction</w:t>
      </w:r>
    </w:p>
    <w:p>
      <w:r>
        <w:rPr>
          <w:b/>
        </w:rPr>
        <w:t xml:space="preserve">Evidence </w:t>
      </w:r>
      <w:r>
        <w:t>Uses shortwave infrared satellite imagery and machine learning to estimate island-wide rock-garden extent.</w:t>
      </w:r>
    </w:p>
    <w:p>
      <w:r>
        <w:rPr>
          <w:b/>
        </w:rPr>
        <w:t xml:space="preserve">Finding </w:t>
      </w:r>
      <w:r>
        <w:t>Finds less agricultural infrastructure than some earlier estimates, challenging the assumed large pre-contact population underlying a common collapse narrative.</w:t>
      </w:r>
    </w:p>
    <w:p>
      <w:r>
        <w:rPr>
          <w:b/>
        </w:rPr>
        <w:t xml:space="preserve">Limit </w:t>
      </w:r>
      <w:r>
        <w:t>Crop yield, diet, classification error and other food sources affect capacity estimates. This is a specific test of Rapa Nui claims, not proof that resource overshoot never occurs.</w:t>
      </w:r>
    </w:p>
    <w:p>
      <w:pPr>
        <w:spacing w:after="160"/>
      </w:pPr>
      <w:hyperlink r:id="rId44">
        <w:r>
          <w:rPr>
            <w:color w:val="155B88"/>
          </w:rPr>
          <w:t>Original paper or authoritative record</w:t>
        </w:r>
      </w:hyperlink>
      <w:r>
        <w:t xml:space="preserve">   •   </w:t>
      </w:r>
      <w:hyperlink r:id="rId45">
        <w:r>
          <w:rPr>
            <w:color w:val="155B88"/>
          </w:rPr>
          <w:t>Open dataset</w:t>
        </w:r>
      </w:hyperlink>
    </w:p>
    <w:p>
      <w:r>
        <w:br w:type="page"/>
      </w:r>
    </w:p>
    <w:p>
      <w:pPr>
        <w:pStyle w:val="Heading1"/>
      </w:pPr>
      <w:r>
        <w:t>Research catalogue</w:t>
      </w:r>
    </w:p>
    <w:p>
      <w:r>
        <w:t>Sources 22 to 24</w:t>
      </w:r>
    </w:p>
    <w:p>
      <w:pPr>
        <w:pStyle w:val="Heading2"/>
      </w:pPr>
      <w:r>
        <w:t>22  Moreno-Mayar, J. V. et al.  2024</w:t>
      </w:r>
    </w:p>
    <w:p>
      <w:r>
        <w:rPr>
          <w:b/>
        </w:rPr>
        <w:t>Ancient Rapanui genomes reveal resilience and pre-European contact with the Americas</w:t>
      </w:r>
    </w:p>
    <w:p>
      <w:pPr>
        <w:spacing w:after="100"/>
      </w:pPr>
      <w:r>
        <w:t>Nature  |  Ancient DNA and radiocarbon dating</w:t>
      </w:r>
    </w:p>
    <w:p>
      <w:r>
        <w:rPr>
          <w:b/>
        </w:rPr>
        <w:t xml:space="preserve">Evidence </w:t>
      </w:r>
      <w:r>
        <w:t>Sequences genomes from 15 ancient Rapanui individuals, radiocarbon dated to CE 1670–1950, and models earlier population history.</w:t>
      </w:r>
    </w:p>
    <w:p>
      <w:r>
        <w:rPr>
          <w:b/>
        </w:rPr>
        <w:t xml:space="preserve">Finding </w:t>
      </w:r>
      <w:r>
        <w:t>Finds no genetic evidence for the proposed severe seventeenth-century population collapse.</w:t>
      </w:r>
    </w:p>
    <w:p>
      <w:r>
        <w:rPr>
          <w:b/>
        </w:rPr>
        <w:t xml:space="preserve">Limit </w:t>
      </w:r>
      <w:r>
        <w:t>Genetic effective population size is not census population. Inferences depend on sampling and demographic models; absence of a bottleneck signal does not exclude every local or short-lived hardship.</w:t>
      </w:r>
    </w:p>
    <w:p>
      <w:pPr>
        <w:spacing w:after="160"/>
      </w:pPr>
      <w:hyperlink r:id="rId46">
        <w:r>
          <w:rPr>
            <w:color w:val="155B88"/>
          </w:rPr>
          <w:t>Original paper or authoritative record</w:t>
        </w:r>
      </w:hyperlink>
      <w:r>
        <w:t xml:space="preserve">   •   </w:t>
      </w:r>
      <w:hyperlink r:id="rId47">
        <w:r>
          <w:rPr>
            <w:color w:val="155B88"/>
          </w:rPr>
          <w:t>Free paper</w:t>
        </w:r>
      </w:hyperlink>
    </w:p>
    <w:p>
      <w:pPr>
        <w:pStyle w:val="Heading2"/>
      </w:pPr>
      <w:r>
        <w:t>23  Turchin, P. et al.  2018</w:t>
      </w:r>
    </w:p>
    <w:p>
      <w:r>
        <w:rPr>
          <w:b/>
        </w:rPr>
        <w:t>Quantitative historical analysis uncovers a single dimension of complexity that structures global variation in human social organization</w:t>
      </w:r>
    </w:p>
    <w:p>
      <w:pPr>
        <w:spacing w:after="100"/>
      </w:pPr>
      <w:r>
        <w:t>PNAS  |  Comparative historical database analysis</w:t>
      </w:r>
    </w:p>
    <w:p>
      <w:r>
        <w:rPr>
          <w:b/>
        </w:rPr>
        <w:t xml:space="preserve">Evidence </w:t>
      </w:r>
      <w:r>
        <w:t>Uses Seshat historical and archaeological coding and principal-component analysis to compare dimensions of social organisation across world regions.</w:t>
      </w:r>
    </w:p>
    <w:p>
      <w:r>
        <w:rPr>
          <w:b/>
        </w:rPr>
        <w:t xml:space="preserve">Finding </w:t>
      </w:r>
      <w:r>
        <w:t>Finds strong covariation between social scale, governance, economic organisation and information systems.</w:t>
      </w:r>
    </w:p>
    <w:p>
      <w:r>
        <w:rPr>
          <w:b/>
        </w:rPr>
        <w:t xml:space="preserve">Limit </w:t>
      </w:r>
      <w:r>
        <w:t>Results depend on coding, missing evidence and variable choice. A shared statistical dimension does not prove an inevitable evolutionary ladder or establish a population ceiling. Published online in 2017; journal issue in 2018.</w:t>
      </w:r>
    </w:p>
    <w:p>
      <w:pPr>
        <w:spacing w:after="160"/>
      </w:pPr>
      <w:hyperlink r:id="rId48">
        <w:r>
          <w:rPr>
            <w:color w:val="155B88"/>
          </w:rPr>
          <w:t>Original paper or authoritative record</w:t>
        </w:r>
      </w:hyperlink>
      <w:r>
        <w:t xml:space="preserve">   •   </w:t>
      </w:r>
      <w:hyperlink r:id="rId49">
        <w:r>
          <w:rPr>
            <w:color w:val="155B88"/>
          </w:rPr>
          <w:t>Free paper</w:t>
        </w:r>
      </w:hyperlink>
    </w:p>
    <w:p>
      <w:pPr>
        <w:pStyle w:val="Heading2"/>
      </w:pPr>
      <w:r>
        <w:t>24  Reimer, P. J. et al.  2020</w:t>
      </w:r>
    </w:p>
    <w:p>
      <w:r>
        <w:rPr>
          <w:b/>
        </w:rPr>
        <w:t>The IntCal20 Northern Hemisphere Radiocarbon Age Calibration Curve (0–55 cal kBP)</w:t>
      </w:r>
    </w:p>
    <w:p>
      <w:pPr>
        <w:spacing w:after="100"/>
      </w:pPr>
      <w:r>
        <w:t>Radiocarbon 62, 725–757  |  Calibration reference and methods</w:t>
      </w:r>
    </w:p>
    <w:p>
      <w:r>
        <w:rPr>
          <w:b/>
        </w:rPr>
        <w:t xml:space="preserve">Evidence </w:t>
      </w:r>
      <w:r>
        <w:t>Integrates independently dated evidence, including tree rings and other archives, to calibrate Northern Hemisphere radiocarbon measurements.</w:t>
      </w:r>
    </w:p>
    <w:p>
      <w:r>
        <w:rPr>
          <w:b/>
        </w:rPr>
        <w:t xml:space="preserve">Finding </w:t>
      </w:r>
      <w:r>
        <w:t>Provides the conversion from radiocarbon age to calendar-age probability over a range extending to 55,000 calibrated years BP.</w:t>
      </w:r>
    </w:p>
    <w:p>
      <w:r>
        <w:rPr>
          <w:b/>
        </w:rPr>
        <w:t xml:space="preserve">Limit </w:t>
      </w:r>
      <w:r>
        <w:t>Calibration does not remove all uncertainty. Geographic and marine-reservoir effects require appropriate treatment. Dating an organic sample does not directly date every associated structure or count residents.</w:t>
      </w:r>
    </w:p>
    <w:p>
      <w:pPr>
        <w:spacing w:after="160"/>
      </w:pPr>
      <w:hyperlink r:id="rId50">
        <w:r>
          <w:rPr>
            <w:color w:val="155B88"/>
          </w:rPr>
          <w:t>Original paper or authoritative record</w:t>
        </w:r>
      </w:hyperlink>
    </w:p>
    <w:p>
      <w:r>
        <w:br w:type="page"/>
      </w:r>
    </w:p>
    <w:p>
      <w:pPr>
        <w:pStyle w:val="Heading1"/>
      </w:pPr>
      <w:r>
        <w:t>Research catalogue</w:t>
      </w:r>
    </w:p>
    <w:p>
      <w:r>
        <w:t>Sources 25 to 27</w:t>
      </w:r>
    </w:p>
    <w:p>
      <w:pPr>
        <w:pStyle w:val="Heading2"/>
      </w:pPr>
      <w:r>
        <w:t>25  Bronk Ramsey, C.  2009</w:t>
      </w:r>
    </w:p>
    <w:p>
      <w:r>
        <w:rPr>
          <w:b/>
        </w:rPr>
        <w:t>Bayesian Analysis of Radiocarbon Dates</w:t>
      </w:r>
    </w:p>
    <w:p>
      <w:pPr>
        <w:spacing w:after="100"/>
      </w:pPr>
      <w:r>
        <w:t>Radiocarbon 51, 337–360  |  Chronological modelling methods</w:t>
      </w:r>
    </w:p>
    <w:p>
      <w:r>
        <w:rPr>
          <w:b/>
        </w:rPr>
        <w:t xml:space="preserve">Evidence </w:t>
      </w:r>
      <w:r>
        <w:t>Presents Bayesian models that combine radiocarbon evidence with archaeological ordering, phases and other prior information using OxCal.</w:t>
      </w:r>
    </w:p>
    <w:p>
      <w:r>
        <w:rPr>
          <w:b/>
        </w:rPr>
        <w:t xml:space="preserve">Finding </w:t>
      </w:r>
      <w:r>
        <w:t>Allows explicit estimation of event timing, occupation phases and durations rather than reliance on isolated date midpoints.</w:t>
      </w:r>
    </w:p>
    <w:p>
      <w:r>
        <w:rPr>
          <w:b/>
        </w:rPr>
        <w:t xml:space="preserve">Limit </w:t>
      </w:r>
      <w:r>
        <w:t>Modelled precision depends on the correctness of context and ordering assumptions. Check outliers, model agreement and sensitivity before deciding that buildings were occupied simultaneously.</w:t>
      </w:r>
    </w:p>
    <w:p>
      <w:pPr>
        <w:spacing w:after="160"/>
      </w:pPr>
      <w:hyperlink r:id="rId51">
        <w:r>
          <w:rPr>
            <w:color w:val="155B88"/>
          </w:rPr>
          <w:t>Original paper or authoritative record</w:t>
        </w:r>
      </w:hyperlink>
    </w:p>
    <w:p>
      <w:pPr>
        <w:pStyle w:val="Heading2"/>
      </w:pPr>
      <w:r>
        <w:t>26  Surovell, T. A. et al.  2009</w:t>
      </w:r>
    </w:p>
    <w:p>
      <w:r>
        <w:rPr>
          <w:b/>
        </w:rPr>
        <w:t>Correcting temporal frequency distributions for taphonomic bias</w:t>
      </w:r>
    </w:p>
    <w:p>
      <w:pPr>
        <w:spacing w:after="100"/>
      </w:pPr>
      <w:r>
        <w:t>Journal of Archaeological Science 36, 1715–1724  |  Preservation-bias model</w:t>
      </w:r>
    </w:p>
    <w:p>
      <w:r>
        <w:rPr>
          <w:b/>
        </w:rPr>
        <w:t xml:space="preserve">Evidence </w:t>
      </w:r>
      <w:r>
        <w:t>Uses dated geological deposits to investigate how time-dependent loss of evidence changes archaeological frequency distributions.</w:t>
      </w:r>
    </w:p>
    <w:p>
      <w:r>
        <w:rPr>
          <w:b/>
        </w:rPr>
        <w:t xml:space="preserve">Finding </w:t>
      </w:r>
      <w:r>
        <w:t>Shows why an apparent increase toward the present can arise partly because older evidence has been destroyed or buried.</w:t>
      </w:r>
    </w:p>
    <w:p>
      <w:r>
        <w:rPr>
          <w:b/>
        </w:rPr>
        <w:t xml:space="preserve">Limit </w:t>
      </w:r>
      <w:r>
        <w:t>A general correction may not match a particular local landscape or material. Preservation processes must be tested, not treated as a universally solved adjustment.</w:t>
      </w:r>
    </w:p>
    <w:p>
      <w:pPr>
        <w:spacing w:after="160"/>
      </w:pPr>
      <w:hyperlink r:id="rId52">
        <w:r>
          <w:rPr>
            <w:color w:val="155B88"/>
          </w:rPr>
          <w:t>Original paper or authoritative record</w:t>
        </w:r>
      </w:hyperlink>
      <w:r>
        <w:t xml:space="preserve">   •   </w:t>
      </w:r>
      <w:hyperlink r:id="rId53">
        <w:r>
          <w:rPr>
            <w:color w:val="155B88"/>
          </w:rPr>
          <w:t>Institutional PDF</w:t>
        </w:r>
      </w:hyperlink>
    </w:p>
    <w:p>
      <w:pPr>
        <w:pStyle w:val="Heading2"/>
      </w:pPr>
      <w:r>
        <w:t>27  Williams, A. N.  2012</w:t>
      </w:r>
    </w:p>
    <w:p>
      <w:r>
        <w:rPr>
          <w:b/>
        </w:rPr>
        <w:t>The use of summed radiocarbon probability distributions in archaeology: a review of methods</w:t>
      </w:r>
    </w:p>
    <w:p>
      <w:pPr>
        <w:spacing w:after="100"/>
      </w:pPr>
      <w:r>
        <w:t>Journal of Archaeological Science  |  Methods review with empirical testing</w:t>
      </w:r>
    </w:p>
    <w:p>
      <w:r>
        <w:rPr>
          <w:b/>
        </w:rPr>
        <w:t xml:space="preserve">Evidence </w:t>
      </w:r>
      <w:r>
        <w:t>Uses 2,996 Australian archaeological radiocarbon dates to explore sample size, calibration effects and preservation corrections.</w:t>
      </w:r>
    </w:p>
    <w:p>
      <w:r>
        <w:rPr>
          <w:b/>
        </w:rPr>
        <w:t xml:space="preserve">Finding </w:t>
      </w:r>
      <w:r>
        <w:t>Demonstrates that date-series construction choices can materially change inferred population patterns.</w:t>
      </w:r>
    </w:p>
    <w:p>
      <w:r>
        <w:rPr>
          <w:b/>
        </w:rPr>
        <w:t xml:space="preserve">Limit </w:t>
      </w:r>
      <w:r>
        <w:t>Its proposed numerical rules, including minimum sample sizes and smoothing windows, are recommendations from a particular analysis, not timeless universal standards. Read with later work [29–31].</w:t>
      </w:r>
    </w:p>
    <w:p>
      <w:pPr>
        <w:spacing w:after="160"/>
      </w:pPr>
      <w:hyperlink r:id="rId54">
        <w:r>
          <w:rPr>
            <w:color w:val="155B88"/>
          </w:rPr>
          <w:t>Original paper or authoritative record</w:t>
        </w:r>
      </w:hyperlink>
    </w:p>
    <w:p>
      <w:r>
        <w:br w:type="page"/>
      </w:r>
    </w:p>
    <w:p>
      <w:pPr>
        <w:pStyle w:val="Heading1"/>
      </w:pPr>
      <w:r>
        <w:t>Research catalogue</w:t>
      </w:r>
    </w:p>
    <w:p>
      <w:r>
        <w:t>Sources 28 to 30</w:t>
      </w:r>
    </w:p>
    <w:p>
      <w:pPr>
        <w:pStyle w:val="Heading2"/>
      </w:pPr>
      <w:r>
        <w:t>28  Timpson, A. et al.  2014</w:t>
      </w:r>
    </w:p>
    <w:p>
      <w:r>
        <w:rPr>
          <w:b/>
        </w:rPr>
        <w:t>Reconstructing regional population fluctuations in the European Neolithic using radiocarbon dates: a new case-study using an improved method</w:t>
      </w:r>
    </w:p>
    <w:p>
      <w:pPr>
        <w:spacing w:after="100"/>
      </w:pPr>
      <w:r>
        <w:t>Journal of Archaeological Science 52, 549–557  |  Statistical methods and archaeological application</w:t>
      </w:r>
    </w:p>
    <w:p>
      <w:r>
        <w:rPr>
          <w:b/>
        </w:rPr>
        <w:t xml:space="preserve">Evidence </w:t>
      </w:r>
      <w:r>
        <w:t>Tests population-proxy fluctuations in 12 European regions between approximately 8,000 and 4,000 years BP.</w:t>
      </w:r>
    </w:p>
    <w:p>
      <w:r>
        <w:rPr>
          <w:b/>
        </w:rPr>
        <w:t xml:space="preserve">Finding </w:t>
      </w:r>
      <w:r>
        <w:t>Improves statistical testing of radiocarbon distributions and regional departures from demographic expectations.</w:t>
      </w:r>
    </w:p>
    <w:p>
      <w:r>
        <w:rPr>
          <w:b/>
        </w:rPr>
        <w:t xml:space="preserve">Limit </w:t>
      </w:r>
      <w:r>
        <w:t>Significance is conditional on the chosen null model and sampling treatment. It does not convert a probability distribution into exact population counts.</w:t>
      </w:r>
    </w:p>
    <w:p>
      <w:pPr>
        <w:spacing w:after="160"/>
      </w:pPr>
      <w:hyperlink r:id="rId55">
        <w:r>
          <w:rPr>
            <w:color w:val="155B88"/>
          </w:rPr>
          <w:t>Original paper or authoritative record</w:t>
        </w:r>
      </w:hyperlink>
      <w:r>
        <w:t xml:space="preserve">   •   </w:t>
      </w:r>
      <w:hyperlink r:id="rId56">
        <w:r>
          <w:rPr>
            <w:color w:val="155B88"/>
          </w:rPr>
          <w:t>Institutional PDF</w:t>
        </w:r>
      </w:hyperlink>
    </w:p>
    <w:p>
      <w:pPr>
        <w:pStyle w:val="Heading2"/>
      </w:pPr>
      <w:r>
        <w:t>29  Contreras, D. A. and Meadows, J.  2014</w:t>
      </w:r>
    </w:p>
    <w:p>
      <w:r>
        <w:rPr>
          <w:b/>
        </w:rPr>
        <w:t>Summed radiocarbon calibrations as a population proxy: a critical evaluation using a realistic simulation approach</w:t>
      </w:r>
    </w:p>
    <w:p>
      <w:pPr>
        <w:spacing w:after="100"/>
      </w:pPr>
      <w:r>
        <w:t>Journal of Archaeological Science 52, 591–608  |  Simulation-based methodological critique</w:t>
      </w:r>
    </w:p>
    <w:p>
      <w:r>
        <w:rPr>
          <w:b/>
        </w:rPr>
        <w:t xml:space="preserve">Evidence </w:t>
      </w:r>
      <w:r>
        <w:t>Simulates the relationship between known demographic histories and recovered summed radiocarbon distributions.</w:t>
      </w:r>
    </w:p>
    <w:p>
      <w:r>
        <w:rPr>
          <w:b/>
        </w:rPr>
        <w:t xml:space="preserve">Finding </w:t>
      </w:r>
      <w:r>
        <w:t>Tests whether population signals survive the production, preservation, discovery and dating processes that create archaeological samples.</w:t>
      </w:r>
    </w:p>
    <w:p>
      <w:r>
        <w:rPr>
          <w:b/>
        </w:rPr>
        <w:t xml:space="preserve">Limit </w:t>
      </w:r>
      <w:r>
        <w:t>Visible peaks and troughs require formal validation. A demographic explanation cannot be assumed merely because a curve looks like growth and collapse.</w:t>
      </w:r>
    </w:p>
    <w:p>
      <w:pPr>
        <w:spacing w:after="160"/>
      </w:pPr>
      <w:hyperlink r:id="rId57">
        <w:r>
          <w:rPr>
            <w:color w:val="155B88"/>
          </w:rPr>
          <w:t>Original paper or authoritative record</w:t>
        </w:r>
      </w:hyperlink>
      <w:r>
        <w:t xml:space="preserve">   •   </w:t>
      </w:r>
      <w:hyperlink r:id="rId58">
        <w:r>
          <w:rPr>
            <w:color w:val="155B88"/>
          </w:rPr>
          <w:t>Author manuscript</w:t>
        </w:r>
      </w:hyperlink>
    </w:p>
    <w:p>
      <w:pPr>
        <w:pStyle w:val="Heading2"/>
      </w:pPr>
      <w:r>
        <w:t>30  Crema, E. R.  2022</w:t>
      </w:r>
    </w:p>
    <w:p>
      <w:r>
        <w:rPr>
          <w:b/>
        </w:rPr>
        <w:t>Statistical Inference of Prehistoric Demography from Frequency Distributions of Radiocarbon Dates: A Review and a Guide for the Perplexed</w:t>
      </w:r>
    </w:p>
    <w:p>
      <w:pPr>
        <w:spacing w:after="100"/>
      </w:pPr>
      <w:r>
        <w:t>Journal of Archaeological Method and Theory 29, 1387–1418  |  Critical methods review</w:t>
      </w:r>
    </w:p>
    <w:p>
      <w:r>
        <w:rPr>
          <w:b/>
        </w:rPr>
        <w:t xml:space="preserve">Evidence </w:t>
      </w:r>
      <w:r>
        <w:t>Compares reconstruction, null-hypothesis tests and model-fitting approaches to radiocarbon population inference.</w:t>
      </w:r>
    </w:p>
    <w:p>
      <w:r>
        <w:rPr>
          <w:b/>
        </w:rPr>
        <w:t xml:space="preserve">Finding </w:t>
      </w:r>
      <w:r>
        <w:t>Explains why sampling, calibration and ambiguity about what is being counted can generate misleading demographic patterns.</w:t>
      </w:r>
    </w:p>
    <w:p>
      <w:r>
        <w:rPr>
          <w:b/>
        </w:rPr>
        <w:t xml:space="preserve">Limit </w:t>
      </w:r>
      <w:r>
        <w:t>A useful quality-control reference for this whole catalogue. It explains both the promise and the limitations of the methods rather than rejecting all archaeological demographic inference.</w:t>
      </w:r>
    </w:p>
    <w:p>
      <w:pPr>
        <w:spacing w:after="160"/>
      </w:pPr>
      <w:hyperlink r:id="rId59">
        <w:r>
          <w:rPr>
            <w:color w:val="155B88"/>
          </w:rPr>
          <w:t>Original paper or authoritative record</w:t>
        </w:r>
      </w:hyperlink>
    </w:p>
    <w:p>
      <w:r>
        <w:br w:type="page"/>
      </w:r>
    </w:p>
    <w:p>
      <w:pPr>
        <w:pStyle w:val="Heading1"/>
      </w:pPr>
      <w:r>
        <w:t>Research catalogue</w:t>
      </w:r>
    </w:p>
    <w:p>
      <w:r>
        <w:t>Sources 31 to 33</w:t>
      </w:r>
    </w:p>
    <w:p>
      <w:pPr>
        <w:pStyle w:val="Heading2"/>
      </w:pPr>
      <w:r>
        <w:t>31  Crema, E. R. and Bevan, A.  2021</w:t>
      </w:r>
    </w:p>
    <w:p>
      <w:r>
        <w:rPr>
          <w:b/>
        </w:rPr>
        <w:t>Inference from Large Sets of Radiocarbon Dates: Software and Methods</w:t>
      </w:r>
    </w:p>
    <w:p>
      <w:pPr>
        <w:spacing w:after="100"/>
      </w:pPr>
      <w:r>
        <w:t>Radiocarbon  |  Reproducible software and methods paper</w:t>
      </w:r>
    </w:p>
    <w:p>
      <w:r>
        <w:rPr>
          <w:b/>
        </w:rPr>
        <w:t xml:space="preserve">Evidence </w:t>
      </w:r>
      <w:r>
        <w:t>Introduces rcarbon tools for calibration, aggregation, statistical tests and spatial analysis of radiocarbon datasets.</w:t>
      </w:r>
    </w:p>
    <w:p>
      <w:r>
        <w:rPr>
          <w:b/>
        </w:rPr>
        <w:t xml:space="preserve">Finding </w:t>
      </w:r>
      <w:r>
        <w:t>Provides practical methods for transparent analysis and comparison of archaeological date collections.</w:t>
      </w:r>
    </w:p>
    <w:p>
      <w:r>
        <w:rPr>
          <w:b/>
        </w:rPr>
        <w:t xml:space="preserve">Limit </w:t>
      </w:r>
      <w:r>
        <w:t>Software does not establish the validity of a population proxy. Preserve raw data, context, calibration settings, binning choices and code; test how reasonable alternatives change conclusions.</w:t>
      </w:r>
    </w:p>
    <w:p>
      <w:pPr>
        <w:spacing w:after="160"/>
      </w:pPr>
      <w:hyperlink r:id="rId60">
        <w:r>
          <w:rPr>
            <w:color w:val="155B88"/>
          </w:rPr>
          <w:t>Original paper or authoritative record</w:t>
        </w:r>
      </w:hyperlink>
    </w:p>
    <w:p>
      <w:pPr>
        <w:pStyle w:val="Heading2"/>
      </w:pPr>
      <w:r>
        <w:t>32  Stokols, D.  1972</w:t>
      </w:r>
    </w:p>
    <w:p>
      <w:r>
        <w:rPr>
          <w:b/>
        </w:rPr>
        <w:t>On the distinction between density and crowding: Some implications for future research</w:t>
      </w:r>
    </w:p>
    <w:p>
      <w:pPr>
        <w:spacing w:after="100"/>
      </w:pPr>
      <w:r>
        <w:t>Psychological Review 79, 275–277  |  Conceptual scientific paper</w:t>
      </w:r>
    </w:p>
    <w:p>
      <w:r>
        <w:rPr>
          <w:b/>
        </w:rPr>
        <w:t xml:space="preserve">Evidence </w:t>
      </w:r>
      <w:r>
        <w:t>Separates objective density from the psychological experience of crowding.</w:t>
      </w:r>
    </w:p>
    <w:p>
      <w:r>
        <w:rPr>
          <w:b/>
        </w:rPr>
        <w:t xml:space="preserve">Finding </w:t>
      </w:r>
      <w:r>
        <w:t>Establishes why people per unit area and experienced lack of space or control should be measured separately.</w:t>
      </w:r>
    </w:p>
    <w:p>
      <w:r>
        <w:rPr>
          <w:b/>
        </w:rPr>
        <w:t xml:space="preserve">Limit </w:t>
      </w:r>
      <w:r>
        <w:t>This is a foundational conceptual distinction, not an experiment establishing a threshold. It should guide the selection of empirical outcomes and explanatory variables.</w:t>
      </w:r>
    </w:p>
    <w:p>
      <w:pPr>
        <w:spacing w:after="160"/>
      </w:pPr>
      <w:hyperlink r:id="rId61">
        <w:r>
          <w:rPr>
            <w:color w:val="155B88"/>
          </w:rPr>
          <w:t>Original paper or authoritative record</w:t>
        </w:r>
      </w:hyperlink>
    </w:p>
    <w:p>
      <w:pPr>
        <w:pStyle w:val="Heading2"/>
      </w:pPr>
      <w:r>
        <w:t>33  World Health Organization  2018</w:t>
      </w:r>
    </w:p>
    <w:p>
      <w:r>
        <w:rPr>
          <w:b/>
        </w:rPr>
        <w:t>Report of the systematic review on the effect of household crowding on health</w:t>
      </w:r>
    </w:p>
    <w:p>
      <w:pPr>
        <w:spacing w:after="100"/>
      </w:pPr>
      <w:r>
        <w:t>WHO Housing and Health Guidelines  |  Official systematic evidence review</w:t>
      </w:r>
    </w:p>
    <w:p>
      <w:r>
        <w:rPr>
          <w:b/>
        </w:rPr>
        <w:t xml:space="preserve">Evidence </w:t>
      </w:r>
      <w:r>
        <w:t>Reviews studies relating household crowding to infectious disease and other health outcomes to support WHO housing guidance.</w:t>
      </w:r>
    </w:p>
    <w:p>
      <w:r>
        <w:rPr>
          <w:b/>
        </w:rPr>
        <w:t xml:space="preserve">Finding </w:t>
      </w:r>
      <w:r>
        <w:t>Provides a direct evidence base for evaluating inadequate space within dwellings and its health implications.</w:t>
      </w:r>
    </w:p>
    <w:p>
      <w:r>
        <w:rPr>
          <w:b/>
        </w:rPr>
        <w:t xml:space="preserve">Limit </w:t>
      </w:r>
      <w:r>
        <w:t>Definitions and study quality vary by outcome. Household crowding is not the same as neighbourhood density or total town population; the review does not set a universal town-size limit.</w:t>
      </w:r>
    </w:p>
    <w:p>
      <w:pPr>
        <w:spacing w:after="160"/>
      </w:pPr>
      <w:hyperlink r:id="rId62">
        <w:r>
          <w:rPr>
            <w:color w:val="155B88"/>
          </w:rPr>
          <w:t>Original paper or authoritative record</w:t>
        </w:r>
      </w:hyperlink>
      <w:r>
        <w:t xml:space="preserve">   •   </w:t>
      </w:r>
      <w:hyperlink r:id="rId63">
        <w:r>
          <w:rPr>
            <w:color w:val="155B88"/>
          </w:rPr>
          <w:t>WHO publication</w:t>
        </w:r>
      </w:hyperlink>
    </w:p>
    <w:p>
      <w:r>
        <w:br w:type="page"/>
      </w:r>
    </w:p>
    <w:p>
      <w:pPr>
        <w:pStyle w:val="Heading1"/>
      </w:pPr>
      <w:r>
        <w:t>Research catalogue</w:t>
      </w:r>
    </w:p>
    <w:p>
      <w:r>
        <w:t>Sources 34 to 36</w:t>
      </w:r>
    </w:p>
    <w:p>
      <w:pPr>
        <w:pStyle w:val="Heading2"/>
      </w:pPr>
      <w:r>
        <w:t>34  Lederbogen, F. et al.  2011</w:t>
      </w:r>
    </w:p>
    <w:p>
      <w:r>
        <w:rPr>
          <w:b/>
        </w:rPr>
        <w:t>City living and urban upbringing affect neural social stress processing in humans</w:t>
      </w:r>
    </w:p>
    <w:p>
      <w:pPr>
        <w:spacing w:after="100"/>
      </w:pPr>
      <w:r>
        <w:t>Nature 474, 498–501  |  Human experimental neuroimaging with observational exposure measures</w:t>
      </w:r>
    </w:p>
    <w:p>
      <w:r>
        <w:rPr>
          <w:b/>
        </w:rPr>
        <w:t xml:space="preserve">Evidence </w:t>
      </w:r>
      <w:r>
        <w:t>Tests social-stress responses in healthy volunteers and relates brain activation to current urban living and urban upbringing.</w:t>
      </w:r>
    </w:p>
    <w:p>
      <w:r>
        <w:rPr>
          <w:b/>
        </w:rPr>
        <w:t xml:space="preserve">Finding </w:t>
      </w:r>
      <w:r>
        <w:t>Reports different associations with amygdala and regulatory brain-region responses.</w:t>
      </w:r>
    </w:p>
    <w:p>
      <w:r>
        <w:rPr>
          <w:b/>
        </w:rPr>
        <w:t xml:space="preserve">Limit </w:t>
      </w:r>
      <w:r>
        <w:t>Residence was not randomly assigned. Urbanicity bundles many exposures, and brain activation is not itself a diagnosis or a count of residents beyond a safe threshold.</w:t>
      </w:r>
    </w:p>
    <w:p>
      <w:pPr>
        <w:spacing w:after="160"/>
      </w:pPr>
      <w:hyperlink r:id="rId64">
        <w:r>
          <w:rPr>
            <w:color w:val="155B88"/>
          </w:rPr>
          <w:t>Original paper or authoritative record</w:t>
        </w:r>
      </w:hyperlink>
    </w:p>
    <w:p>
      <w:pPr>
        <w:pStyle w:val="Heading2"/>
      </w:pPr>
      <w:r>
        <w:t>35  Bettencourt, L. M. A. et al.  2007</w:t>
      </w:r>
    </w:p>
    <w:p>
      <w:r>
        <w:rPr>
          <w:b/>
        </w:rPr>
        <w:t>Growth, innovation, scaling, and the pace of life in cities</w:t>
      </w:r>
    </w:p>
    <w:p>
      <w:pPr>
        <w:spacing w:after="100"/>
      </w:pPr>
      <w:r>
        <w:t>PNAS 104, 7301–7306  |  Comparative urban data and mathematical modelling</w:t>
      </w:r>
    </w:p>
    <w:p>
      <w:r>
        <w:rPr>
          <w:b/>
        </w:rPr>
        <w:t xml:space="preserve">Evidence </w:t>
      </w:r>
      <w:r>
        <w:t>Examines how infrastructure and socioeconomic indicators change with city population across urban systems.</w:t>
      </w:r>
    </w:p>
    <w:p>
      <w:r>
        <w:rPr>
          <w:b/>
        </w:rPr>
        <w:t xml:space="preserve">Finding </w:t>
      </w:r>
      <w:r>
        <w:t>Reports economies of scale for some infrastructure and faster-than-proportional increases for some social outputs and costs.</w:t>
      </w:r>
    </w:p>
    <w:p>
      <w:r>
        <w:rPr>
          <w:b/>
        </w:rPr>
        <w:t xml:space="preserve">Limit </w:t>
      </w:r>
      <w:r>
        <w:t>These are statistical relationships, not physical laws guaranteeing outcomes in every city. Boundary definitions, variation and contrary results matter [36].</w:t>
      </w:r>
    </w:p>
    <w:p>
      <w:pPr>
        <w:spacing w:after="160"/>
      </w:pPr>
      <w:hyperlink r:id="rId65">
        <w:r>
          <w:rPr>
            <w:color w:val="155B88"/>
          </w:rPr>
          <w:t>Original paper or authoritative record</w:t>
        </w:r>
      </w:hyperlink>
    </w:p>
    <w:p>
      <w:pPr>
        <w:pStyle w:val="Heading2"/>
      </w:pPr>
      <w:r>
        <w:t>36  Arcaute, E. et al.  2015</w:t>
      </w:r>
    </w:p>
    <w:p>
      <w:r>
        <w:rPr>
          <w:b/>
        </w:rPr>
        <w:t>Constructing cities, deconstructing scaling laws</w:t>
      </w:r>
    </w:p>
    <w:p>
      <w:pPr>
        <w:spacing w:after="100"/>
      </w:pPr>
      <w:r>
        <w:t>Journal of the Royal Society Interface 12, 20140745  |  Empirical robustness and boundary-sensitivity analysis</w:t>
      </w:r>
    </w:p>
    <w:p>
      <w:r>
        <w:rPr>
          <w:b/>
        </w:rPr>
        <w:t xml:space="preserve">Evidence </w:t>
      </w:r>
      <w:r>
        <w:t>Constructs thousands of city definitions using commuting and population-density thresholds in England and Wales.</w:t>
      </w:r>
    </w:p>
    <w:p>
      <w:r>
        <w:rPr>
          <w:b/>
        </w:rPr>
        <w:t xml:space="preserve">Finding </w:t>
      </w:r>
      <w:r>
        <w:t>Finds that population alone does not sufficiently describe cities; many indicators scale approximately linearly and nonlinear exponents can vary with boundaries.</w:t>
      </w:r>
    </w:p>
    <w:p>
      <w:r>
        <w:rPr>
          <w:b/>
        </w:rPr>
        <w:t xml:space="preserve">Limit </w:t>
      </w:r>
      <w:r>
        <w:t>A direct warning against applying one urban scaling equation everywhere. Administrative towns, built-up areas and commuting regions are not interchangeable units.</w:t>
      </w:r>
    </w:p>
    <w:p>
      <w:pPr>
        <w:spacing w:after="160"/>
      </w:pPr>
      <w:hyperlink r:id="rId66">
        <w:r>
          <w:rPr>
            <w:color w:val="155B88"/>
          </w:rPr>
          <w:t>Original paper or authoritative record</w:t>
        </w:r>
      </w:hyperlink>
      <w:r>
        <w:t xml:space="preserve">   •   </w:t>
      </w:r>
      <w:hyperlink r:id="rId67">
        <w:r>
          <w:rPr>
            <w:color w:val="155B88"/>
          </w:rPr>
          <w:t>Institutional paper</w:t>
        </w:r>
      </w:hyperlink>
    </w:p>
    <w:p>
      <w:r>
        <w:br w:type="page"/>
      </w:r>
    </w:p>
    <w:p>
      <w:pPr>
        <w:pStyle w:val="Heading1"/>
      </w:pPr>
      <w:r>
        <w:t>Research catalogue</w:t>
      </w:r>
    </w:p>
    <w:p>
      <w:r>
        <w:t>Sources 37 to 39</w:t>
      </w:r>
    </w:p>
    <w:p>
      <w:pPr>
        <w:pStyle w:val="Heading2"/>
      </w:pPr>
      <w:r>
        <w:t>37  Ahlfeldt, G. M., Redding, S. J., Sturm, D. M. and Wolf, N.  2015</w:t>
      </w:r>
    </w:p>
    <w:p>
      <w:r>
        <w:rPr>
          <w:b/>
        </w:rPr>
        <w:t>The Economics of Density: Evidence from the Berlin Wall</w:t>
      </w:r>
    </w:p>
    <w:p>
      <w:pPr>
        <w:spacing w:after="100"/>
      </w:pPr>
      <w:r>
        <w:t>Econometrica 83, 2127–2189  |  Natural-experiment setting and structural economic model</w:t>
      </w:r>
    </w:p>
    <w:p>
      <w:r>
        <w:rPr>
          <w:b/>
        </w:rPr>
        <w:t xml:space="preserve">Evidence </w:t>
      </w:r>
      <w:r>
        <w:t>Uses thousands of Berlin city blocks in 1936, 1986 and 2006 and variation arising from division and reunification.</w:t>
      </w:r>
    </w:p>
    <w:p>
      <w:r>
        <w:rPr>
          <w:b/>
        </w:rPr>
        <w:t xml:space="preserve">Finding </w:t>
      </w:r>
      <w:r>
        <w:t>Estimates local production and residential externalities and how accessibility changes urban activity.</w:t>
      </w:r>
    </w:p>
    <w:p>
      <w:r>
        <w:rPr>
          <w:b/>
        </w:rPr>
        <w:t xml:space="preserve">Limit </w:t>
      </w:r>
      <w:r>
        <w:t>The historical setting strengthens identification, but structural assumptions still matter. Productivity and property prices are not complete measures of welfare or ecological capacity.</w:t>
      </w:r>
    </w:p>
    <w:p>
      <w:pPr>
        <w:spacing w:after="160"/>
      </w:pPr>
      <w:hyperlink r:id="rId68">
        <w:r>
          <w:rPr>
            <w:color w:val="155B88"/>
          </w:rPr>
          <w:t>Original paper or authoritative record</w:t>
        </w:r>
      </w:hyperlink>
      <w:r>
        <w:t xml:space="preserve">   •   </w:t>
      </w:r>
      <w:hyperlink r:id="rId69">
        <w:r>
          <w:rPr>
            <w:color w:val="155B88"/>
          </w:rPr>
          <w:t>Author PDF</w:t>
        </w:r>
      </w:hyperlink>
    </w:p>
    <w:p>
      <w:pPr>
        <w:pStyle w:val="Heading2"/>
      </w:pPr>
      <w:r>
        <w:t>38  Cohen, J. E.  1995</w:t>
      </w:r>
    </w:p>
    <w:p>
      <w:r>
        <w:rPr>
          <w:b/>
        </w:rPr>
        <w:t>Population growth and earth’s human carrying capacity</w:t>
      </w:r>
    </w:p>
    <w:p>
      <w:pPr>
        <w:spacing w:after="100"/>
      </w:pPr>
      <w:r>
        <w:t>Science 269, 341–346  |  Analytical synthesis and mathematical models</w:t>
      </w:r>
    </w:p>
    <w:p>
      <w:r>
        <w:rPr>
          <w:b/>
        </w:rPr>
        <w:t xml:space="preserve">Evidence </w:t>
      </w:r>
      <w:r>
        <w:t>Examines how natural constraints interact with human choices in population-support capacity.</w:t>
      </w:r>
    </w:p>
    <w:p>
      <w:r>
        <w:rPr>
          <w:b/>
        </w:rPr>
        <w:t xml:space="preserve">Finding </w:t>
      </w:r>
      <w:r>
        <w:t>Concludes that human carrying capacity is dynamic and uncertain, depending on economic, environmental, cultural and demographic choices.</w:t>
      </w:r>
    </w:p>
    <w:p>
      <w:r>
        <w:rPr>
          <w:b/>
        </w:rPr>
        <w:t xml:space="preserve">Limit </w:t>
      </w:r>
      <w:r>
        <w:t>This provides a framework, not a single verified maximum for Earth or a settlement. Any numerical estimate must specify consumption, technology, distribution, trade and environmental conditions.</w:t>
      </w:r>
    </w:p>
    <w:p>
      <w:pPr>
        <w:spacing w:after="160"/>
      </w:pPr>
      <w:hyperlink r:id="rId70">
        <w:r>
          <w:rPr>
            <w:color w:val="155B88"/>
          </w:rPr>
          <w:t>Original paper or authoritative record</w:t>
        </w:r>
      </w:hyperlink>
      <w:r>
        <w:t xml:space="preserve">   •   </w:t>
      </w:r>
      <w:hyperlink r:id="rId71">
        <w:r>
          <w:rPr>
            <w:color w:val="155B88"/>
          </w:rPr>
          <w:t>Abstract</w:t>
        </w:r>
      </w:hyperlink>
    </w:p>
    <w:p>
      <w:pPr>
        <w:pStyle w:val="Heading2"/>
      </w:pPr>
      <w:r>
        <w:t>39  Gerten, D. et al.  2020</w:t>
      </w:r>
    </w:p>
    <w:p>
      <w:r>
        <w:rPr>
          <w:b/>
        </w:rPr>
        <w:t>Feeding ten billion people is possible within four terrestrial planetary boundaries</w:t>
      </w:r>
    </w:p>
    <w:p>
      <w:pPr>
        <w:spacing w:after="100"/>
      </w:pPr>
      <w:r>
        <w:t>Nature Sustainability 3, 200–208  |  Spatially explicit food-system scenario modelling</w:t>
      </w:r>
    </w:p>
    <w:p>
      <w:r>
        <w:rPr>
          <w:b/>
        </w:rPr>
        <w:t xml:space="preserve">Evidence </w:t>
      </w:r>
      <w:r>
        <w:t>Models agriculture against constraints on biodiversity, land use, freshwater and nitrogen flows.</w:t>
      </w:r>
    </w:p>
    <w:p>
      <w:r>
        <w:rPr>
          <w:b/>
        </w:rPr>
        <w:t xml:space="preserve">Finding </w:t>
      </w:r>
      <w:r>
        <w:t>Under the analysed boundaries, the model supports 3.4 billion people with the existing system versus 10.2 billion after specified production and consumption changes.</w:t>
      </w:r>
    </w:p>
    <w:p>
      <w:r>
        <w:rPr>
          <w:b/>
        </w:rPr>
        <w:t xml:space="preserve">Limit </w:t>
      </w:r>
      <w:r>
        <w:t>These are conditional model outputs, not observed carrying capacities or a recommendation about population. The study covers four boundaries and particular dietary and agricultural assumptions.</w:t>
      </w:r>
    </w:p>
    <w:p>
      <w:pPr>
        <w:spacing w:after="160"/>
      </w:pPr>
      <w:hyperlink r:id="rId72">
        <w:r>
          <w:rPr>
            <w:color w:val="155B88"/>
          </w:rPr>
          <w:t>Original paper or authoritative record</w:t>
        </w:r>
      </w:hyperlink>
      <w:r>
        <w:t xml:space="preserve">   •   </w:t>
      </w:r>
      <w:hyperlink r:id="rId73">
        <w:r>
          <w:rPr>
            <w:color w:val="155B88"/>
          </w:rPr>
          <w:t>NASA source and abstract</w:t>
        </w:r>
      </w:hyperlink>
    </w:p>
    <w:p>
      <w:r>
        <w:br w:type="page"/>
      </w:r>
    </w:p>
    <w:p>
      <w:pPr>
        <w:pStyle w:val="Heading1"/>
      </w:pPr>
      <w:r>
        <w:t>Research catalogue</w:t>
      </w:r>
    </w:p>
    <w:p>
      <w:r>
        <w:t>Sources 40 to 42</w:t>
      </w:r>
    </w:p>
    <w:p>
      <w:pPr>
        <w:pStyle w:val="Heading2"/>
      </w:pPr>
      <w:r>
        <w:t>40  O’Neill, D. W., Fanning, A. L., Lamb, W. F. and Steinberger, J. K.  2018</w:t>
      </w:r>
    </w:p>
    <w:p>
      <w:r>
        <w:rPr>
          <w:b/>
        </w:rPr>
        <w:t>A good life for all within planetary boundaries</w:t>
      </w:r>
    </w:p>
    <w:p>
      <w:pPr>
        <w:spacing w:after="100"/>
      </w:pPr>
      <w:r>
        <w:t>Nature Sustainability 1, 88–95  |  Cross-national resource and social-outcome analysis</w:t>
      </w:r>
    </w:p>
    <w:p>
      <w:r>
        <w:rPr>
          <w:b/>
        </w:rPr>
        <w:t xml:space="preserve">Evidence </w:t>
      </w:r>
      <w:r>
        <w:t>Compares resource use and indicators of basic needs and wellbeing across more than 150 countries.</w:t>
      </w:r>
    </w:p>
    <w:p>
      <w:r>
        <w:rPr>
          <w:b/>
        </w:rPr>
        <w:t xml:space="preserve">Finding </w:t>
      </w:r>
      <w:r>
        <w:t>Examines whether social outcomes are achieved within allocated biophysical limits, connecting human welfare with resource consumption.</w:t>
      </w:r>
    </w:p>
    <w:p>
      <w:r>
        <w:rPr>
          <w:b/>
        </w:rPr>
        <w:t xml:space="preserve">Limit </w:t>
      </w:r>
      <w:r>
        <w:t>Country averages hide inequality. Boundary allocation and wellbeing thresholds involve explicit analytical choices; the paper is not a settlement-population calculator.</w:t>
      </w:r>
    </w:p>
    <w:p>
      <w:pPr>
        <w:spacing w:after="160"/>
      </w:pPr>
      <w:hyperlink r:id="rId74">
        <w:r>
          <w:rPr>
            <w:color w:val="155B88"/>
          </w:rPr>
          <w:t>Original paper or authoritative record</w:t>
        </w:r>
      </w:hyperlink>
      <w:r>
        <w:t xml:space="preserve">   •   </w:t>
      </w:r>
      <w:hyperlink r:id="rId75">
        <w:r>
          <w:rPr>
            <w:color w:val="155B88"/>
          </w:rPr>
          <w:t>University research and data site</w:t>
        </w:r>
      </w:hyperlink>
    </w:p>
    <w:p>
      <w:pPr>
        <w:pStyle w:val="Heading2"/>
      </w:pPr>
      <w:r>
        <w:t>41  Ostrom, E.  2009</w:t>
      </w:r>
    </w:p>
    <w:p>
      <w:r>
        <w:rPr>
          <w:b/>
        </w:rPr>
        <w:t>A general framework for analyzing sustainability of social-ecological systems</w:t>
      </w:r>
    </w:p>
    <w:p>
      <w:pPr>
        <w:spacing w:after="100"/>
      </w:pPr>
      <w:r>
        <w:t>Science 325, 419–422  |  Research synthesis and analytical framework</w:t>
      </w:r>
    </w:p>
    <w:p>
      <w:r>
        <w:rPr>
          <w:b/>
        </w:rPr>
        <w:t xml:space="preserve">Evidence </w:t>
      </w:r>
      <w:r>
        <w:t>Organises evidence on resource systems, resource users, governance and interactions in social–ecological systems.</w:t>
      </w:r>
    </w:p>
    <w:p>
      <w:r>
        <w:rPr>
          <w:b/>
        </w:rPr>
        <w:t xml:space="preserve">Finding </w:t>
      </w:r>
      <w:r>
        <w:t>Explains why resource outcomes depend on institutions and local conditions as well as the number of users.</w:t>
      </w:r>
    </w:p>
    <w:p>
      <w:r>
        <w:rPr>
          <w:b/>
        </w:rPr>
        <w:t xml:space="preserve">Limit </w:t>
      </w:r>
      <w:r>
        <w:t>The framework guides comparative studies; it supplies no universal numerical capacity. Governance should be measured rather than assumed to improve or deteriorate automatically with size.</w:t>
      </w:r>
    </w:p>
    <w:p>
      <w:pPr>
        <w:spacing w:after="160"/>
      </w:pPr>
      <w:hyperlink r:id="rId76">
        <w:r>
          <w:rPr>
            <w:color w:val="155B88"/>
          </w:rPr>
          <w:t>Original paper or authoritative record</w:t>
        </w:r>
      </w:hyperlink>
    </w:p>
    <w:p>
      <w:pPr>
        <w:pStyle w:val="Heading2"/>
      </w:pPr>
      <w:r>
        <w:t>42  Calhoun, J. B.  1973</w:t>
      </w:r>
    </w:p>
    <w:p>
      <w:r>
        <w:rPr>
          <w:b/>
        </w:rPr>
        <w:t>Death squared: the explosive growth and demise of a mouse population</w:t>
      </w:r>
    </w:p>
    <w:p>
      <w:pPr>
        <w:spacing w:after="100"/>
      </w:pPr>
      <w:r>
        <w:t>Proceedings of the Royal Society of Medicine 66, 80–88  |  Captive mouse experiment</w:t>
      </w:r>
    </w:p>
    <w:p>
      <w:r>
        <w:rPr>
          <w:b/>
        </w:rPr>
        <w:t xml:space="preserve">Evidence </w:t>
      </w:r>
      <w:r>
        <w:t>Reports growth and eventual demographic failure in an enclosed mouse population, including changes in social and reproductive behaviour.</w:t>
      </w:r>
    </w:p>
    <w:p>
      <w:r>
        <w:rPr>
          <w:b/>
        </w:rPr>
        <w:t xml:space="preserve">Finding </w:t>
      </w:r>
      <w:r>
        <w:t>Relevant to the history of ideas about crowding, social roles and the so-called behavioural sink.</w:t>
      </w:r>
    </w:p>
    <w:p>
      <w:r>
        <w:rPr>
          <w:b/>
        </w:rPr>
        <w:t xml:space="preserve">Limit </w:t>
      </w:r>
      <w:r>
        <w:t>Captive mice could not migrate or redesign institutions as humans can. This experiment does not establish a human village or city limit, and its social-role interpretation is not a measure of human redundancy.</w:t>
      </w:r>
    </w:p>
    <w:p>
      <w:pPr>
        <w:spacing w:after="160"/>
      </w:pPr>
      <w:hyperlink r:id="rId77">
        <w:r>
          <w:rPr>
            <w:color w:val="155B88"/>
          </w:rPr>
          <w:t>Original paper or authoritative record</w:t>
        </w:r>
      </w:hyperlink>
      <w:r>
        <w:t xml:space="preserve">   •   </w:t>
      </w:r>
      <w:hyperlink r:id="rId78">
        <w:r>
          <w:rPr>
            <w:color w:val="155B88"/>
          </w:rPr>
          <w:t>Original source record</w:t>
        </w:r>
      </w:hyperlink>
    </w:p>
    <w:p>
      <w:r>
        <w:br w:type="page"/>
      </w:r>
    </w:p>
    <w:p>
      <w:pPr>
        <w:pStyle w:val="Heading1"/>
      </w:pPr>
      <w:r>
        <w:t>Research catalogue</w:t>
      </w:r>
    </w:p>
    <w:p>
      <w:r>
        <w:t>Source 43</w:t>
      </w:r>
    </w:p>
    <w:p>
      <w:pPr>
        <w:pStyle w:val="Heading2"/>
      </w:pPr>
      <w:r>
        <w:t>43  Hirst, J., Singarayer, J. S., Lombardo, U. and Mayle, F.  2025</w:t>
      </w:r>
    </w:p>
    <w:p>
      <w:r>
        <w:rPr>
          <w:b/>
        </w:rPr>
        <w:t>Constraining the population size estimates of the pre-Columbian Casarabe Culture of Amazonian Bolivia</w:t>
      </w:r>
    </w:p>
    <w:p>
      <w:r>
        <w:t>PLOS ONE 20, e0325104  |  Archaeological reconstruction and population modelling</w:t>
      </w:r>
    </w:p>
    <w:p>
      <w:r>
        <w:rPr>
          <w:b/>
        </w:rPr>
        <w:t>Evidence</w:t>
      </w:r>
      <w:r>
        <w:rPr>
          <w:b w:val="0"/>
        </w:rPr>
        <w:t xml:space="preserve"> Combines construction-labour estimates, carrying-capacity calculations and agent-based population modelling. Radiocarbon evidence underpins the occupation chronology; it does not directly count residents.</w:t>
      </w:r>
    </w:p>
    <w:p>
      <w:r>
        <w:rPr>
          <w:b/>
        </w:rPr>
        <w:t>Finding</w:t>
      </w:r>
      <w:r>
        <w:rPr>
          <w:b w:val="0"/>
        </w:rPr>
        <w:t xml:space="preserve"> Estimates a peak population of 10,000 to 100,000 within a 5,020-square-kilometre study area during occupation between 400 and 1400 CE.</w:t>
      </w:r>
    </w:p>
    <w:p>
      <w:r>
        <w:rPr>
          <w:b/>
        </w:rPr>
        <w:t>Limit</w:t>
      </w:r>
      <w:r>
        <w:rPr>
          <w:b w:val="0"/>
        </w:rPr>
        <w:t xml:space="preserve"> This is a conditional regional estimate covering multiple settlements. Model assumptions and resource productivity matter. It establishes neither a universal city ceiling nor a modern design optimum.</w:t>
      </w:r>
    </w:p>
    <w:p>
      <w:hyperlink r:id="rId80">
        <w:r>
          <w:rPr>
            <w:color w:val="0563C1"/>
            <w:u w:val="single"/>
          </w:rPr>
          <w:t>Original open access paper</w:t>
        </w:r>
      </w:hyperlink>
    </w:p>
    <w:sectPr w:rsidR="00FC693F" w:rsidRPr="0006063C" w:rsidSect="00034616">
      <w:footerReference w:type="default" r:id="rId79"/>
      <w:pgSz w:w="11909" w:h="16834"/>
      <w:pgMar w:top="950"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Population research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ciencedirect.com/science/article/pii/004724849290081J" TargetMode="External"/><Relationship Id="rId10" Type="http://schemas.openxmlformats.org/officeDocument/2006/relationships/hyperlink" Target="https://doi.org/10.1098/rsbl.2021.0158" TargetMode="External"/><Relationship Id="rId11" Type="http://schemas.openxmlformats.org/officeDocument/2006/relationships/hyperlink" Target="https://pmc.ncbi.nlm.nih.gov/articles/PMC8103230/" TargetMode="External"/><Relationship Id="rId12" Type="http://schemas.openxmlformats.org/officeDocument/2006/relationships/hyperlink" Target="https://doi.org/10.1098/rspb.2007.0564" TargetMode="External"/><Relationship Id="rId13" Type="http://schemas.openxmlformats.org/officeDocument/2006/relationships/hyperlink" Target="https://pmc.ncbi.nlm.nih.gov/articles/PMC2706200/" TargetMode="External"/><Relationship Id="rId14" Type="http://schemas.openxmlformats.org/officeDocument/2006/relationships/hyperlink" Target="https://doi.org/10.1126/science.1199071" TargetMode="External"/><Relationship Id="rId15" Type="http://schemas.openxmlformats.org/officeDocument/2006/relationships/hyperlink" Target="https://pubmed.ncbi.nlm.nih.gov/21393537/" TargetMode="External"/><Relationship Id="rId16" Type="http://schemas.openxmlformats.org/officeDocument/2006/relationships/hyperlink" Target="https://doi.org/10.1016/j.jhevol.2019.03.005" TargetMode="External"/><Relationship Id="rId17" Type="http://schemas.openxmlformats.org/officeDocument/2006/relationships/hyperlink" Target="https://pubmed.ncbi.nlm.nih.gov/31182209/" TargetMode="External"/><Relationship Id="rId18" Type="http://schemas.openxmlformats.org/officeDocument/2006/relationships/hyperlink" Target="https://doi.org/10.1086/719234" TargetMode="External"/><Relationship Id="rId19" Type="http://schemas.openxmlformats.org/officeDocument/2006/relationships/hyperlink" Target="https://discovery.ucl.ac.uk/10122277/1/SSRN-id3399729.pdf" TargetMode="External"/><Relationship Id="rId20" Type="http://schemas.openxmlformats.org/officeDocument/2006/relationships/hyperlink" Target="https://doi.org/10.1038/nature12774" TargetMode="External"/><Relationship Id="rId21" Type="http://schemas.openxmlformats.org/officeDocument/2006/relationships/hyperlink" Target="https://doi.org/10.1038/nature13411" TargetMode="External"/><Relationship Id="rId22" Type="http://schemas.openxmlformats.org/officeDocument/2006/relationships/hyperlink" Target="https://doi.org/10.1038/nature13412" TargetMode="External"/><Relationship Id="rId23" Type="http://schemas.openxmlformats.org/officeDocument/2006/relationships/hyperlink" Target="https://pubmed.ncbi.nlm.nih.gov/21798934/" TargetMode="External"/><Relationship Id="rId24" Type="http://schemas.openxmlformats.org/officeDocument/2006/relationships/hyperlink" Target="https://doi.org/10.1038/ncomms3486" TargetMode="External"/><Relationship Id="rId25" Type="http://schemas.openxmlformats.org/officeDocument/2006/relationships/hyperlink" Target="https://pmc.ncbi.nlm.nih.gov/articles/PMC3806351/" TargetMode="External"/><Relationship Id="rId26" Type="http://schemas.openxmlformats.org/officeDocument/2006/relationships/hyperlink" Target="https://doi.org/10.1073/pnas.1602504113" TargetMode="External"/><Relationship Id="rId27" Type="http://schemas.openxmlformats.org/officeDocument/2006/relationships/hyperlink" Target="https://pmc.ncbi.nlm.nih.gov/articles/PMC5024635/" TargetMode="External"/><Relationship Id="rId28" Type="http://schemas.openxmlformats.org/officeDocument/2006/relationships/hyperlink" Target="https://doi.org/10.1073/pnas.1709190114" TargetMode="External"/><Relationship Id="rId29" Type="http://schemas.openxmlformats.org/officeDocument/2006/relationships/hyperlink" Target="https://discovery.ucl.ac.uk/id/eprint/10025178/" TargetMode="External"/><Relationship Id="rId30" Type="http://schemas.openxmlformats.org/officeDocument/2006/relationships/hyperlink" Target="https://pubmed.ncbi.nlm.nih.gov/31209020/" TargetMode="External"/><Relationship Id="rId31" Type="http://schemas.openxmlformats.org/officeDocument/2006/relationships/hyperlink" Target="https://pmc.ncbi.nlm.nih.gov/articles/PMC6601267/" TargetMode="External"/><Relationship Id="rId32" Type="http://schemas.openxmlformats.org/officeDocument/2006/relationships/hyperlink" Target="https://doi.org/10.1073/pnas.2312962120" TargetMode="External"/><Relationship Id="rId33" Type="http://schemas.openxmlformats.org/officeDocument/2006/relationships/hyperlink" Target="https://doi.org/10.1073/pnas.2406120121" TargetMode="External"/><Relationship Id="rId34" Type="http://schemas.openxmlformats.org/officeDocument/2006/relationships/hyperlink" Target="https://doi.org/10.1098/rsif.2024.0313" TargetMode="External"/><Relationship Id="rId35" Type="http://schemas.openxmlformats.org/officeDocument/2006/relationships/hyperlink" Target="https://zenodo.org/records/13648027" TargetMode="External"/><Relationship Id="rId36" Type="http://schemas.openxmlformats.org/officeDocument/2006/relationships/hyperlink" Target="https://doi.org/10.1371/journal.pone.0087902" TargetMode="External"/><Relationship Id="rId37" Type="http://schemas.openxmlformats.org/officeDocument/2006/relationships/hyperlink" Target="https://doi.org/10.1126/sciadv.1400066" TargetMode="External"/><Relationship Id="rId38" Type="http://schemas.openxmlformats.org/officeDocument/2006/relationships/hyperlink" Target="https://pmc.ncbi.nlm.nih.gov/articles/PMC4644079/" TargetMode="External"/><Relationship Id="rId39" Type="http://schemas.openxmlformats.org/officeDocument/2006/relationships/hyperlink" Target="https://doi.org/10.1073/pnas.092080799" TargetMode="External"/><Relationship Id="rId40" Type="http://schemas.openxmlformats.org/officeDocument/2006/relationships/hyperlink" Target="https://pmc.ncbi.nlm.nih.gov/articles/PMC128597/" TargetMode="External"/><Relationship Id="rId41" Type="http://schemas.openxmlformats.org/officeDocument/2006/relationships/hyperlink" Target="https://pubmed.ncbi.nlm.nih.gov/23139330/" TargetMode="External"/><Relationship Id="rId42" Type="http://schemas.openxmlformats.org/officeDocument/2006/relationships/hyperlink" Target="https://doi.org/10.1126/sciadv.abf8441" TargetMode="External"/><Relationship Id="rId43" Type="http://schemas.openxmlformats.org/officeDocument/2006/relationships/hyperlink" Target="https://pmc.ncbi.nlm.nih.gov/articles/PMC8104873/" TargetMode="External"/><Relationship Id="rId44" Type="http://schemas.openxmlformats.org/officeDocument/2006/relationships/hyperlink" Target="https://doi.org/10.1126/sciadv.ado1459" TargetMode="External"/><Relationship Id="rId45" Type="http://schemas.openxmlformats.org/officeDocument/2006/relationships/hyperlink" Target="https://datadryad.org/dataset/doi%3A10.5061/dryad.gqnk98swd" TargetMode="External"/><Relationship Id="rId46" Type="http://schemas.openxmlformats.org/officeDocument/2006/relationships/hyperlink" Target="https://doi.org/10.1038/s41586-024-07881-4" TargetMode="External"/><Relationship Id="rId47" Type="http://schemas.openxmlformats.org/officeDocument/2006/relationships/hyperlink" Target="https://pmc.ncbi.nlm.nih.gov/articles/PMC11390480/" TargetMode="External"/><Relationship Id="rId48" Type="http://schemas.openxmlformats.org/officeDocument/2006/relationships/hyperlink" Target="https://pubmed.ncbi.nlm.nih.gov/29269395/" TargetMode="External"/><Relationship Id="rId49" Type="http://schemas.openxmlformats.org/officeDocument/2006/relationships/hyperlink" Target="https://pmc.ncbi.nlm.nih.gov/articles/PMC5777031/" TargetMode="External"/><Relationship Id="rId50" Type="http://schemas.openxmlformats.org/officeDocument/2006/relationships/hyperlink" Target="https://www.cambridge.org/core/journals/radiocarbon/article/intcal20-northern-hemisphereradiocarbon-age-calibration-curve-055-cal-kbp/83257B63DC3AF9CFA6243F59D7503EFF" TargetMode="External"/><Relationship Id="rId51" Type="http://schemas.openxmlformats.org/officeDocument/2006/relationships/hyperlink" Target="https://www.cambridge.org/core/journals/radiocarbon/article/bayesian-analysis-of-radiocarbon-dates/F622173B70F9C1597F2738DEFC597114" TargetMode="External"/><Relationship Id="rId52" Type="http://schemas.openxmlformats.org/officeDocument/2006/relationships/hyperlink" Target="https://www.sciencedirect.com/science/article/pii/S0305440309001204" TargetMode="External"/><Relationship Id="rId53" Type="http://schemas.openxmlformats.org/officeDocument/2006/relationships/hyperlink" Target="https://www.uwyo.edu/anthropology/_files/docs/surovell/jas-2009.pdf" TargetMode="External"/><Relationship Id="rId54" Type="http://schemas.openxmlformats.org/officeDocument/2006/relationships/hyperlink" Target="https://www.sciencedirect.com/science/article/pii/S0305440311002482" TargetMode="External"/><Relationship Id="rId55" Type="http://schemas.openxmlformats.org/officeDocument/2006/relationships/hyperlink" Target="https://discovery.ucl.ac.uk/id/eprint/1447786/" TargetMode="External"/><Relationship Id="rId56" Type="http://schemas.openxmlformats.org/officeDocument/2006/relationships/hyperlink" Target="https://discovery.ucl.ac.uk/id/eprint/1447786/1/1-s2.0-S0305440314002982-main.pdf" TargetMode="External"/><Relationship Id="rId57" Type="http://schemas.openxmlformats.org/officeDocument/2006/relationships/hyperlink" Target="https://www.sciencedirect.com/science/article/pii/S0305440314002088" TargetMode="External"/><Relationship Id="rId58" Type="http://schemas.openxmlformats.org/officeDocument/2006/relationships/hyperlink" Target="https://dcontreras.netlify.app/publication/contreras-summed-radiocarbon-calibrations-2014/contreras-summed-radiocarbon-calibrations-2014.pdf" TargetMode="External"/><Relationship Id="rId59" Type="http://schemas.openxmlformats.org/officeDocument/2006/relationships/hyperlink" Target="https://doi.org/10.1007/s10816-022-09559-5" TargetMode="External"/><Relationship Id="rId60" Type="http://schemas.openxmlformats.org/officeDocument/2006/relationships/hyperlink" Target="https://www.cambridge.org/core/journals/radiocarbon/article/inference-from-large-sets-of-radiocarbon-dates-software-and-methods/DE7B3B8298D6086AEBFE306C714E44BC" TargetMode="External"/><Relationship Id="rId61" Type="http://schemas.openxmlformats.org/officeDocument/2006/relationships/hyperlink" Target="https://escholarship.org/uc/item/2ws11480" TargetMode="External"/><Relationship Id="rId62" Type="http://schemas.openxmlformats.org/officeDocument/2006/relationships/hyperlink" Target="https://www.ncbi.nlm.nih.gov/books/NBK535299/" TargetMode="External"/><Relationship Id="rId63" Type="http://schemas.openxmlformats.org/officeDocument/2006/relationships/hyperlink" Target="https://www.who.int/publications/i/item/9789241550376" TargetMode="External"/><Relationship Id="rId64" Type="http://schemas.openxmlformats.org/officeDocument/2006/relationships/hyperlink" Target="https://doi.org/10.1038/nature10190" TargetMode="External"/><Relationship Id="rId65" Type="http://schemas.openxmlformats.org/officeDocument/2006/relationships/hyperlink" Target="https://doi.org/10.1073/pnas.0610172104" TargetMode="External"/><Relationship Id="rId66" Type="http://schemas.openxmlformats.org/officeDocument/2006/relationships/hyperlink" Target="https://doi.org/10.1098/rsif.2014.0745" TargetMode="External"/><Relationship Id="rId67" Type="http://schemas.openxmlformats.org/officeDocument/2006/relationships/hyperlink" Target="https://discovery.ucl.ac.uk/id/eprint/1455713/" TargetMode="External"/><Relationship Id="rId68" Type="http://schemas.openxmlformats.org/officeDocument/2006/relationships/hyperlink" Target="https://doi.org/10.3982/ECTA10876" TargetMode="External"/><Relationship Id="rId69" Type="http://schemas.openxmlformats.org/officeDocument/2006/relationships/hyperlink" Target="https://www.princeton.edu/~reddings/pubpapers/Berlin-Ecta-10876.pdf" TargetMode="External"/><Relationship Id="rId70" Type="http://schemas.openxmlformats.org/officeDocument/2006/relationships/hyperlink" Target="https://doi.org/10.1126/science.7618100" TargetMode="External"/><Relationship Id="rId71" Type="http://schemas.openxmlformats.org/officeDocument/2006/relationships/hyperlink" Target="https://pubmed.ncbi.nlm.nih.gov/7618100/" TargetMode="External"/><Relationship Id="rId72" Type="http://schemas.openxmlformats.org/officeDocument/2006/relationships/hyperlink" Target="https://doi.org/10.1038/s41893-019-0465-1" TargetMode="External"/><Relationship Id="rId73" Type="http://schemas.openxmlformats.org/officeDocument/2006/relationships/hyperlink" Target="https://www.giss.nasa.gov/pubs/abs/ge07200b.html" TargetMode="External"/><Relationship Id="rId74" Type="http://schemas.openxmlformats.org/officeDocument/2006/relationships/hyperlink" Target="https://doi.org/10.1038/s41893-018-0021-4" TargetMode="External"/><Relationship Id="rId75" Type="http://schemas.openxmlformats.org/officeDocument/2006/relationships/hyperlink" Target="https://goodlife.leeds.ac.uk/" TargetMode="External"/><Relationship Id="rId76" Type="http://schemas.openxmlformats.org/officeDocument/2006/relationships/hyperlink" Target="https://pubmed.ncbi.nlm.nih.gov/19628857/" TargetMode="External"/><Relationship Id="rId77" Type="http://schemas.openxmlformats.org/officeDocument/2006/relationships/hyperlink" Target="https://doi.org/10.1177/00359157730661P202" TargetMode="External"/><Relationship Id="rId78" Type="http://schemas.openxmlformats.org/officeDocument/2006/relationships/hyperlink" Target="https://pubmed.ncbi.nlm.nih.gov/4734760/" TargetMode="External"/><Relationship Id="rId79" Type="http://schemas.openxmlformats.org/officeDocument/2006/relationships/footer" Target="footer1.xml"/><Relationship Id="rId80" Type="http://schemas.openxmlformats.org/officeDocument/2006/relationships/hyperlink" Target="https://doi.org/10.1371/journal.pone.03251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Group Size and Settlement Capacity</dc:title>
  <dc:subject>Scientific research and archaeological evidence</dc:subject>
  <dc:creator/>
  <cp:keywords/>
  <dc:description>generated by python-docx</dc:description>
  <cp:lastModifiedBy/>
  <cp:revision>1</cp:revision>
  <dcterms:created xsi:type="dcterms:W3CDTF">2013-12-23T23:15:00Z</dcterms:created>
  <dcterms:modified xsi:type="dcterms:W3CDTF">2026-10-13T12:56:22Z</dcterms:modified>
  <cp:category/>
</cp:coreProperties>
</file>