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pPr>
      <w:r>
        <w:rPr>
          <w:b/>
          <w:color w:val="007F82"/>
          <w:sz w:val="26"/>
        </w:rPr>
        <w:t>REFLUX IT</w:t>
      </w:r>
    </w:p>
    <w:p>
      <w:pPr>
        <w:pStyle w:val="Title"/>
      </w:pPr>
      <w:r>
        <w:t>Guadeloupe Water Technology and Procurement Study</w:t>
      </w:r>
    </w:p>
    <w:p>
      <w:pPr>
        <w:pStyle w:val="Subtitle"/>
      </w:pPr>
      <w:r>
        <w:t>Low energy capture  desalination  circular recovery  and EU first sourcing</w:t>
      </w:r>
    </w:p>
    <w:p>
      <w:pPr>
        <w:pStyle w:val="Smallnote"/>
      </w:pPr>
      <w:r>
        <w:t>Decision report  •  11 October 2026</w:t>
      </w:r>
    </w:p>
    <w:p>
      <w:pPr>
        <w:pStyle w:val="Smallnote"/>
      </w:pPr>
      <w:r>
        <w:t>Design basis  •  from a few litres per day to emergency service for 8,000 people</w:t>
      </w:r>
    </w:p>
    <w:p>
      <w:pPr>
        <w:spacing w:after="700"/>
      </w:pPr>
    </w:p>
    <w:tbl>
      <w:tblPr>
        <w:tblW w:type="auto" w:w="0"/>
        <w:jc w:val="center"/>
        <w:tblLayout w:type="fixed"/>
        <w:tblLook w:firstColumn="1" w:firstRow="1" w:lastColumn="0" w:lastRow="0" w:noHBand="0" w:noVBand="1" w:val="04A0"/>
      </w:tblPr>
      <w:tblGrid>
        <w:gridCol w:w="159"/>
        <w:gridCol w:w="9184"/>
      </w:tblGrid>
      <w:tr>
        <w:trPr>
          <w:cantSplit/>
        </w:trPr>
        <w:tc>
          <w:tcPr>
            <w:tcW w:type="dxa" w:w="5185"/>
            <w:shd w:fill="007F82"/>
          </w:tcPr>
          <w:p>
            <w:r/>
          </w:p>
        </w:tc>
        <w:tc>
          <w:tcPr>
            <w:tcW w:type="dxa" w:w="5185"/>
            <w:shd w:fill="EEF5F7"/>
            <w:tcMar>
              <w:top w:w="130" w:type="dxa"/>
              <w:start w:w="180" w:type="dxa"/>
              <w:bottom w:w="130" w:type="dxa"/>
              <w:end w:w="180" w:type="dxa"/>
            </w:tcMar>
          </w:tcPr>
          <w:p>
            <w:pPr>
              <w:spacing w:after="40"/>
            </w:pPr>
            <w:r>
              <w:rPr>
                <w:b/>
                <w:color w:val="007F82"/>
                <w:sz w:val="20"/>
              </w:rPr>
              <w:t>The decision in one sentence</w:t>
            </w:r>
          </w:p>
          <w:p>
            <w:pPr>
              <w:spacing w:after="0"/>
            </w:pPr>
            <w:r>
              <w:rPr>
                <w:color w:val="17324D"/>
                <w:sz w:val="18"/>
              </w:rPr>
              <w:t>Build a layered water system: local rain storage and measured fog capture first; passive solar stills for household resilience and demonstration; a modular solar seawater RO plant as the dependable 8,000-person backbone; water storage instead of large batteries; and a controlled REFLUX IT programme that recovers pressure, heat, clean side-streams and selected minerals without pretending brine can circulate forever.</w:t>
            </w:r>
          </w:p>
        </w:tc>
      </w:tr>
    </w:tbl>
    <w:p>
      <w:pPr>
        <w:spacing w:after="0"/>
      </w:pPr>
    </w:p>
    <w:p>
      <w:pPr>
        <w:spacing w:before="480"/>
      </w:pPr>
      <w:r>
        <w:rPr>
          <w:b/>
          <w:color w:val="17324D"/>
          <w:sz w:val="20"/>
        </w:rPr>
        <w:t>Prepared as a supplier-neutral research and procurement brief</w:t>
      </w:r>
    </w:p>
    <w:p>
      <w:r>
        <w:t>European and Guadeloupe production is preferred through transparent whole-life criteria. Chinese systems remain in the comparison lane and can qualify through the same performance, compliance, service and factory-acceptance gates.</w:t>
      </w:r>
    </w:p>
    <w:p>
      <w:r>
        <w:br w:type="page"/>
      </w:r>
    </w:p>
    <w:p>
      <w:pPr>
        <w:pStyle w:val="Heading1"/>
      </w:pPr>
      <w:r>
        <w:t>Executive decision</w:t>
      </w:r>
    </w:p>
    <w:tbl>
      <w:tblPr>
        <w:tblW w:type="auto" w:w="0"/>
        <w:jc w:val="center"/>
        <w:tblLayout w:type="fixed"/>
        <w:tblLook w:firstColumn="1" w:firstRow="1" w:lastColumn="0" w:lastRow="0" w:noHBand="0" w:noVBand="1" w:val="04A0"/>
      </w:tblPr>
      <w:tblGrid>
        <w:gridCol w:w="159"/>
        <w:gridCol w:w="9184"/>
      </w:tblGrid>
      <w:tr>
        <w:trPr>
          <w:cantSplit/>
        </w:trPr>
        <w:tc>
          <w:tcPr>
            <w:tcW w:type="dxa" w:w="5185"/>
            <w:shd w:fill="007F82"/>
          </w:tcPr>
          <w:p>
            <w:r/>
          </w:p>
        </w:tc>
        <w:tc>
          <w:tcPr>
            <w:tcW w:type="dxa" w:w="5185"/>
            <w:shd w:fill="EEF5F7"/>
            <w:tcMar>
              <w:top w:w="130" w:type="dxa"/>
              <w:start w:w="180" w:type="dxa"/>
              <w:bottom w:w="130" w:type="dxa"/>
              <w:end w:w="180" w:type="dxa"/>
            </w:tcMar>
          </w:tcPr>
          <w:p>
            <w:pPr>
              <w:spacing w:after="40"/>
            </w:pPr>
            <w:r>
              <w:rPr>
                <w:b/>
                <w:color w:val="007F82"/>
                <w:sz w:val="20"/>
              </w:rPr>
              <w:t>Recommended backbone</w:t>
            </w:r>
          </w:p>
          <w:p>
            <w:pPr>
              <w:spacing w:after="0"/>
            </w:pPr>
            <w:r>
              <w:rPr>
                <w:color w:val="17324D"/>
                <w:sz w:val="18"/>
              </w:rPr>
              <w:t>For the 8,000-person emergency target, procure three independent 60 m³/day-class solar SWRO trains arranged as two duty plus one standby, or an equivalent 120–150 m³/day modular EU system with service redundancy. Size the operating solar field initially around 90 kWp, confirm auxiliary loads by quote, and store at least 360 m³ of finished water in split cyclone-resilient tanks.</w:t>
            </w:r>
          </w:p>
        </w:tc>
      </w:tr>
    </w:tbl>
    <w:p>
      <w:pPr>
        <w:spacing w:after="0"/>
      </w:pP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531"/>
            <w:shd w:fill="17324D"/>
            <w:vAlign w:val="center"/>
            <w:tcMar>
              <w:top w:w="90" w:type="dxa"/>
              <w:start w:w="90" w:type="dxa"/>
              <w:bottom w:w="90" w:type="dxa"/>
              <w:end w:w="90" w:type="dxa"/>
            </w:tcMar>
          </w:tcPr>
          <w:p>
            <w:r>
              <w:rPr>
                <w:b/>
                <w:color w:val="FFFFFF"/>
                <w:sz w:val="15"/>
              </w:rPr>
              <w:t>Layer</w:t>
            </w:r>
          </w:p>
        </w:tc>
        <w:tc>
          <w:tcPr>
            <w:tcW w:type="dxa" w:w="2835"/>
            <w:shd w:fill="17324D"/>
            <w:vAlign w:val="center"/>
            <w:tcMar>
              <w:top w:w="90" w:type="dxa"/>
              <w:start w:w="90" w:type="dxa"/>
              <w:bottom w:w="90" w:type="dxa"/>
              <w:end w:w="90" w:type="dxa"/>
            </w:tcMar>
          </w:tcPr>
          <w:p>
            <w:r>
              <w:rPr>
                <w:b/>
                <w:color w:val="FFFFFF"/>
                <w:sz w:val="15"/>
              </w:rPr>
              <w:t>What it does</w:t>
            </w:r>
          </w:p>
        </w:tc>
        <w:tc>
          <w:tcPr>
            <w:tcW w:type="dxa" w:w="2835"/>
            <w:shd w:fill="17324D"/>
            <w:vAlign w:val="center"/>
            <w:tcMar>
              <w:top w:w="90" w:type="dxa"/>
              <w:start w:w="90" w:type="dxa"/>
              <w:bottom w:w="90" w:type="dxa"/>
              <w:end w:w="90" w:type="dxa"/>
            </w:tcMar>
          </w:tcPr>
          <w:p>
            <w:r>
              <w:rPr>
                <w:b/>
                <w:color w:val="FFFFFF"/>
                <w:sz w:val="15"/>
              </w:rPr>
              <w:t>Preferred route</w:t>
            </w:r>
          </w:p>
        </w:tc>
        <w:tc>
          <w:tcPr>
            <w:tcW w:type="dxa" w:w="2041"/>
            <w:shd w:fill="17324D"/>
            <w:vAlign w:val="center"/>
            <w:tcMar>
              <w:top w:w="90" w:type="dxa"/>
              <w:start w:w="90" w:type="dxa"/>
              <w:bottom w:w="90" w:type="dxa"/>
              <w:end w:w="90" w:type="dxa"/>
            </w:tcMar>
          </w:tcPr>
          <w:p>
            <w:r>
              <w:rPr>
                <w:b/>
                <w:color w:val="FFFFFF"/>
                <w:sz w:val="15"/>
              </w:rPr>
              <w:t>Decision</w:t>
            </w:r>
          </w:p>
        </w:tc>
      </w:tr>
      <w:tr>
        <w:tc>
          <w:tcPr>
            <w:tcW w:type="dxa" w:w="1531"/>
            <w:vAlign w:val="top"/>
            <w:tcMar>
              <w:top w:w="90" w:type="dxa"/>
              <w:start w:w="90" w:type="dxa"/>
              <w:bottom w:w="90" w:type="dxa"/>
              <w:end w:w="90" w:type="dxa"/>
            </w:tcMar>
          </w:tcPr>
          <w:p>
            <w:pPr>
              <w:spacing w:after="20" w:line="240" w:lineRule="auto"/>
            </w:pPr>
            <w:r>
              <w:rPr>
                <w:color w:val="17324D"/>
                <w:sz w:val="15"/>
              </w:rPr>
              <w:t>1  Avoid demand</w:t>
            </w:r>
          </w:p>
        </w:tc>
        <w:tc>
          <w:tcPr>
            <w:tcW w:type="dxa" w:w="2835"/>
            <w:vAlign w:val="top"/>
            <w:tcMar>
              <w:top w:w="90" w:type="dxa"/>
              <w:start w:w="90" w:type="dxa"/>
              <w:bottom w:w="90" w:type="dxa"/>
              <w:end w:w="90" w:type="dxa"/>
            </w:tcMar>
          </w:tcPr>
          <w:p>
            <w:pPr>
              <w:spacing w:after="20" w:line="240" w:lineRule="auto"/>
            </w:pPr>
            <w:r>
              <w:rPr>
                <w:color w:val="17324D"/>
                <w:sz w:val="15"/>
              </w:rPr>
              <w:t>Leak detection  low-flow fixtures  greywater for non-potable uses</w:t>
            </w:r>
          </w:p>
        </w:tc>
        <w:tc>
          <w:tcPr>
            <w:tcW w:type="dxa" w:w="2835"/>
            <w:vAlign w:val="top"/>
            <w:tcMar>
              <w:top w:w="90" w:type="dxa"/>
              <w:start w:w="90" w:type="dxa"/>
              <w:bottom w:w="90" w:type="dxa"/>
              <w:end w:w="90" w:type="dxa"/>
            </w:tcMar>
          </w:tcPr>
          <w:p>
            <w:pPr>
              <w:spacing w:after="20" w:line="240" w:lineRule="auto"/>
            </w:pPr>
            <w:r>
              <w:rPr>
                <w:color w:val="17324D"/>
                <w:sz w:val="15"/>
              </w:rPr>
              <w:t>Local plumbing and controls</w:t>
            </w:r>
          </w:p>
        </w:tc>
        <w:tc>
          <w:tcPr>
            <w:tcW w:type="dxa" w:w="2041"/>
            <w:vAlign w:val="top"/>
            <w:tcMar>
              <w:top w:w="90" w:type="dxa"/>
              <w:start w:w="90" w:type="dxa"/>
              <w:bottom w:w="90" w:type="dxa"/>
              <w:end w:w="90" w:type="dxa"/>
            </w:tcMar>
          </w:tcPr>
          <w:p>
            <w:pPr>
              <w:spacing w:after="20" w:line="240" w:lineRule="auto"/>
            </w:pPr>
            <w:r>
              <w:rPr>
                <w:color w:val="17324D"/>
                <w:sz w:val="15"/>
              </w:rPr>
              <w:t>Do now</w:t>
            </w:r>
          </w:p>
        </w:tc>
      </w:tr>
      <w:tr>
        <w:tc>
          <w:tcPr>
            <w:tcW w:type="dxa" w:w="1531"/>
            <w:vAlign w:val="top"/>
            <w:tcMar>
              <w:top w:w="90" w:type="dxa"/>
              <w:start w:w="90" w:type="dxa"/>
              <w:bottom w:w="90" w:type="dxa"/>
              <w:end w:w="90" w:type="dxa"/>
            </w:tcMar>
            <w:shd w:fill="F2F4F5"/>
          </w:tcPr>
          <w:p>
            <w:pPr>
              <w:spacing w:after="20" w:line="240" w:lineRule="auto"/>
            </w:pPr>
            <w:r>
              <w:rPr>
                <w:color w:val="17324D"/>
                <w:sz w:val="15"/>
              </w:rPr>
              <w:t>2  Capture free water</w:t>
            </w:r>
          </w:p>
        </w:tc>
        <w:tc>
          <w:tcPr>
            <w:tcW w:type="dxa" w:w="2835"/>
            <w:vAlign w:val="top"/>
            <w:tcMar>
              <w:top w:w="90" w:type="dxa"/>
              <w:start w:w="90" w:type="dxa"/>
              <w:bottom w:w="90" w:type="dxa"/>
              <w:end w:w="90" w:type="dxa"/>
            </w:tcMar>
            <w:shd w:fill="F2F4F5"/>
          </w:tcPr>
          <w:p>
            <w:pPr>
              <w:spacing w:after="20" w:line="240" w:lineRule="auto"/>
            </w:pPr>
            <w:r>
              <w:rPr>
                <w:color w:val="17324D"/>
                <w:sz w:val="15"/>
              </w:rPr>
              <w:t>Roof rain  fog  drizzle  limited dew</w:t>
            </w:r>
          </w:p>
        </w:tc>
        <w:tc>
          <w:tcPr>
            <w:tcW w:type="dxa" w:w="2835"/>
            <w:vAlign w:val="top"/>
            <w:tcMar>
              <w:top w:w="90" w:type="dxa"/>
              <w:start w:w="90" w:type="dxa"/>
              <w:bottom w:w="90" w:type="dxa"/>
              <w:end w:w="90" w:type="dxa"/>
            </w:tcMar>
            <w:shd w:fill="F2F4F5"/>
          </w:tcPr>
          <w:p>
            <w:pPr>
              <w:spacing w:after="20" w:line="240" w:lineRule="auto"/>
            </w:pPr>
            <w:r>
              <w:rPr>
                <w:color w:val="17324D"/>
                <w:sz w:val="15"/>
              </w:rPr>
              <w:t>Guadeloupe tanks plus FogQuest or CloudFisher pilot</w:t>
            </w:r>
          </w:p>
        </w:tc>
        <w:tc>
          <w:tcPr>
            <w:tcW w:type="dxa" w:w="2041"/>
            <w:vAlign w:val="top"/>
            <w:tcMar>
              <w:top w:w="90" w:type="dxa"/>
              <w:start w:w="90" w:type="dxa"/>
              <w:bottom w:w="90" w:type="dxa"/>
              <w:end w:w="90" w:type="dxa"/>
            </w:tcMar>
            <w:shd w:fill="F2F4F5"/>
          </w:tcPr>
          <w:p>
            <w:pPr>
              <w:spacing w:after="20" w:line="240" w:lineRule="auto"/>
            </w:pPr>
            <w:r>
              <w:rPr>
                <w:color w:val="17324D"/>
                <w:sz w:val="15"/>
              </w:rPr>
              <w:t>Do now as measured pilots</w:t>
            </w:r>
          </w:p>
        </w:tc>
      </w:tr>
      <w:tr>
        <w:tc>
          <w:tcPr>
            <w:tcW w:type="dxa" w:w="1531"/>
            <w:vAlign w:val="top"/>
            <w:tcMar>
              <w:top w:w="90" w:type="dxa"/>
              <w:start w:w="90" w:type="dxa"/>
              <w:bottom w:w="90" w:type="dxa"/>
              <w:end w:w="90" w:type="dxa"/>
            </w:tcMar>
          </w:tcPr>
          <w:p>
            <w:pPr>
              <w:spacing w:after="20" w:line="240" w:lineRule="auto"/>
            </w:pPr>
            <w:r>
              <w:rPr>
                <w:color w:val="17324D"/>
                <w:sz w:val="15"/>
              </w:rPr>
              <w:t>3  Passive production</w:t>
            </w:r>
          </w:p>
        </w:tc>
        <w:tc>
          <w:tcPr>
            <w:tcW w:type="dxa" w:w="2835"/>
            <w:vAlign w:val="top"/>
            <w:tcMar>
              <w:top w:w="90" w:type="dxa"/>
              <w:start w:w="90" w:type="dxa"/>
              <w:bottom w:w="90" w:type="dxa"/>
              <w:end w:w="90" w:type="dxa"/>
            </w:tcMar>
          </w:tcPr>
          <w:p>
            <w:pPr>
              <w:spacing w:after="20" w:line="240" w:lineRule="auto"/>
            </w:pPr>
            <w:r>
              <w:rPr>
                <w:color w:val="17324D"/>
                <w:sz w:val="15"/>
              </w:rPr>
              <w:t>Solar distillation without grid power</w:t>
            </w:r>
          </w:p>
        </w:tc>
        <w:tc>
          <w:tcPr>
            <w:tcW w:type="dxa" w:w="2835"/>
            <w:vAlign w:val="top"/>
            <w:tcMar>
              <w:top w:w="90" w:type="dxa"/>
              <w:start w:w="90" w:type="dxa"/>
              <w:bottom w:w="90" w:type="dxa"/>
              <w:end w:w="90" w:type="dxa"/>
            </w:tcMar>
          </w:tcPr>
          <w:p>
            <w:pPr>
              <w:spacing w:after="20" w:line="240" w:lineRule="auto"/>
            </w:pPr>
            <w:r>
              <w:rPr>
                <w:color w:val="17324D"/>
                <w:sz w:val="15"/>
              </w:rPr>
              <w:t>GWS-1 local build plus Carocell benchmark</w:t>
            </w:r>
          </w:p>
        </w:tc>
        <w:tc>
          <w:tcPr>
            <w:tcW w:type="dxa" w:w="2041"/>
            <w:vAlign w:val="top"/>
            <w:tcMar>
              <w:top w:w="90" w:type="dxa"/>
              <w:start w:w="90" w:type="dxa"/>
              <w:bottom w:w="90" w:type="dxa"/>
              <w:end w:w="90" w:type="dxa"/>
            </w:tcMar>
          </w:tcPr>
          <w:p>
            <w:pPr>
              <w:spacing w:after="20" w:line="240" w:lineRule="auto"/>
            </w:pPr>
            <w:r>
              <w:rPr>
                <w:color w:val="17324D"/>
                <w:sz w:val="15"/>
              </w:rPr>
              <w:t>Household and contingency only</w:t>
            </w:r>
          </w:p>
        </w:tc>
      </w:tr>
      <w:tr>
        <w:tc>
          <w:tcPr>
            <w:tcW w:type="dxa" w:w="1531"/>
            <w:vAlign w:val="top"/>
            <w:tcMar>
              <w:top w:w="90" w:type="dxa"/>
              <w:start w:w="90" w:type="dxa"/>
              <w:bottom w:w="90" w:type="dxa"/>
              <w:end w:w="90" w:type="dxa"/>
            </w:tcMar>
            <w:shd w:fill="F2F4F5"/>
          </w:tcPr>
          <w:p>
            <w:pPr>
              <w:spacing w:after="20" w:line="240" w:lineRule="auto"/>
            </w:pPr>
            <w:r>
              <w:rPr>
                <w:color w:val="17324D"/>
                <w:sz w:val="15"/>
              </w:rPr>
              <w:t>4  Reliable base load</w:t>
            </w:r>
          </w:p>
        </w:tc>
        <w:tc>
          <w:tcPr>
            <w:tcW w:type="dxa" w:w="2835"/>
            <w:vAlign w:val="top"/>
            <w:tcMar>
              <w:top w:w="90" w:type="dxa"/>
              <w:start w:w="90" w:type="dxa"/>
              <w:bottom w:w="90" w:type="dxa"/>
              <w:end w:w="90" w:type="dxa"/>
            </w:tcMar>
            <w:shd w:fill="F2F4F5"/>
          </w:tcPr>
          <w:p>
            <w:pPr>
              <w:spacing w:after="20" w:line="240" w:lineRule="auto"/>
            </w:pPr>
            <w:r>
              <w:rPr>
                <w:color w:val="17324D"/>
                <w:sz w:val="15"/>
              </w:rPr>
              <w:t>Potable supply independent of rainfall</w:t>
            </w:r>
          </w:p>
        </w:tc>
        <w:tc>
          <w:tcPr>
            <w:tcW w:type="dxa" w:w="2835"/>
            <w:vAlign w:val="top"/>
            <w:tcMar>
              <w:top w:w="90" w:type="dxa"/>
              <w:start w:w="90" w:type="dxa"/>
              <w:bottom w:w="90" w:type="dxa"/>
              <w:end w:w="90" w:type="dxa"/>
            </w:tcMar>
            <w:shd w:fill="F2F4F5"/>
          </w:tcPr>
          <w:p>
            <w:pPr>
              <w:spacing w:after="20" w:line="240" w:lineRule="auto"/>
            </w:pPr>
            <w:r>
              <w:rPr>
                <w:color w:val="17324D"/>
                <w:sz w:val="15"/>
              </w:rPr>
              <w:t>EU solar SWRO with pressure-energy recovery</w:t>
            </w:r>
          </w:p>
        </w:tc>
        <w:tc>
          <w:tcPr>
            <w:tcW w:type="dxa" w:w="2041"/>
            <w:vAlign w:val="top"/>
            <w:tcMar>
              <w:top w:w="90" w:type="dxa"/>
              <w:start w:w="90" w:type="dxa"/>
              <w:bottom w:w="90" w:type="dxa"/>
              <w:end w:w="90" w:type="dxa"/>
            </w:tcMar>
            <w:shd w:fill="F2F4F5"/>
          </w:tcPr>
          <w:p>
            <w:pPr>
              <w:spacing w:after="20" w:line="240" w:lineRule="auto"/>
            </w:pPr>
            <w:r>
              <w:rPr>
                <w:color w:val="17324D"/>
                <w:sz w:val="15"/>
              </w:rPr>
              <w:t>Primary municipal backbone</w:t>
            </w:r>
          </w:p>
        </w:tc>
      </w:tr>
      <w:tr>
        <w:tc>
          <w:tcPr>
            <w:tcW w:type="dxa" w:w="1531"/>
            <w:vAlign w:val="top"/>
            <w:tcMar>
              <w:top w:w="90" w:type="dxa"/>
              <w:start w:w="90" w:type="dxa"/>
              <w:bottom w:w="90" w:type="dxa"/>
              <w:end w:w="90" w:type="dxa"/>
            </w:tcMar>
          </w:tcPr>
          <w:p>
            <w:pPr>
              <w:spacing w:after="20" w:line="240" w:lineRule="auto"/>
            </w:pPr>
            <w:r>
              <w:rPr>
                <w:color w:val="17324D"/>
                <w:sz w:val="15"/>
              </w:rPr>
              <w:t>5  Emergency diversity</w:t>
            </w:r>
          </w:p>
        </w:tc>
        <w:tc>
          <w:tcPr>
            <w:tcW w:type="dxa" w:w="2835"/>
            <w:vAlign w:val="top"/>
            <w:tcMar>
              <w:top w:w="90" w:type="dxa"/>
              <w:start w:w="90" w:type="dxa"/>
              <w:bottom w:w="90" w:type="dxa"/>
              <w:end w:w="90" w:type="dxa"/>
            </w:tcMar>
          </w:tcPr>
          <w:p>
            <w:pPr>
              <w:spacing w:after="20" w:line="240" w:lineRule="auto"/>
            </w:pPr>
            <w:r>
              <w:rPr>
                <w:color w:val="17324D"/>
                <w:sz w:val="15"/>
              </w:rPr>
              <w:t>Portable manual or DC watermaking</w:t>
            </w:r>
          </w:p>
        </w:tc>
        <w:tc>
          <w:tcPr>
            <w:tcW w:type="dxa" w:w="2835"/>
            <w:vAlign w:val="top"/>
            <w:tcMar>
              <w:top w:w="90" w:type="dxa"/>
              <w:start w:w="90" w:type="dxa"/>
              <w:bottom w:w="90" w:type="dxa"/>
              <w:end w:w="90" w:type="dxa"/>
            </w:tcMar>
          </w:tcPr>
          <w:p>
            <w:pPr>
              <w:spacing w:after="20" w:line="240" w:lineRule="auto"/>
            </w:pPr>
            <w:r>
              <w:rPr>
                <w:color w:val="17324D"/>
                <w:sz w:val="15"/>
              </w:rPr>
              <w:t>Katadyn and Spectra</w:t>
            </w:r>
          </w:p>
        </w:tc>
        <w:tc>
          <w:tcPr>
            <w:tcW w:type="dxa" w:w="2041"/>
            <w:vAlign w:val="top"/>
            <w:tcMar>
              <w:top w:w="90" w:type="dxa"/>
              <w:start w:w="90" w:type="dxa"/>
              <w:bottom w:w="90" w:type="dxa"/>
              <w:end w:w="90" w:type="dxa"/>
            </w:tcMar>
          </w:tcPr>
          <w:p>
            <w:pPr>
              <w:spacing w:after="20" w:line="240" w:lineRule="auto"/>
            </w:pPr>
            <w:r>
              <w:rPr>
                <w:color w:val="17324D"/>
                <w:sz w:val="15"/>
              </w:rPr>
              <w:t>Strategic stock</w:t>
            </w:r>
          </w:p>
        </w:tc>
      </w:tr>
      <w:tr>
        <w:tc>
          <w:tcPr>
            <w:tcW w:type="dxa" w:w="1531"/>
            <w:vAlign w:val="top"/>
            <w:tcMar>
              <w:top w:w="90" w:type="dxa"/>
              <w:start w:w="90" w:type="dxa"/>
              <w:bottom w:w="90" w:type="dxa"/>
              <w:end w:w="90" w:type="dxa"/>
            </w:tcMar>
            <w:shd w:fill="F2F4F5"/>
          </w:tcPr>
          <w:p>
            <w:pPr>
              <w:spacing w:after="20" w:line="240" w:lineRule="auto"/>
            </w:pPr>
            <w:r>
              <w:rPr>
                <w:color w:val="17324D"/>
                <w:sz w:val="15"/>
              </w:rPr>
              <w:t>6  Resource recovery</w:t>
            </w:r>
          </w:p>
        </w:tc>
        <w:tc>
          <w:tcPr>
            <w:tcW w:type="dxa" w:w="2835"/>
            <w:vAlign w:val="top"/>
            <w:tcMar>
              <w:top w:w="90" w:type="dxa"/>
              <w:start w:w="90" w:type="dxa"/>
              <w:bottom w:w="90" w:type="dxa"/>
              <w:end w:w="90" w:type="dxa"/>
            </w:tcMar>
            <w:shd w:fill="F2F4F5"/>
          </w:tcPr>
          <w:p>
            <w:pPr>
              <w:spacing w:after="20" w:line="240" w:lineRule="auto"/>
            </w:pPr>
            <w:r>
              <w:rPr>
                <w:color w:val="17324D"/>
                <w:sz w:val="15"/>
              </w:rPr>
              <w:t>Pressure  heat  water side-streams  salts</w:t>
            </w:r>
          </w:p>
        </w:tc>
        <w:tc>
          <w:tcPr>
            <w:tcW w:type="dxa" w:w="2835"/>
            <w:vAlign w:val="top"/>
            <w:tcMar>
              <w:top w:w="90" w:type="dxa"/>
              <w:start w:w="90" w:type="dxa"/>
              <w:bottom w:w="90" w:type="dxa"/>
              <w:end w:w="90" w:type="dxa"/>
            </w:tcMar>
            <w:shd w:fill="F2F4F5"/>
          </w:tcPr>
          <w:p>
            <w:pPr>
              <w:spacing w:after="20" w:line="240" w:lineRule="auto"/>
            </w:pPr>
            <w:r>
              <w:rPr>
                <w:color w:val="17324D"/>
                <w:sz w:val="15"/>
              </w:rPr>
              <w:t>REFLUX IT loops with monitoring</w:t>
            </w:r>
          </w:p>
        </w:tc>
        <w:tc>
          <w:tcPr>
            <w:tcW w:type="dxa" w:w="2041"/>
            <w:vAlign w:val="top"/>
            <w:tcMar>
              <w:top w:w="90" w:type="dxa"/>
              <w:start w:w="90" w:type="dxa"/>
              <w:bottom w:w="90" w:type="dxa"/>
              <w:end w:w="90" w:type="dxa"/>
            </w:tcMar>
            <w:shd w:fill="F2F4F5"/>
          </w:tcPr>
          <w:p>
            <w:pPr>
              <w:spacing w:after="20" w:line="240" w:lineRule="auto"/>
            </w:pPr>
            <w:r>
              <w:rPr>
                <w:color w:val="17324D"/>
                <w:sz w:val="15"/>
              </w:rPr>
              <w:t>Integrate selectively</w:t>
            </w:r>
          </w:p>
        </w:tc>
      </w:tr>
    </w:tbl>
    <w:p>
      <w:pPr>
        <w:spacing w:after="0"/>
      </w:pPr>
    </w:p>
    <w:p>
      <w:pPr>
        <w:pStyle w:val="Heading2"/>
      </w:pPr>
      <w:r>
        <w:t>What should not be the backbone</w:t>
      </w:r>
    </w:p>
    <w:p>
      <w:pPr>
        <w:pStyle w:val="ListBullet"/>
        <w:spacing w:after="60"/>
        <w:ind w:left="312" w:hanging="170"/>
      </w:pPr>
      <w:r>
        <w:rPr>
          <w:color w:val="17324D"/>
          <w:sz w:val="19"/>
        </w:rPr>
        <w:t>Fog alone is too site-sensitive and cyclone-exposed until a full dry-season and preferably 12-month field dataset exists.</w:t>
      </w:r>
    </w:p>
    <w:p>
      <w:pPr>
        <w:pStyle w:val="ListBullet"/>
        <w:spacing w:after="60"/>
        <w:ind w:left="312" w:hanging="170"/>
      </w:pPr>
      <w:r>
        <w:rPr>
          <w:color w:val="17324D"/>
          <w:sz w:val="19"/>
        </w:rPr>
        <w:t>Passive dew is elegant but its normal yield is too low for thousands of people.</w:t>
      </w:r>
    </w:p>
    <w:p>
      <w:pPr>
        <w:pStyle w:val="ListBullet"/>
        <w:spacing w:after="60"/>
        <w:ind w:left="312" w:hanging="170"/>
      </w:pPr>
      <w:r>
        <w:rPr>
          <w:color w:val="17324D"/>
          <w:sz w:val="19"/>
        </w:rPr>
        <w:t>Compressor atmospheric water generators are commercially real but use roughly two orders of magnitude more electricity per cubic metre than efficient seawater RO under the compared vendor conditions.</w:t>
      </w:r>
    </w:p>
    <w:p>
      <w:pPr>
        <w:pStyle w:val="ListBullet"/>
        <w:spacing w:after="60"/>
        <w:ind w:left="312" w:hanging="170"/>
      </w:pPr>
      <w:r>
        <w:rPr>
          <w:color w:val="17324D"/>
          <w:sz w:val="19"/>
        </w:rPr>
        <w:t>Cloud seeding cannot make water from a clear sky and does not belong in the committed supply budget for Guadeloupe.</w:t>
      </w:r>
    </w:p>
    <w:p>
      <w:pPr>
        <w:pStyle w:val="Heading2"/>
      </w:pPr>
      <w:r>
        <w:t>Design basis</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2494"/>
            <w:shd w:fill="17324D"/>
            <w:vAlign w:val="center"/>
            <w:tcMar>
              <w:top w:w="90" w:type="dxa"/>
              <w:start w:w="90" w:type="dxa"/>
              <w:bottom w:w="90" w:type="dxa"/>
              <w:end w:w="90" w:type="dxa"/>
            </w:tcMar>
          </w:tcPr>
          <w:p>
            <w:r>
              <w:rPr>
                <w:b/>
                <w:color w:val="FFFFFF"/>
                <w:sz w:val="16"/>
              </w:rPr>
              <w:t>Service level</w:t>
            </w:r>
          </w:p>
        </w:tc>
        <w:tc>
          <w:tcPr>
            <w:tcW w:type="dxa" w:w="1701"/>
            <w:shd w:fill="17324D"/>
            <w:vAlign w:val="center"/>
            <w:tcMar>
              <w:top w:w="90" w:type="dxa"/>
              <w:start w:w="90" w:type="dxa"/>
              <w:bottom w:w="90" w:type="dxa"/>
              <w:end w:w="90" w:type="dxa"/>
            </w:tcMar>
          </w:tcPr>
          <w:p>
            <w:r>
              <w:rPr>
                <w:b/>
                <w:color w:val="FFFFFF"/>
                <w:sz w:val="16"/>
              </w:rPr>
              <w:t>Per person</w:t>
            </w:r>
          </w:p>
        </w:tc>
        <w:tc>
          <w:tcPr>
            <w:tcW w:type="dxa" w:w="1814"/>
            <w:shd w:fill="17324D"/>
            <w:vAlign w:val="center"/>
            <w:tcMar>
              <w:top w:w="90" w:type="dxa"/>
              <w:start w:w="90" w:type="dxa"/>
              <w:bottom w:w="90" w:type="dxa"/>
              <w:end w:w="90" w:type="dxa"/>
            </w:tcMar>
          </w:tcPr>
          <w:p>
            <w:r>
              <w:rPr>
                <w:b/>
                <w:color w:val="FFFFFF"/>
                <w:sz w:val="16"/>
              </w:rPr>
              <w:t>8,000 people</w:t>
            </w:r>
          </w:p>
        </w:tc>
        <w:tc>
          <w:tcPr>
            <w:tcW w:type="dxa" w:w="3231"/>
            <w:shd w:fill="17324D"/>
            <w:vAlign w:val="center"/>
            <w:tcMar>
              <w:top w:w="90" w:type="dxa"/>
              <w:start w:w="90" w:type="dxa"/>
              <w:bottom w:w="90" w:type="dxa"/>
              <w:end w:w="90" w:type="dxa"/>
            </w:tcMar>
          </w:tcPr>
          <w:p>
            <w:r>
              <w:rPr>
                <w:b/>
                <w:color w:val="FFFFFF"/>
                <w:sz w:val="16"/>
              </w:rPr>
              <w:t>Use in this study</w:t>
            </w:r>
          </w:p>
        </w:tc>
      </w:tr>
      <w:tr>
        <w:tc>
          <w:tcPr>
            <w:tcW w:type="dxa" w:w="2494"/>
            <w:vAlign w:val="top"/>
            <w:tcMar>
              <w:top w:w="90" w:type="dxa"/>
              <w:start w:w="90" w:type="dxa"/>
              <w:bottom w:w="90" w:type="dxa"/>
              <w:end w:w="90" w:type="dxa"/>
            </w:tcMar>
          </w:tcPr>
          <w:p>
            <w:pPr>
              <w:spacing w:after="20" w:line="240" w:lineRule="auto"/>
            </w:pPr>
            <w:r>
              <w:rPr>
                <w:color w:val="17324D"/>
                <w:sz w:val="16"/>
              </w:rPr>
              <w:t>Drinking only</w:t>
            </w:r>
          </w:p>
        </w:tc>
        <w:tc>
          <w:tcPr>
            <w:tcW w:type="dxa" w:w="1701"/>
            <w:vAlign w:val="top"/>
            <w:tcMar>
              <w:top w:w="90" w:type="dxa"/>
              <w:start w:w="90" w:type="dxa"/>
              <w:bottom w:w="90" w:type="dxa"/>
              <w:end w:w="90" w:type="dxa"/>
            </w:tcMar>
          </w:tcPr>
          <w:p>
            <w:pPr>
              <w:spacing w:after="20" w:line="240" w:lineRule="auto"/>
            </w:pPr>
            <w:r>
              <w:rPr>
                <w:color w:val="17324D"/>
                <w:sz w:val="16"/>
              </w:rPr>
              <w:t>3 L/day</w:t>
            </w:r>
          </w:p>
        </w:tc>
        <w:tc>
          <w:tcPr>
            <w:tcW w:type="dxa" w:w="1814"/>
            <w:vAlign w:val="top"/>
            <w:tcMar>
              <w:top w:w="90" w:type="dxa"/>
              <w:start w:w="90" w:type="dxa"/>
              <w:bottom w:w="90" w:type="dxa"/>
              <w:end w:w="90" w:type="dxa"/>
            </w:tcMar>
          </w:tcPr>
          <w:p>
            <w:pPr>
              <w:spacing w:after="20" w:line="240" w:lineRule="auto"/>
            </w:pPr>
            <w:r>
              <w:rPr>
                <w:color w:val="17324D"/>
                <w:sz w:val="16"/>
              </w:rPr>
              <w:t>24 m³/day</w:t>
            </w:r>
          </w:p>
        </w:tc>
        <w:tc>
          <w:tcPr>
            <w:tcW w:type="dxa" w:w="3231"/>
            <w:vAlign w:val="top"/>
            <w:tcMar>
              <w:top w:w="90" w:type="dxa"/>
              <w:start w:w="90" w:type="dxa"/>
              <w:bottom w:w="90" w:type="dxa"/>
              <w:end w:w="90" w:type="dxa"/>
            </w:tcMar>
          </w:tcPr>
          <w:p>
            <w:pPr>
              <w:spacing w:after="20" w:line="240" w:lineRule="auto"/>
            </w:pPr>
            <w:r>
              <w:rPr>
                <w:color w:val="17324D"/>
                <w:sz w:val="16"/>
              </w:rPr>
              <w:t>Minimum beverage volume</w:t>
            </w:r>
          </w:p>
        </w:tc>
      </w:tr>
      <w:tr>
        <w:tc>
          <w:tcPr>
            <w:tcW w:type="dxa" w:w="2494"/>
            <w:vAlign w:val="top"/>
            <w:tcMar>
              <w:top w:w="90" w:type="dxa"/>
              <w:start w:w="90" w:type="dxa"/>
              <w:bottom w:w="90" w:type="dxa"/>
              <w:end w:w="90" w:type="dxa"/>
            </w:tcMar>
            <w:shd w:fill="F2F4F5"/>
          </w:tcPr>
          <w:p>
            <w:pPr>
              <w:spacing w:after="20" w:line="240" w:lineRule="auto"/>
            </w:pPr>
            <w:r>
              <w:rPr>
                <w:color w:val="17324D"/>
                <w:sz w:val="16"/>
              </w:rPr>
              <w:t>Drinking and basic cooking</w:t>
            </w:r>
          </w:p>
        </w:tc>
        <w:tc>
          <w:tcPr>
            <w:tcW w:type="dxa" w:w="1701"/>
            <w:vAlign w:val="top"/>
            <w:tcMar>
              <w:top w:w="90" w:type="dxa"/>
              <w:start w:w="90" w:type="dxa"/>
              <w:bottom w:w="90" w:type="dxa"/>
              <w:end w:w="90" w:type="dxa"/>
            </w:tcMar>
            <w:shd w:fill="F2F4F5"/>
          </w:tcPr>
          <w:p>
            <w:pPr>
              <w:spacing w:after="20" w:line="240" w:lineRule="auto"/>
            </w:pPr>
            <w:r>
              <w:rPr>
                <w:color w:val="17324D"/>
                <w:sz w:val="16"/>
              </w:rPr>
              <w:t>5 L/day</w:t>
            </w:r>
          </w:p>
        </w:tc>
        <w:tc>
          <w:tcPr>
            <w:tcW w:type="dxa" w:w="1814"/>
            <w:vAlign w:val="top"/>
            <w:tcMar>
              <w:top w:w="90" w:type="dxa"/>
              <w:start w:w="90" w:type="dxa"/>
              <w:bottom w:w="90" w:type="dxa"/>
              <w:end w:w="90" w:type="dxa"/>
            </w:tcMar>
            <w:shd w:fill="F2F4F5"/>
          </w:tcPr>
          <w:p>
            <w:pPr>
              <w:spacing w:after="20" w:line="240" w:lineRule="auto"/>
            </w:pPr>
            <w:r>
              <w:rPr>
                <w:color w:val="17324D"/>
                <w:sz w:val="16"/>
              </w:rPr>
              <w:t>40 m³/day</w:t>
            </w:r>
          </w:p>
        </w:tc>
        <w:tc>
          <w:tcPr>
            <w:tcW w:type="dxa" w:w="3231"/>
            <w:vAlign w:val="top"/>
            <w:tcMar>
              <w:top w:w="90" w:type="dxa"/>
              <w:start w:w="90" w:type="dxa"/>
              <w:bottom w:w="90" w:type="dxa"/>
              <w:end w:w="90" w:type="dxa"/>
            </w:tcMar>
            <w:shd w:fill="F2F4F5"/>
          </w:tcPr>
          <w:p>
            <w:pPr>
              <w:spacing w:after="20" w:line="240" w:lineRule="auto"/>
            </w:pPr>
            <w:r>
              <w:rPr>
                <w:color w:val="17324D"/>
                <w:sz w:val="16"/>
              </w:rPr>
              <w:t>Short disruption target</w:t>
            </w:r>
          </w:p>
        </w:tc>
      </w:tr>
      <w:tr>
        <w:tc>
          <w:tcPr>
            <w:tcW w:type="dxa" w:w="2494"/>
            <w:vAlign w:val="top"/>
            <w:tcMar>
              <w:top w:w="90" w:type="dxa"/>
              <w:start w:w="90" w:type="dxa"/>
              <w:bottom w:w="90" w:type="dxa"/>
              <w:end w:w="90" w:type="dxa"/>
            </w:tcMar>
          </w:tcPr>
          <w:p>
            <w:pPr>
              <w:spacing w:after="20" w:line="240" w:lineRule="auto"/>
            </w:pPr>
            <w:r>
              <w:rPr>
                <w:color w:val="17324D"/>
                <w:sz w:val="16"/>
              </w:rPr>
              <w:t>Emergency basic service</w:t>
            </w:r>
          </w:p>
        </w:tc>
        <w:tc>
          <w:tcPr>
            <w:tcW w:type="dxa" w:w="1701"/>
            <w:vAlign w:val="top"/>
            <w:tcMar>
              <w:top w:w="90" w:type="dxa"/>
              <w:start w:w="90" w:type="dxa"/>
              <w:bottom w:w="90" w:type="dxa"/>
              <w:end w:w="90" w:type="dxa"/>
            </w:tcMar>
          </w:tcPr>
          <w:p>
            <w:pPr>
              <w:spacing w:after="20" w:line="240" w:lineRule="auto"/>
            </w:pPr>
            <w:r>
              <w:rPr>
                <w:color w:val="17324D"/>
                <w:sz w:val="16"/>
              </w:rPr>
              <w:t>15 L/day</w:t>
            </w:r>
          </w:p>
        </w:tc>
        <w:tc>
          <w:tcPr>
            <w:tcW w:type="dxa" w:w="1814"/>
            <w:vAlign w:val="top"/>
            <w:tcMar>
              <w:top w:w="90" w:type="dxa"/>
              <w:start w:w="90" w:type="dxa"/>
              <w:bottom w:w="90" w:type="dxa"/>
              <w:end w:w="90" w:type="dxa"/>
            </w:tcMar>
          </w:tcPr>
          <w:p>
            <w:pPr>
              <w:spacing w:after="20" w:line="240" w:lineRule="auto"/>
            </w:pPr>
            <w:r>
              <w:rPr>
                <w:color w:val="17324D"/>
                <w:sz w:val="16"/>
              </w:rPr>
              <w:t>120 m³/day</w:t>
            </w:r>
          </w:p>
        </w:tc>
        <w:tc>
          <w:tcPr>
            <w:tcW w:type="dxa" w:w="3231"/>
            <w:vAlign w:val="top"/>
            <w:tcMar>
              <w:top w:w="90" w:type="dxa"/>
              <w:start w:w="90" w:type="dxa"/>
              <w:bottom w:w="90" w:type="dxa"/>
              <w:end w:w="90" w:type="dxa"/>
            </w:tcMar>
          </w:tcPr>
          <w:p>
            <w:pPr>
              <w:spacing w:after="20" w:line="240" w:lineRule="auto"/>
            </w:pPr>
            <w:r>
              <w:rPr>
                <w:color w:val="17324D"/>
                <w:sz w:val="16"/>
              </w:rPr>
              <w:t>Primary plant design point</w:t>
            </w:r>
          </w:p>
        </w:tc>
      </w:tr>
      <w:tr>
        <w:tc>
          <w:tcPr>
            <w:tcW w:type="dxa" w:w="2494"/>
            <w:vAlign w:val="top"/>
            <w:tcMar>
              <w:top w:w="90" w:type="dxa"/>
              <w:start w:w="90" w:type="dxa"/>
              <w:bottom w:w="90" w:type="dxa"/>
              <w:end w:w="90" w:type="dxa"/>
            </w:tcMar>
            <w:shd w:fill="F2F4F5"/>
          </w:tcPr>
          <w:p>
            <w:pPr>
              <w:spacing w:after="20" w:line="240" w:lineRule="auto"/>
            </w:pPr>
            <w:r>
              <w:rPr>
                <w:color w:val="17324D"/>
                <w:sz w:val="16"/>
              </w:rPr>
              <w:t>Reduced domestic service</w:t>
            </w:r>
          </w:p>
        </w:tc>
        <w:tc>
          <w:tcPr>
            <w:tcW w:type="dxa" w:w="1701"/>
            <w:vAlign w:val="top"/>
            <w:tcMar>
              <w:top w:w="90" w:type="dxa"/>
              <w:start w:w="90" w:type="dxa"/>
              <w:bottom w:w="90" w:type="dxa"/>
              <w:end w:w="90" w:type="dxa"/>
            </w:tcMar>
            <w:shd w:fill="F2F4F5"/>
          </w:tcPr>
          <w:p>
            <w:pPr>
              <w:spacing w:after="20" w:line="240" w:lineRule="auto"/>
            </w:pPr>
            <w:r>
              <w:rPr>
                <w:color w:val="17324D"/>
                <w:sz w:val="16"/>
              </w:rPr>
              <w:t>50 L/day</w:t>
            </w:r>
          </w:p>
        </w:tc>
        <w:tc>
          <w:tcPr>
            <w:tcW w:type="dxa" w:w="1814"/>
            <w:vAlign w:val="top"/>
            <w:tcMar>
              <w:top w:w="90" w:type="dxa"/>
              <w:start w:w="90" w:type="dxa"/>
              <w:bottom w:w="90" w:type="dxa"/>
              <w:end w:w="90" w:type="dxa"/>
            </w:tcMar>
            <w:shd w:fill="F2F4F5"/>
          </w:tcPr>
          <w:p>
            <w:pPr>
              <w:spacing w:after="20" w:line="240" w:lineRule="auto"/>
            </w:pPr>
            <w:r>
              <w:rPr>
                <w:color w:val="17324D"/>
                <w:sz w:val="16"/>
              </w:rPr>
              <w:t>400 m³/day</w:t>
            </w:r>
          </w:p>
        </w:tc>
        <w:tc>
          <w:tcPr>
            <w:tcW w:type="dxa" w:w="3231"/>
            <w:vAlign w:val="top"/>
            <w:tcMar>
              <w:top w:w="90" w:type="dxa"/>
              <w:start w:w="90" w:type="dxa"/>
              <w:bottom w:w="90" w:type="dxa"/>
              <w:end w:w="90" w:type="dxa"/>
            </w:tcMar>
            <w:shd w:fill="F2F4F5"/>
          </w:tcPr>
          <w:p>
            <w:pPr>
              <w:spacing w:after="20" w:line="240" w:lineRule="auto"/>
            </w:pPr>
            <w:r>
              <w:rPr>
                <w:color w:val="17324D"/>
                <w:sz w:val="16"/>
              </w:rPr>
              <w:t>Future expansion  not initial scope</w:t>
            </w:r>
          </w:p>
        </w:tc>
      </w:tr>
      <w:tr>
        <w:tc>
          <w:tcPr>
            <w:tcW w:type="dxa" w:w="2494"/>
            <w:vAlign w:val="top"/>
            <w:tcMar>
              <w:top w:w="90" w:type="dxa"/>
              <w:start w:w="90" w:type="dxa"/>
              <w:bottom w:w="90" w:type="dxa"/>
              <w:end w:w="90" w:type="dxa"/>
            </w:tcMar>
          </w:tcPr>
          <w:p>
            <w:pPr>
              <w:spacing w:after="20" w:line="240" w:lineRule="auto"/>
            </w:pPr>
            <w:r>
              <w:rPr>
                <w:color w:val="17324D"/>
                <w:sz w:val="16"/>
              </w:rPr>
              <w:t>Typical higher domestic service</w:t>
            </w:r>
          </w:p>
        </w:tc>
        <w:tc>
          <w:tcPr>
            <w:tcW w:type="dxa" w:w="1701"/>
            <w:vAlign w:val="top"/>
            <w:tcMar>
              <w:top w:w="90" w:type="dxa"/>
              <w:start w:w="90" w:type="dxa"/>
              <w:bottom w:w="90" w:type="dxa"/>
              <w:end w:w="90" w:type="dxa"/>
            </w:tcMar>
          </w:tcPr>
          <w:p>
            <w:pPr>
              <w:spacing w:after="20" w:line="240" w:lineRule="auto"/>
            </w:pPr>
            <w:r>
              <w:rPr>
                <w:color w:val="17324D"/>
                <w:sz w:val="16"/>
              </w:rPr>
              <w:t>100 L/day</w:t>
            </w:r>
          </w:p>
        </w:tc>
        <w:tc>
          <w:tcPr>
            <w:tcW w:type="dxa" w:w="1814"/>
            <w:vAlign w:val="top"/>
            <w:tcMar>
              <w:top w:w="90" w:type="dxa"/>
              <w:start w:w="90" w:type="dxa"/>
              <w:bottom w:w="90" w:type="dxa"/>
              <w:end w:w="90" w:type="dxa"/>
            </w:tcMar>
          </w:tcPr>
          <w:p>
            <w:pPr>
              <w:spacing w:after="20" w:line="240" w:lineRule="auto"/>
            </w:pPr>
            <w:r>
              <w:rPr>
                <w:color w:val="17324D"/>
                <w:sz w:val="16"/>
              </w:rPr>
              <w:t>800 m³/day</w:t>
            </w:r>
          </w:p>
        </w:tc>
        <w:tc>
          <w:tcPr>
            <w:tcW w:type="dxa" w:w="3231"/>
            <w:vAlign w:val="top"/>
            <w:tcMar>
              <w:top w:w="90" w:type="dxa"/>
              <w:start w:w="90" w:type="dxa"/>
              <w:bottom w:w="90" w:type="dxa"/>
              <w:end w:w="90" w:type="dxa"/>
            </w:tcMar>
          </w:tcPr>
          <w:p>
            <w:pPr>
              <w:spacing w:after="20" w:line="240" w:lineRule="auto"/>
            </w:pPr>
            <w:r>
              <w:rPr>
                <w:color w:val="17324D"/>
                <w:sz w:val="16"/>
              </w:rPr>
              <w:t>Network-scale planning only</w:t>
            </w:r>
          </w:p>
        </w:tc>
      </w:tr>
    </w:tbl>
    <w:p>
      <w:pPr>
        <w:spacing w:after="0"/>
      </w:pPr>
    </w:p>
    <w:p>
      <w:pPr>
        <w:pStyle w:val="Smallnote"/>
      </w:pPr>
      <w:r>
        <w:t>The 15 L/person/day benchmark is an emergency minimum, not a normal long-term standard of living. WHO materials use 15 L/person/day as a minimum quantity to reach quickly after an emergency; actual design must include institutions, losses, firefighting and vulnerable users. [1]</w:t>
      </w:r>
    </w:p>
    <w:p>
      <w:pPr>
        <w:pStyle w:val="Heading1"/>
      </w:pPr>
      <w:r>
        <w:t>Guadeloupe design envelope</w:t>
      </w:r>
    </w:p>
    <w:p>
      <w:r>
        <w:t>Guadeloupe is not uniformly wet. Normal annual rainfall ranges from about 600 mm in the driest areas to almost 6,200 mm near La Soufrière. Windward Basse-Terre benefits from moist trade winds lifted by the mountains, while Grande-Terre and the smaller low-relief islands face more recurrent drought. This spatial contrast is the reason to combine catchment, storage and seawater treatment rather than assume that high island-wide humidity equals reliable local yield. [2]</w:t>
      </w:r>
    </w:p>
    <w:tbl>
      <w:tblPr>
        <w:tblStyle w:val="TableGrid"/>
        <w:tblW w:type="auto" w:w="0"/>
        <w:jc w:val="center"/>
        <w:tblLayout w:type="fixed"/>
        <w:tblLook w:firstColumn="1" w:firstRow="1" w:lastColumn="0" w:lastRow="0" w:noHBand="0" w:noVBand="1" w:val="04A0"/>
      </w:tblPr>
      <w:tblGrid>
        <w:gridCol w:w="5185"/>
        <w:gridCol w:w="5185"/>
      </w:tblGrid>
      <w:tr>
        <w:trPr>
          <w:tblHeader w:val="true"/>
        </w:trPr>
        <w:tc>
          <w:tcPr>
            <w:tcW w:type="dxa" w:w="2438"/>
            <w:shd w:fill="17324D"/>
            <w:vAlign w:val="center"/>
            <w:tcMar>
              <w:top w:w="90" w:type="dxa"/>
              <w:start w:w="90" w:type="dxa"/>
              <w:bottom w:w="90" w:type="dxa"/>
              <w:end w:w="90" w:type="dxa"/>
            </w:tcMar>
          </w:tcPr>
          <w:p>
            <w:r>
              <w:rPr>
                <w:b/>
                <w:color w:val="FFFFFF"/>
                <w:sz w:val="16"/>
              </w:rPr>
              <w:t>Hazard or condition</w:t>
            </w:r>
          </w:p>
        </w:tc>
        <w:tc>
          <w:tcPr>
            <w:tcW w:type="dxa" w:w="6803"/>
            <w:shd w:fill="17324D"/>
            <w:vAlign w:val="center"/>
            <w:tcMar>
              <w:top w:w="90" w:type="dxa"/>
              <w:start w:w="90" w:type="dxa"/>
              <w:bottom w:w="90" w:type="dxa"/>
              <w:end w:w="90" w:type="dxa"/>
            </w:tcMar>
          </w:tcPr>
          <w:p>
            <w:r>
              <w:rPr>
                <w:b/>
                <w:color w:val="FFFFFF"/>
                <w:sz w:val="16"/>
              </w:rPr>
              <w:t>Design response</w:t>
            </w:r>
          </w:p>
        </w:tc>
      </w:tr>
      <w:tr>
        <w:tc>
          <w:tcPr>
            <w:tcW w:type="dxa" w:w="2438"/>
            <w:vAlign w:val="top"/>
            <w:tcMar>
              <w:top w:w="90" w:type="dxa"/>
              <w:start w:w="90" w:type="dxa"/>
              <w:bottom w:w="90" w:type="dxa"/>
              <w:end w:w="90" w:type="dxa"/>
            </w:tcMar>
          </w:tcPr>
          <w:p>
            <w:pPr>
              <w:spacing w:after="20" w:line="240" w:lineRule="auto"/>
            </w:pPr>
            <w:r>
              <w:rPr>
                <w:color w:val="17324D"/>
                <w:sz w:val="16"/>
              </w:rPr>
              <w:t>Cyclones and extreme gusts</w:t>
            </w:r>
          </w:p>
        </w:tc>
        <w:tc>
          <w:tcPr>
            <w:tcW w:type="dxa" w:w="6803"/>
            <w:vAlign w:val="top"/>
            <w:tcMar>
              <w:top w:w="90" w:type="dxa"/>
              <w:start w:w="90" w:type="dxa"/>
              <w:bottom w:w="90" w:type="dxa"/>
              <w:end w:w="90" w:type="dxa"/>
            </w:tcMar>
          </w:tcPr>
          <w:p>
            <w:pPr>
              <w:spacing w:after="20" w:line="240" w:lineRule="auto"/>
            </w:pPr>
            <w:r>
              <w:rPr>
                <w:color w:val="17324D"/>
                <w:sz w:val="16"/>
              </w:rPr>
              <w:t>Fog mesh must lower or detach rapidly; still glass must be removable; containers and PV structures require engineered anchoring; tanks should be buried or bermed where feasible.</w:t>
            </w:r>
          </w:p>
        </w:tc>
      </w:tr>
      <w:tr>
        <w:tc>
          <w:tcPr>
            <w:tcW w:type="dxa" w:w="2438"/>
            <w:vAlign w:val="top"/>
            <w:tcMar>
              <w:top w:w="90" w:type="dxa"/>
              <w:start w:w="90" w:type="dxa"/>
              <w:bottom w:w="90" w:type="dxa"/>
              <w:end w:w="90" w:type="dxa"/>
            </w:tcMar>
            <w:shd w:fill="F2F4F5"/>
          </w:tcPr>
          <w:p>
            <w:pPr>
              <w:spacing w:after="20" w:line="240" w:lineRule="auto"/>
            </w:pPr>
            <w:r>
              <w:rPr>
                <w:color w:val="17324D"/>
                <w:sz w:val="16"/>
              </w:rPr>
              <w:t>Salt air and UV</w:t>
            </w:r>
          </w:p>
        </w:tc>
        <w:tc>
          <w:tcPr>
            <w:tcW w:type="dxa" w:w="6803"/>
            <w:vAlign w:val="top"/>
            <w:tcMar>
              <w:top w:w="90" w:type="dxa"/>
              <w:start w:w="90" w:type="dxa"/>
              <w:bottom w:w="90" w:type="dxa"/>
              <w:end w:w="90" w:type="dxa"/>
            </w:tcMar>
            <w:shd w:fill="F2F4F5"/>
          </w:tcPr>
          <w:p>
            <w:pPr>
              <w:spacing w:after="20" w:line="240" w:lineRule="auto"/>
            </w:pPr>
            <w:r>
              <w:rPr>
                <w:color w:val="17324D"/>
                <w:sz w:val="16"/>
              </w:rPr>
              <w:t>Specify marine-grade 316L in wetted metal paths, UV-stabilised polymers, replaceable fasteners and coatings, and a spares strategy.</w:t>
            </w:r>
          </w:p>
        </w:tc>
      </w:tr>
      <w:tr>
        <w:tc>
          <w:tcPr>
            <w:tcW w:type="dxa" w:w="2438"/>
            <w:vAlign w:val="top"/>
            <w:tcMar>
              <w:top w:w="90" w:type="dxa"/>
              <w:start w:w="90" w:type="dxa"/>
              <w:bottom w:w="90" w:type="dxa"/>
              <w:end w:w="90" w:type="dxa"/>
            </w:tcMar>
          </w:tcPr>
          <w:p>
            <w:pPr>
              <w:spacing w:after="20" w:line="240" w:lineRule="auto"/>
            </w:pPr>
            <w:r>
              <w:rPr>
                <w:color w:val="17324D"/>
                <w:sz w:val="16"/>
              </w:rPr>
              <w:t>Sargassum and coastal organics</w:t>
            </w:r>
          </w:p>
        </w:tc>
        <w:tc>
          <w:tcPr>
            <w:tcW w:type="dxa" w:w="6803"/>
            <w:vAlign w:val="top"/>
            <w:tcMar>
              <w:top w:w="90" w:type="dxa"/>
              <w:start w:w="90" w:type="dxa"/>
              <w:bottom w:w="90" w:type="dxa"/>
              <w:end w:w="90" w:type="dxa"/>
            </w:tcMar>
          </w:tcPr>
          <w:p>
            <w:pPr>
              <w:spacing w:after="20" w:line="240" w:lineRule="auto"/>
            </w:pPr>
            <w:r>
              <w:rPr>
                <w:color w:val="17324D"/>
                <w:sz w:val="16"/>
              </w:rPr>
              <w:t>Prefer screened offshore or beach-well intake after hydrogeology; otherwise include robust screening, clarification or flotation and UF as site tests dictate.</w:t>
            </w:r>
          </w:p>
        </w:tc>
      </w:tr>
      <w:tr>
        <w:tc>
          <w:tcPr>
            <w:tcW w:type="dxa" w:w="2438"/>
            <w:vAlign w:val="top"/>
            <w:tcMar>
              <w:top w:w="90" w:type="dxa"/>
              <w:start w:w="90" w:type="dxa"/>
              <w:bottom w:w="90" w:type="dxa"/>
              <w:end w:w="90" w:type="dxa"/>
            </w:tcMar>
            <w:shd w:fill="F2F4F5"/>
          </w:tcPr>
          <w:p>
            <w:pPr>
              <w:spacing w:after="20" w:line="240" w:lineRule="auto"/>
            </w:pPr>
            <w:r>
              <w:rPr>
                <w:color w:val="17324D"/>
                <w:sz w:val="16"/>
              </w:rPr>
              <w:t>Dry season and rainfall volatility</w:t>
            </w:r>
          </w:p>
        </w:tc>
        <w:tc>
          <w:tcPr>
            <w:tcW w:type="dxa" w:w="6803"/>
            <w:vAlign w:val="top"/>
            <w:tcMar>
              <w:top w:w="90" w:type="dxa"/>
              <w:start w:w="90" w:type="dxa"/>
              <w:bottom w:w="90" w:type="dxa"/>
              <w:end w:w="90" w:type="dxa"/>
            </w:tcMar>
            <w:shd w:fill="F2F4F5"/>
          </w:tcPr>
          <w:p>
            <w:pPr>
              <w:spacing w:after="20" w:line="240" w:lineRule="auto"/>
            </w:pPr>
            <w:r>
              <w:rPr>
                <w:color w:val="17324D"/>
                <w:sz w:val="16"/>
              </w:rPr>
              <w:t>Store water rather than electrons, diversify sources and size the RO base load to the dry-season requirement.</w:t>
            </w:r>
          </w:p>
        </w:tc>
      </w:tr>
      <w:tr>
        <w:tc>
          <w:tcPr>
            <w:tcW w:type="dxa" w:w="2438"/>
            <w:vAlign w:val="top"/>
            <w:tcMar>
              <w:top w:w="90" w:type="dxa"/>
              <w:start w:w="90" w:type="dxa"/>
              <w:bottom w:w="90" w:type="dxa"/>
              <w:end w:w="90" w:type="dxa"/>
            </w:tcMar>
          </w:tcPr>
          <w:p>
            <w:pPr>
              <w:spacing w:after="20" w:line="240" w:lineRule="auto"/>
            </w:pPr>
            <w:r>
              <w:rPr>
                <w:color w:val="17324D"/>
                <w:sz w:val="16"/>
              </w:rPr>
              <w:t>Warm humid air</w:t>
            </w:r>
          </w:p>
        </w:tc>
        <w:tc>
          <w:tcPr>
            <w:tcW w:type="dxa" w:w="6803"/>
            <w:vAlign w:val="top"/>
            <w:tcMar>
              <w:top w:w="90" w:type="dxa"/>
              <w:start w:w="90" w:type="dxa"/>
              <w:bottom w:w="90" w:type="dxa"/>
              <w:end w:w="90" w:type="dxa"/>
            </w:tcMar>
          </w:tcPr>
          <w:p>
            <w:pPr>
              <w:spacing w:after="20" w:line="240" w:lineRule="auto"/>
            </w:pPr>
            <w:r>
              <w:rPr>
                <w:color w:val="17324D"/>
                <w:sz w:val="16"/>
              </w:rPr>
              <w:t>Helpful to condensation AWG output, but not enough to overcome the technology's high electricity intensity at municipal scale.</w:t>
            </w:r>
          </w:p>
        </w:tc>
      </w:tr>
      <w:tr>
        <w:tc>
          <w:tcPr>
            <w:tcW w:type="dxa" w:w="2438"/>
            <w:vAlign w:val="top"/>
            <w:tcMar>
              <w:top w:w="90" w:type="dxa"/>
              <w:start w:w="90" w:type="dxa"/>
              <w:bottom w:w="90" w:type="dxa"/>
              <w:end w:w="90" w:type="dxa"/>
            </w:tcMar>
            <w:shd w:fill="F2F4F5"/>
          </w:tcPr>
          <w:p>
            <w:pPr>
              <w:spacing w:after="20" w:line="240" w:lineRule="auto"/>
            </w:pPr>
            <w:r>
              <w:rPr>
                <w:color w:val="17324D"/>
                <w:sz w:val="16"/>
              </w:rPr>
              <w:t>Power interruptions</w:t>
            </w:r>
          </w:p>
        </w:tc>
        <w:tc>
          <w:tcPr>
            <w:tcW w:type="dxa" w:w="6803"/>
            <w:vAlign w:val="top"/>
            <w:tcMar>
              <w:top w:w="90" w:type="dxa"/>
              <w:start w:w="90" w:type="dxa"/>
              <w:bottom w:w="90" w:type="dxa"/>
              <w:end w:w="90" w:type="dxa"/>
            </w:tcMar>
            <w:shd w:fill="F2F4F5"/>
          </w:tcPr>
          <w:p>
            <w:pPr>
              <w:spacing w:after="20" w:line="240" w:lineRule="auto"/>
            </w:pPr>
            <w:r>
              <w:rPr>
                <w:color w:val="17324D"/>
                <w:sz w:val="16"/>
              </w:rPr>
              <w:t>Operate PV-direct in daylight, use gravity distribution and reserve grid or wind generation for essential pumps, controls, disinfection and night demand.</w:t>
            </w:r>
          </w:p>
        </w:tc>
      </w:tr>
    </w:tbl>
    <w:p>
      <w:pPr>
        <w:spacing w:after="0"/>
      </w:pPr>
    </w:p>
    <w:p>
      <w:pPr>
        <w:pStyle w:val="Heading2"/>
      </w:pPr>
      <w:r>
        <w:t>Cyclone operating mode</w:t>
      </w:r>
    </w:p>
    <w:p>
      <w:pPr>
        <w:spacing w:after="40"/>
        <w:ind w:left="329" w:hanging="272"/>
      </w:pPr>
      <w:r>
        <w:rPr>
          <w:sz w:val="18"/>
        </w:rPr>
        <w:t>1.  At alert level, lower fog meshes, remove solar-still glazing, isolate tanks and protect vents and overflow points.</w:t>
      </w:r>
    </w:p>
    <w:p>
      <w:pPr>
        <w:spacing w:after="40"/>
        <w:ind w:left="329" w:hanging="272"/>
      </w:pPr>
      <w:r>
        <w:rPr>
          <w:sz w:val="18"/>
        </w:rPr>
        <w:t>2.  Before landfall, fill treated-water storage and chemically verify disinfectant residual.</w:t>
      </w:r>
    </w:p>
    <w:p>
      <w:pPr>
        <w:spacing w:after="40"/>
        <w:ind w:left="329" w:hanging="272"/>
      </w:pPr>
      <w:r>
        <w:rPr>
          <w:sz w:val="18"/>
        </w:rPr>
        <w:t>3.  After the storm, quarantine all raw capture until turbidity, conductivity and microbiology pass release criteria.</w:t>
      </w:r>
    </w:p>
    <w:p>
      <w:pPr>
        <w:spacing w:after="40"/>
        <w:ind w:left="329" w:hanging="272"/>
      </w:pPr>
      <w:r>
        <w:rPr>
          <w:sz w:val="18"/>
        </w:rPr>
        <w:t>4.  Restart the intake and RO in a staged sequence after inspecting screens, membranes, dosing and brine discharge.</w:t>
      </w:r>
    </w:p>
    <w:p>
      <w:pPr>
        <w:pStyle w:val="Heading1"/>
      </w:pPr>
      <w:r>
        <w:t>Technology ranking and scale</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1587"/>
            <w:shd w:fill="17324D"/>
            <w:vAlign w:val="center"/>
            <w:tcMar>
              <w:top w:w="90" w:type="dxa"/>
              <w:start w:w="90" w:type="dxa"/>
              <w:bottom w:w="90" w:type="dxa"/>
              <w:end w:w="90" w:type="dxa"/>
            </w:tcMar>
          </w:tcPr>
          <w:p>
            <w:r>
              <w:rPr>
                <w:b/>
                <w:color w:val="FFFFFF"/>
                <w:sz w:val="14"/>
              </w:rPr>
              <w:t>Technology</w:t>
            </w:r>
          </w:p>
        </w:tc>
        <w:tc>
          <w:tcPr>
            <w:tcW w:type="dxa" w:w="2268"/>
            <w:shd w:fill="17324D"/>
            <w:vAlign w:val="center"/>
            <w:tcMar>
              <w:top w:w="90" w:type="dxa"/>
              <w:start w:w="90" w:type="dxa"/>
              <w:bottom w:w="90" w:type="dxa"/>
              <w:end w:w="90" w:type="dxa"/>
            </w:tcMar>
          </w:tcPr>
          <w:p>
            <w:r>
              <w:rPr>
                <w:b/>
                <w:color w:val="FFFFFF"/>
                <w:sz w:val="14"/>
              </w:rPr>
              <w:t>Typical output basis</w:t>
            </w:r>
          </w:p>
        </w:tc>
        <w:tc>
          <w:tcPr>
            <w:tcW w:type="dxa" w:w="1531"/>
            <w:shd w:fill="17324D"/>
            <w:vAlign w:val="center"/>
            <w:tcMar>
              <w:top w:w="90" w:type="dxa"/>
              <w:start w:w="90" w:type="dxa"/>
              <w:bottom w:w="90" w:type="dxa"/>
              <w:end w:w="90" w:type="dxa"/>
            </w:tcMar>
          </w:tcPr>
          <w:p>
            <w:r>
              <w:rPr>
                <w:b/>
                <w:color w:val="FFFFFF"/>
                <w:sz w:val="14"/>
              </w:rPr>
              <w:t>Power</w:t>
            </w:r>
          </w:p>
        </w:tc>
        <w:tc>
          <w:tcPr>
            <w:tcW w:type="dxa" w:w="1587"/>
            <w:shd w:fill="17324D"/>
            <w:vAlign w:val="center"/>
            <w:tcMar>
              <w:top w:w="90" w:type="dxa"/>
              <w:start w:w="90" w:type="dxa"/>
              <w:bottom w:w="90" w:type="dxa"/>
              <w:end w:w="90" w:type="dxa"/>
            </w:tcMar>
          </w:tcPr>
          <w:p>
            <w:r>
              <w:rPr>
                <w:b/>
                <w:color w:val="FFFFFF"/>
                <w:sz w:val="14"/>
              </w:rPr>
              <w:t>Best scale</w:t>
            </w:r>
          </w:p>
        </w:tc>
        <w:tc>
          <w:tcPr>
            <w:tcW w:type="dxa" w:w="2268"/>
            <w:shd w:fill="17324D"/>
            <w:vAlign w:val="center"/>
            <w:tcMar>
              <w:top w:w="90" w:type="dxa"/>
              <w:start w:w="90" w:type="dxa"/>
              <w:bottom w:w="90" w:type="dxa"/>
              <w:end w:w="90" w:type="dxa"/>
            </w:tcMar>
          </w:tcPr>
          <w:p>
            <w:r>
              <w:rPr>
                <w:b/>
                <w:color w:val="FFFFFF"/>
                <w:sz w:val="14"/>
              </w:rPr>
              <w:t>Guadeloupe verdict</w:t>
            </w:r>
          </w:p>
        </w:tc>
      </w:tr>
      <w:tr>
        <w:tc>
          <w:tcPr>
            <w:tcW w:type="dxa" w:w="1587"/>
            <w:vAlign w:val="top"/>
            <w:tcMar>
              <w:top w:w="90" w:type="dxa"/>
              <w:start w:w="90" w:type="dxa"/>
              <w:bottom w:w="90" w:type="dxa"/>
              <w:end w:w="90" w:type="dxa"/>
            </w:tcMar>
          </w:tcPr>
          <w:p>
            <w:pPr>
              <w:spacing w:after="20" w:line="240" w:lineRule="auto"/>
            </w:pPr>
            <w:r>
              <w:rPr>
                <w:color w:val="17324D"/>
                <w:sz w:val="14"/>
              </w:rPr>
              <w:t>Roof rain</w:t>
            </w:r>
          </w:p>
        </w:tc>
        <w:tc>
          <w:tcPr>
            <w:tcW w:type="dxa" w:w="2268"/>
            <w:vAlign w:val="top"/>
            <w:tcMar>
              <w:top w:w="90" w:type="dxa"/>
              <w:start w:w="90" w:type="dxa"/>
              <w:bottom w:w="90" w:type="dxa"/>
              <w:end w:w="90" w:type="dxa"/>
            </w:tcMar>
          </w:tcPr>
          <w:p>
            <w:pPr>
              <w:spacing w:after="20" w:line="240" w:lineRule="auto"/>
            </w:pPr>
            <w:r>
              <w:rPr>
                <w:color w:val="17324D"/>
                <w:sz w:val="14"/>
              </w:rPr>
              <w:t>Annual rainfall × area × runoff coefficient</w:t>
            </w:r>
          </w:p>
        </w:tc>
        <w:tc>
          <w:tcPr>
            <w:tcW w:type="dxa" w:w="1531"/>
            <w:vAlign w:val="top"/>
            <w:tcMar>
              <w:top w:w="90" w:type="dxa"/>
              <w:start w:w="90" w:type="dxa"/>
              <w:bottom w:w="90" w:type="dxa"/>
              <w:end w:w="90" w:type="dxa"/>
            </w:tcMar>
          </w:tcPr>
          <w:p>
            <w:pPr>
              <w:spacing w:after="20" w:line="240" w:lineRule="auto"/>
            </w:pPr>
            <w:r>
              <w:rPr>
                <w:color w:val="17324D"/>
                <w:sz w:val="14"/>
              </w:rPr>
              <w:t>None  gravity possible</w:t>
            </w:r>
          </w:p>
        </w:tc>
        <w:tc>
          <w:tcPr>
            <w:tcW w:type="dxa" w:w="1587"/>
            <w:vAlign w:val="top"/>
            <w:tcMar>
              <w:top w:w="90" w:type="dxa"/>
              <w:start w:w="90" w:type="dxa"/>
              <w:bottom w:w="90" w:type="dxa"/>
              <w:end w:w="90" w:type="dxa"/>
            </w:tcMar>
          </w:tcPr>
          <w:p>
            <w:pPr>
              <w:spacing w:after="20" w:line="240" w:lineRule="auto"/>
            </w:pPr>
            <w:r>
              <w:rPr>
                <w:color w:val="17324D"/>
                <w:sz w:val="14"/>
              </w:rPr>
              <w:t>All</w:t>
            </w:r>
          </w:p>
        </w:tc>
        <w:tc>
          <w:tcPr>
            <w:tcW w:type="dxa" w:w="2268"/>
            <w:vAlign w:val="top"/>
            <w:tcMar>
              <w:top w:w="90" w:type="dxa"/>
              <w:start w:w="90" w:type="dxa"/>
              <w:bottom w:w="90" w:type="dxa"/>
              <w:end w:w="90" w:type="dxa"/>
            </w:tcMar>
          </w:tcPr>
          <w:p>
            <w:pPr>
              <w:spacing w:after="20" w:line="240" w:lineRule="auto"/>
            </w:pPr>
            <w:r>
              <w:rPr>
                <w:color w:val="17324D"/>
                <w:sz w:val="14"/>
              </w:rPr>
              <w:t>First capture layer  storage dominates</w:t>
            </w:r>
          </w:p>
        </w:tc>
      </w:tr>
      <w:tr>
        <w:tc>
          <w:tcPr>
            <w:tcW w:type="dxa" w:w="1587"/>
            <w:vAlign w:val="top"/>
            <w:tcMar>
              <w:top w:w="90" w:type="dxa"/>
              <w:start w:w="90" w:type="dxa"/>
              <w:bottom w:w="90" w:type="dxa"/>
              <w:end w:w="90" w:type="dxa"/>
            </w:tcMar>
            <w:shd w:fill="F2F4F5"/>
          </w:tcPr>
          <w:p>
            <w:pPr>
              <w:spacing w:after="20" w:line="240" w:lineRule="auto"/>
            </w:pPr>
            <w:r>
              <w:rPr>
                <w:color w:val="17324D"/>
                <w:sz w:val="14"/>
              </w:rPr>
              <w:t>Fog mesh</w:t>
            </w:r>
          </w:p>
        </w:tc>
        <w:tc>
          <w:tcPr>
            <w:tcW w:type="dxa" w:w="2268"/>
            <w:vAlign w:val="top"/>
            <w:tcMar>
              <w:top w:w="90" w:type="dxa"/>
              <w:start w:w="90" w:type="dxa"/>
              <w:bottom w:w="90" w:type="dxa"/>
              <w:end w:w="90" w:type="dxa"/>
            </w:tcMar>
            <w:shd w:fill="F2F4F5"/>
          </w:tcPr>
          <w:p>
            <w:pPr>
              <w:spacing w:after="20" w:line="240" w:lineRule="auto"/>
            </w:pPr>
            <w:r>
              <w:rPr>
                <w:color w:val="17324D"/>
                <w:sz w:val="14"/>
              </w:rPr>
              <w:t>Often 3–10 L/m²/day annual project average  highly local</w:t>
            </w:r>
          </w:p>
        </w:tc>
        <w:tc>
          <w:tcPr>
            <w:tcW w:type="dxa" w:w="1531"/>
            <w:vAlign w:val="top"/>
            <w:tcMar>
              <w:top w:w="90" w:type="dxa"/>
              <w:start w:w="90" w:type="dxa"/>
              <w:bottom w:w="90" w:type="dxa"/>
              <w:end w:w="90" w:type="dxa"/>
            </w:tcMar>
            <w:shd w:fill="F2F4F5"/>
          </w:tcPr>
          <w:p>
            <w:pPr>
              <w:spacing w:after="20" w:line="240" w:lineRule="auto"/>
            </w:pPr>
            <w:r>
              <w:rPr>
                <w:color w:val="17324D"/>
                <w:sz w:val="14"/>
              </w:rPr>
              <w:t>None</w:t>
            </w:r>
          </w:p>
        </w:tc>
        <w:tc>
          <w:tcPr>
            <w:tcW w:type="dxa" w:w="1587"/>
            <w:vAlign w:val="top"/>
            <w:tcMar>
              <w:top w:w="90" w:type="dxa"/>
              <w:start w:w="90" w:type="dxa"/>
              <w:bottom w:w="90" w:type="dxa"/>
              <w:end w:w="90" w:type="dxa"/>
            </w:tcMar>
            <w:shd w:fill="F2F4F5"/>
          </w:tcPr>
          <w:p>
            <w:pPr>
              <w:spacing w:after="20" w:line="240" w:lineRule="auto"/>
            </w:pPr>
            <w:r>
              <w:rPr>
                <w:color w:val="17324D"/>
                <w:sz w:val="14"/>
              </w:rPr>
              <w:t>Pilot to village</w:t>
            </w:r>
          </w:p>
        </w:tc>
        <w:tc>
          <w:tcPr>
            <w:tcW w:type="dxa" w:w="2268"/>
            <w:vAlign w:val="top"/>
            <w:tcMar>
              <w:top w:w="90" w:type="dxa"/>
              <w:start w:w="90" w:type="dxa"/>
              <w:bottom w:w="90" w:type="dxa"/>
              <w:end w:w="90" w:type="dxa"/>
            </w:tcMar>
            <w:shd w:fill="F2F4F5"/>
          </w:tcPr>
          <w:p>
            <w:pPr>
              <w:spacing w:after="20" w:line="240" w:lineRule="auto"/>
            </w:pPr>
            <w:r>
              <w:rPr>
                <w:color w:val="17324D"/>
                <w:sz w:val="14"/>
              </w:rPr>
              <w:t>Promising windward sites  measure first</w:t>
            </w:r>
          </w:p>
        </w:tc>
      </w:tr>
      <w:tr>
        <w:tc>
          <w:tcPr>
            <w:tcW w:type="dxa" w:w="1587"/>
            <w:vAlign w:val="top"/>
            <w:tcMar>
              <w:top w:w="90" w:type="dxa"/>
              <w:start w:w="90" w:type="dxa"/>
              <w:bottom w:w="90" w:type="dxa"/>
              <w:end w:w="90" w:type="dxa"/>
            </w:tcMar>
          </w:tcPr>
          <w:p>
            <w:pPr>
              <w:spacing w:after="20" w:line="240" w:lineRule="auto"/>
            </w:pPr>
            <w:r>
              <w:rPr>
                <w:color w:val="17324D"/>
                <w:sz w:val="14"/>
              </w:rPr>
              <w:t>Passive dew</w:t>
            </w:r>
          </w:p>
        </w:tc>
        <w:tc>
          <w:tcPr>
            <w:tcW w:type="dxa" w:w="2268"/>
            <w:vAlign w:val="top"/>
            <w:tcMar>
              <w:top w:w="90" w:type="dxa"/>
              <w:start w:w="90" w:type="dxa"/>
              <w:bottom w:w="90" w:type="dxa"/>
              <w:end w:w="90" w:type="dxa"/>
            </w:tcMar>
          </w:tcPr>
          <w:p>
            <w:pPr>
              <w:spacing w:after="20" w:line="240" w:lineRule="auto"/>
            </w:pPr>
            <w:r>
              <w:rPr>
                <w:color w:val="17324D"/>
                <w:sz w:val="14"/>
              </w:rPr>
              <w:t>About 0.3–0.6 L/m²/day in favourable literature</w:t>
            </w:r>
          </w:p>
        </w:tc>
        <w:tc>
          <w:tcPr>
            <w:tcW w:type="dxa" w:w="1531"/>
            <w:vAlign w:val="top"/>
            <w:tcMar>
              <w:top w:w="90" w:type="dxa"/>
              <w:start w:w="90" w:type="dxa"/>
              <w:bottom w:w="90" w:type="dxa"/>
              <w:end w:w="90" w:type="dxa"/>
            </w:tcMar>
          </w:tcPr>
          <w:p>
            <w:pPr>
              <w:spacing w:after="20" w:line="240" w:lineRule="auto"/>
            </w:pPr>
            <w:r>
              <w:rPr>
                <w:color w:val="17324D"/>
                <w:sz w:val="14"/>
              </w:rPr>
              <w:t>None</w:t>
            </w:r>
          </w:p>
        </w:tc>
        <w:tc>
          <w:tcPr>
            <w:tcW w:type="dxa" w:w="1587"/>
            <w:vAlign w:val="top"/>
            <w:tcMar>
              <w:top w:w="90" w:type="dxa"/>
              <w:start w:w="90" w:type="dxa"/>
              <w:bottom w:w="90" w:type="dxa"/>
              <w:end w:w="90" w:type="dxa"/>
            </w:tcMar>
          </w:tcPr>
          <w:p>
            <w:pPr>
              <w:spacing w:after="20" w:line="240" w:lineRule="auto"/>
            </w:pPr>
            <w:r>
              <w:rPr>
                <w:color w:val="17324D"/>
                <w:sz w:val="14"/>
              </w:rPr>
              <w:t>Device and garden</w:t>
            </w:r>
          </w:p>
        </w:tc>
        <w:tc>
          <w:tcPr>
            <w:tcW w:type="dxa" w:w="2268"/>
            <w:vAlign w:val="top"/>
            <w:tcMar>
              <w:top w:w="90" w:type="dxa"/>
              <w:start w:w="90" w:type="dxa"/>
              <w:bottom w:w="90" w:type="dxa"/>
              <w:end w:w="90" w:type="dxa"/>
            </w:tcMar>
          </w:tcPr>
          <w:p>
            <w:pPr>
              <w:spacing w:after="20" w:line="240" w:lineRule="auto"/>
            </w:pPr>
            <w:r>
              <w:rPr>
                <w:color w:val="17324D"/>
                <w:sz w:val="14"/>
              </w:rPr>
              <w:t>Useful supplement  not bulk supply</w:t>
            </w:r>
          </w:p>
        </w:tc>
      </w:tr>
      <w:tr>
        <w:tc>
          <w:tcPr>
            <w:tcW w:type="dxa" w:w="1587"/>
            <w:vAlign w:val="top"/>
            <w:tcMar>
              <w:top w:w="90" w:type="dxa"/>
              <w:start w:w="90" w:type="dxa"/>
              <w:bottom w:w="90" w:type="dxa"/>
              <w:end w:w="90" w:type="dxa"/>
            </w:tcMar>
            <w:shd w:fill="F2F4F5"/>
          </w:tcPr>
          <w:p>
            <w:pPr>
              <w:spacing w:after="20" w:line="240" w:lineRule="auto"/>
            </w:pPr>
            <w:r>
              <w:rPr>
                <w:color w:val="17324D"/>
                <w:sz w:val="14"/>
              </w:rPr>
              <w:t>GWS-1 solar still</w:t>
            </w:r>
          </w:p>
        </w:tc>
        <w:tc>
          <w:tcPr>
            <w:tcW w:type="dxa" w:w="2268"/>
            <w:vAlign w:val="top"/>
            <w:tcMar>
              <w:top w:w="90" w:type="dxa"/>
              <w:start w:w="90" w:type="dxa"/>
              <w:bottom w:w="90" w:type="dxa"/>
              <w:end w:w="90" w:type="dxa"/>
            </w:tcMar>
            <w:shd w:fill="F2F4F5"/>
          </w:tcPr>
          <w:p>
            <w:pPr>
              <w:spacing w:after="20" w:line="240" w:lineRule="auto"/>
            </w:pPr>
            <w:r>
              <w:rPr>
                <w:color w:val="17324D"/>
                <w:sz w:val="14"/>
              </w:rPr>
              <w:t>2.5–4 L/m²/day design basis</w:t>
            </w:r>
          </w:p>
        </w:tc>
        <w:tc>
          <w:tcPr>
            <w:tcW w:type="dxa" w:w="1531"/>
            <w:vAlign w:val="top"/>
            <w:tcMar>
              <w:top w:w="90" w:type="dxa"/>
              <w:start w:w="90" w:type="dxa"/>
              <w:bottom w:w="90" w:type="dxa"/>
              <w:end w:w="90" w:type="dxa"/>
            </w:tcMar>
            <w:shd w:fill="F2F4F5"/>
          </w:tcPr>
          <w:p>
            <w:pPr>
              <w:spacing w:after="20" w:line="240" w:lineRule="auto"/>
            </w:pPr>
            <w:r>
              <w:rPr>
                <w:color w:val="17324D"/>
                <w:sz w:val="14"/>
              </w:rPr>
              <w:t>None</w:t>
            </w:r>
          </w:p>
        </w:tc>
        <w:tc>
          <w:tcPr>
            <w:tcW w:type="dxa" w:w="1587"/>
            <w:vAlign w:val="top"/>
            <w:tcMar>
              <w:top w:w="90" w:type="dxa"/>
              <w:start w:w="90" w:type="dxa"/>
              <w:bottom w:w="90" w:type="dxa"/>
              <w:end w:w="90" w:type="dxa"/>
            </w:tcMar>
            <w:shd w:fill="F2F4F5"/>
          </w:tcPr>
          <w:p>
            <w:pPr>
              <w:spacing w:after="20" w:line="240" w:lineRule="auto"/>
            </w:pPr>
            <w:r>
              <w:rPr>
                <w:color w:val="17324D"/>
                <w:sz w:val="14"/>
              </w:rPr>
              <w:t>Household</w:t>
            </w:r>
          </w:p>
        </w:tc>
        <w:tc>
          <w:tcPr>
            <w:tcW w:type="dxa" w:w="2268"/>
            <w:vAlign w:val="top"/>
            <w:tcMar>
              <w:top w:w="90" w:type="dxa"/>
              <w:start w:w="90" w:type="dxa"/>
              <w:bottom w:w="90" w:type="dxa"/>
              <w:end w:w="90" w:type="dxa"/>
            </w:tcMar>
            <w:shd w:fill="F2F4F5"/>
          </w:tcPr>
          <w:p>
            <w:pPr>
              <w:spacing w:after="20" w:line="240" w:lineRule="auto"/>
            </w:pPr>
            <w:r>
              <w:rPr>
                <w:color w:val="17324D"/>
                <w:sz w:val="14"/>
              </w:rPr>
              <w:t>Local resilience and training platform</w:t>
            </w:r>
          </w:p>
        </w:tc>
      </w:tr>
      <w:tr>
        <w:tc>
          <w:tcPr>
            <w:tcW w:type="dxa" w:w="1587"/>
            <w:vAlign w:val="top"/>
            <w:tcMar>
              <w:top w:w="90" w:type="dxa"/>
              <w:start w:w="90" w:type="dxa"/>
              <w:bottom w:w="90" w:type="dxa"/>
              <w:end w:w="90" w:type="dxa"/>
            </w:tcMar>
          </w:tcPr>
          <w:p>
            <w:pPr>
              <w:spacing w:after="20" w:line="240" w:lineRule="auto"/>
            </w:pPr>
            <w:r>
              <w:rPr>
                <w:color w:val="17324D"/>
                <w:sz w:val="14"/>
              </w:rPr>
              <w:t>Commercial solar still</w:t>
            </w:r>
          </w:p>
        </w:tc>
        <w:tc>
          <w:tcPr>
            <w:tcW w:type="dxa" w:w="2268"/>
            <w:vAlign w:val="top"/>
            <w:tcMar>
              <w:top w:w="90" w:type="dxa"/>
              <w:start w:w="90" w:type="dxa"/>
              <w:bottom w:w="90" w:type="dxa"/>
              <w:end w:w="90" w:type="dxa"/>
            </w:tcMar>
          </w:tcPr>
          <w:p>
            <w:pPr>
              <w:spacing w:after="20" w:line="240" w:lineRule="auto"/>
            </w:pPr>
            <w:r>
              <w:rPr>
                <w:color w:val="17324D"/>
                <w:sz w:val="14"/>
              </w:rPr>
              <w:t>Vendor claims vary  require local seawater test</w:t>
            </w:r>
          </w:p>
        </w:tc>
        <w:tc>
          <w:tcPr>
            <w:tcW w:type="dxa" w:w="1531"/>
            <w:vAlign w:val="top"/>
            <w:tcMar>
              <w:top w:w="90" w:type="dxa"/>
              <w:start w:w="90" w:type="dxa"/>
              <w:bottom w:w="90" w:type="dxa"/>
              <w:end w:w="90" w:type="dxa"/>
            </w:tcMar>
          </w:tcPr>
          <w:p>
            <w:pPr>
              <w:spacing w:after="20" w:line="240" w:lineRule="auto"/>
            </w:pPr>
            <w:r>
              <w:rPr>
                <w:color w:val="17324D"/>
                <w:sz w:val="14"/>
              </w:rPr>
              <w:t>None</w:t>
            </w:r>
          </w:p>
        </w:tc>
        <w:tc>
          <w:tcPr>
            <w:tcW w:type="dxa" w:w="1587"/>
            <w:vAlign w:val="top"/>
            <w:tcMar>
              <w:top w:w="90" w:type="dxa"/>
              <w:start w:w="90" w:type="dxa"/>
              <w:bottom w:w="90" w:type="dxa"/>
              <w:end w:w="90" w:type="dxa"/>
            </w:tcMar>
          </w:tcPr>
          <w:p>
            <w:pPr>
              <w:spacing w:after="20" w:line="240" w:lineRule="auto"/>
            </w:pPr>
            <w:r>
              <w:rPr>
                <w:color w:val="17324D"/>
                <w:sz w:val="14"/>
              </w:rPr>
              <w:t>Household to small cluster</w:t>
            </w:r>
          </w:p>
        </w:tc>
        <w:tc>
          <w:tcPr>
            <w:tcW w:type="dxa" w:w="2268"/>
            <w:vAlign w:val="top"/>
            <w:tcMar>
              <w:top w:w="90" w:type="dxa"/>
              <w:start w:w="90" w:type="dxa"/>
              <w:bottom w:w="90" w:type="dxa"/>
              <w:end w:w="90" w:type="dxa"/>
            </w:tcMar>
          </w:tcPr>
          <w:p>
            <w:pPr>
              <w:spacing w:after="20" w:line="240" w:lineRule="auto"/>
            </w:pPr>
            <w:r>
              <w:rPr>
                <w:color w:val="17324D"/>
                <w:sz w:val="14"/>
              </w:rPr>
              <w:t>Benchmark GWS-1 against one purchased unit</w:t>
            </w:r>
          </w:p>
        </w:tc>
      </w:tr>
      <w:tr>
        <w:tc>
          <w:tcPr>
            <w:tcW w:type="dxa" w:w="1587"/>
            <w:vAlign w:val="top"/>
            <w:tcMar>
              <w:top w:w="90" w:type="dxa"/>
              <w:start w:w="90" w:type="dxa"/>
              <w:bottom w:w="90" w:type="dxa"/>
              <w:end w:w="90" w:type="dxa"/>
            </w:tcMar>
            <w:shd w:fill="F2F4F5"/>
          </w:tcPr>
          <w:p>
            <w:pPr>
              <w:spacing w:after="20" w:line="240" w:lineRule="auto"/>
            </w:pPr>
            <w:r>
              <w:rPr>
                <w:color w:val="17324D"/>
                <w:sz w:val="14"/>
              </w:rPr>
              <w:t>Manual RO</w:t>
            </w:r>
          </w:p>
        </w:tc>
        <w:tc>
          <w:tcPr>
            <w:tcW w:type="dxa" w:w="2268"/>
            <w:vAlign w:val="top"/>
            <w:tcMar>
              <w:top w:w="90" w:type="dxa"/>
              <w:start w:w="90" w:type="dxa"/>
              <w:bottom w:w="90" w:type="dxa"/>
              <w:end w:w="90" w:type="dxa"/>
            </w:tcMar>
            <w:shd w:fill="F2F4F5"/>
          </w:tcPr>
          <w:p>
            <w:pPr>
              <w:spacing w:after="20" w:line="240" w:lineRule="auto"/>
            </w:pPr>
            <w:r>
              <w:rPr>
                <w:color w:val="17324D"/>
                <w:sz w:val="14"/>
              </w:rPr>
              <w:t>About 4.5 L/hour for Katadyn Survivor 35</w:t>
            </w:r>
          </w:p>
        </w:tc>
        <w:tc>
          <w:tcPr>
            <w:tcW w:type="dxa" w:w="1531"/>
            <w:vAlign w:val="top"/>
            <w:tcMar>
              <w:top w:w="90" w:type="dxa"/>
              <w:start w:w="90" w:type="dxa"/>
              <w:bottom w:w="90" w:type="dxa"/>
              <w:end w:w="90" w:type="dxa"/>
            </w:tcMar>
            <w:shd w:fill="F2F4F5"/>
          </w:tcPr>
          <w:p>
            <w:pPr>
              <w:spacing w:after="20" w:line="240" w:lineRule="auto"/>
            </w:pPr>
            <w:r>
              <w:rPr>
                <w:color w:val="17324D"/>
                <w:sz w:val="14"/>
              </w:rPr>
              <w:t>Human power</w:t>
            </w:r>
          </w:p>
        </w:tc>
        <w:tc>
          <w:tcPr>
            <w:tcW w:type="dxa" w:w="1587"/>
            <w:vAlign w:val="top"/>
            <w:tcMar>
              <w:top w:w="90" w:type="dxa"/>
              <w:start w:w="90" w:type="dxa"/>
              <w:bottom w:w="90" w:type="dxa"/>
              <w:end w:w="90" w:type="dxa"/>
            </w:tcMar>
            <w:shd w:fill="F2F4F5"/>
          </w:tcPr>
          <w:p>
            <w:pPr>
              <w:spacing w:after="20" w:line="240" w:lineRule="auto"/>
            </w:pPr>
            <w:r>
              <w:rPr>
                <w:color w:val="17324D"/>
                <w:sz w:val="14"/>
              </w:rPr>
              <w:t>Liferaft and emergency</w:t>
            </w:r>
          </w:p>
        </w:tc>
        <w:tc>
          <w:tcPr>
            <w:tcW w:type="dxa" w:w="2268"/>
            <w:vAlign w:val="top"/>
            <w:tcMar>
              <w:top w:w="90" w:type="dxa"/>
              <w:start w:w="90" w:type="dxa"/>
              <w:bottom w:w="90" w:type="dxa"/>
              <w:end w:w="90" w:type="dxa"/>
            </w:tcMar>
            <w:shd w:fill="F2F4F5"/>
          </w:tcPr>
          <w:p>
            <w:pPr>
              <w:spacing w:after="20" w:line="240" w:lineRule="auto"/>
            </w:pPr>
            <w:r>
              <w:rPr>
                <w:color w:val="17324D"/>
                <w:sz w:val="14"/>
              </w:rPr>
              <w:t>Stock for clinics and response teams</w:t>
            </w:r>
          </w:p>
        </w:tc>
      </w:tr>
      <w:tr>
        <w:tc>
          <w:tcPr>
            <w:tcW w:type="dxa" w:w="1587"/>
            <w:vAlign w:val="top"/>
            <w:tcMar>
              <w:top w:w="90" w:type="dxa"/>
              <w:start w:w="90" w:type="dxa"/>
              <w:bottom w:w="90" w:type="dxa"/>
              <w:end w:w="90" w:type="dxa"/>
            </w:tcMar>
          </w:tcPr>
          <w:p>
            <w:pPr>
              <w:spacing w:after="20" w:line="240" w:lineRule="auto"/>
            </w:pPr>
            <w:r>
              <w:rPr>
                <w:color w:val="17324D"/>
                <w:sz w:val="14"/>
              </w:rPr>
              <w:t>Solar DC RO</w:t>
            </w:r>
          </w:p>
        </w:tc>
        <w:tc>
          <w:tcPr>
            <w:tcW w:type="dxa" w:w="2268"/>
            <w:vAlign w:val="top"/>
            <w:tcMar>
              <w:top w:w="90" w:type="dxa"/>
              <w:start w:w="90" w:type="dxa"/>
              <w:bottom w:w="90" w:type="dxa"/>
              <w:end w:w="90" w:type="dxa"/>
            </w:tcMar>
          </w:tcPr>
          <w:p>
            <w:pPr>
              <w:spacing w:after="20" w:line="240" w:lineRule="auto"/>
            </w:pPr>
            <w:r>
              <w:rPr>
                <w:color w:val="17324D"/>
                <w:sz w:val="14"/>
              </w:rPr>
              <w:t>30–64 L/hour examples</w:t>
            </w:r>
          </w:p>
        </w:tc>
        <w:tc>
          <w:tcPr>
            <w:tcW w:type="dxa" w:w="1531"/>
            <w:vAlign w:val="top"/>
            <w:tcMar>
              <w:top w:w="90" w:type="dxa"/>
              <w:start w:w="90" w:type="dxa"/>
              <w:bottom w:w="90" w:type="dxa"/>
              <w:end w:w="90" w:type="dxa"/>
            </w:tcMar>
          </w:tcPr>
          <w:p>
            <w:pPr>
              <w:spacing w:after="20" w:line="240" w:lineRule="auto"/>
            </w:pPr>
            <w:r>
              <w:rPr>
                <w:color w:val="17324D"/>
                <w:sz w:val="14"/>
              </w:rPr>
              <w:t>About 110 W class at low end</w:t>
            </w:r>
          </w:p>
        </w:tc>
        <w:tc>
          <w:tcPr>
            <w:tcW w:type="dxa" w:w="1587"/>
            <w:vAlign w:val="top"/>
            <w:tcMar>
              <w:top w:w="90" w:type="dxa"/>
              <w:start w:w="90" w:type="dxa"/>
              <w:bottom w:w="90" w:type="dxa"/>
              <w:end w:w="90" w:type="dxa"/>
            </w:tcMar>
          </w:tcPr>
          <w:p>
            <w:pPr>
              <w:spacing w:after="20" w:line="240" w:lineRule="auto"/>
            </w:pPr>
            <w:r>
              <w:rPr>
                <w:color w:val="17324D"/>
                <w:sz w:val="14"/>
              </w:rPr>
              <w:t>Household to small village</w:t>
            </w:r>
          </w:p>
        </w:tc>
        <w:tc>
          <w:tcPr>
            <w:tcW w:type="dxa" w:w="2268"/>
            <w:vAlign w:val="top"/>
            <w:tcMar>
              <w:top w:w="90" w:type="dxa"/>
              <w:start w:w="90" w:type="dxa"/>
              <w:bottom w:w="90" w:type="dxa"/>
              <w:end w:w="90" w:type="dxa"/>
            </w:tcMar>
          </w:tcPr>
          <w:p>
            <w:pPr>
              <w:spacing w:after="20" w:line="240" w:lineRule="auto"/>
            </w:pPr>
            <w:r>
              <w:rPr>
                <w:color w:val="17324D"/>
                <w:sz w:val="14"/>
              </w:rPr>
              <w:t>Strong emergency option</w:t>
            </w:r>
          </w:p>
        </w:tc>
      </w:tr>
      <w:tr>
        <w:tc>
          <w:tcPr>
            <w:tcW w:type="dxa" w:w="1587"/>
            <w:vAlign w:val="top"/>
            <w:tcMar>
              <w:top w:w="90" w:type="dxa"/>
              <w:start w:w="90" w:type="dxa"/>
              <w:bottom w:w="90" w:type="dxa"/>
              <w:end w:w="90" w:type="dxa"/>
            </w:tcMar>
            <w:shd w:fill="F2F4F5"/>
          </w:tcPr>
          <w:p>
            <w:pPr>
              <w:spacing w:after="20" w:line="240" w:lineRule="auto"/>
            </w:pPr>
            <w:r>
              <w:rPr>
                <w:color w:val="17324D"/>
                <w:sz w:val="14"/>
              </w:rPr>
              <w:t>Solar SWRO</w:t>
            </w:r>
          </w:p>
        </w:tc>
        <w:tc>
          <w:tcPr>
            <w:tcW w:type="dxa" w:w="2268"/>
            <w:vAlign w:val="top"/>
            <w:tcMar>
              <w:top w:w="90" w:type="dxa"/>
              <w:start w:w="90" w:type="dxa"/>
              <w:bottom w:w="90" w:type="dxa"/>
              <w:end w:w="90" w:type="dxa"/>
            </w:tcMar>
            <w:shd w:fill="F2F4F5"/>
          </w:tcPr>
          <w:p>
            <w:pPr>
              <w:spacing w:after="20" w:line="240" w:lineRule="auto"/>
            </w:pPr>
            <w:r>
              <w:rPr>
                <w:color w:val="17324D"/>
                <w:sz w:val="14"/>
              </w:rPr>
              <w:t>1–10,000 m³/day vendor range</w:t>
            </w:r>
          </w:p>
        </w:tc>
        <w:tc>
          <w:tcPr>
            <w:tcW w:type="dxa" w:w="1531"/>
            <w:vAlign w:val="top"/>
            <w:tcMar>
              <w:top w:w="90" w:type="dxa"/>
              <w:start w:w="90" w:type="dxa"/>
              <w:bottom w:w="90" w:type="dxa"/>
              <w:end w:w="90" w:type="dxa"/>
            </w:tcMar>
            <w:shd w:fill="F2F4F5"/>
          </w:tcPr>
          <w:p>
            <w:pPr>
              <w:spacing w:after="20" w:line="240" w:lineRule="auto"/>
            </w:pPr>
            <w:r>
              <w:rPr>
                <w:color w:val="17324D"/>
                <w:sz w:val="14"/>
              </w:rPr>
              <w:t>About 2.5 kWh/m³ RO core claim</w:t>
            </w:r>
          </w:p>
        </w:tc>
        <w:tc>
          <w:tcPr>
            <w:tcW w:type="dxa" w:w="1587"/>
            <w:vAlign w:val="top"/>
            <w:tcMar>
              <w:top w:w="90" w:type="dxa"/>
              <w:start w:w="90" w:type="dxa"/>
              <w:bottom w:w="90" w:type="dxa"/>
              <w:end w:w="90" w:type="dxa"/>
            </w:tcMar>
            <w:shd w:fill="F2F4F5"/>
          </w:tcPr>
          <w:p>
            <w:pPr>
              <w:spacing w:after="20" w:line="240" w:lineRule="auto"/>
            </w:pPr>
            <w:r>
              <w:rPr>
                <w:color w:val="17324D"/>
                <w:sz w:val="14"/>
              </w:rPr>
              <w:t>Village to municipal</w:t>
            </w:r>
          </w:p>
        </w:tc>
        <w:tc>
          <w:tcPr>
            <w:tcW w:type="dxa" w:w="2268"/>
            <w:vAlign w:val="top"/>
            <w:tcMar>
              <w:top w:w="90" w:type="dxa"/>
              <w:start w:w="90" w:type="dxa"/>
              <w:bottom w:w="90" w:type="dxa"/>
              <w:end w:w="90" w:type="dxa"/>
            </w:tcMar>
            <w:shd w:fill="F2F4F5"/>
          </w:tcPr>
          <w:p>
            <w:pPr>
              <w:spacing w:after="20" w:line="240" w:lineRule="auto"/>
            </w:pPr>
            <w:r>
              <w:rPr>
                <w:color w:val="17324D"/>
                <w:sz w:val="14"/>
              </w:rPr>
              <w:t>Best dependable backbone</w:t>
            </w:r>
          </w:p>
        </w:tc>
      </w:tr>
      <w:tr>
        <w:tc>
          <w:tcPr>
            <w:tcW w:type="dxa" w:w="1587"/>
            <w:vAlign w:val="top"/>
            <w:tcMar>
              <w:top w:w="90" w:type="dxa"/>
              <w:start w:w="90" w:type="dxa"/>
              <w:bottom w:w="90" w:type="dxa"/>
              <w:end w:w="90" w:type="dxa"/>
            </w:tcMar>
          </w:tcPr>
          <w:p>
            <w:pPr>
              <w:spacing w:after="20" w:line="240" w:lineRule="auto"/>
            </w:pPr>
            <w:r>
              <w:rPr>
                <w:color w:val="17324D"/>
                <w:sz w:val="14"/>
              </w:rPr>
              <w:t>Condensation AWG</w:t>
            </w:r>
          </w:p>
        </w:tc>
        <w:tc>
          <w:tcPr>
            <w:tcW w:type="dxa" w:w="2268"/>
            <w:vAlign w:val="top"/>
            <w:tcMar>
              <w:top w:w="90" w:type="dxa"/>
              <w:start w:w="90" w:type="dxa"/>
              <w:bottom w:w="90" w:type="dxa"/>
              <w:end w:w="90" w:type="dxa"/>
            </w:tcMar>
          </w:tcPr>
          <w:p>
            <w:pPr>
              <w:spacing w:after="20" w:line="240" w:lineRule="auto"/>
            </w:pPr>
            <w:r>
              <w:rPr>
                <w:color w:val="17324D"/>
                <w:sz w:val="14"/>
              </w:rPr>
              <w:t>52–5,091 L/day EU models</w:t>
            </w:r>
          </w:p>
        </w:tc>
        <w:tc>
          <w:tcPr>
            <w:tcW w:type="dxa" w:w="1531"/>
            <w:vAlign w:val="top"/>
            <w:tcMar>
              <w:top w:w="90" w:type="dxa"/>
              <w:start w:w="90" w:type="dxa"/>
              <w:bottom w:w="90" w:type="dxa"/>
              <w:end w:w="90" w:type="dxa"/>
            </w:tcMar>
          </w:tcPr>
          <w:p>
            <w:pPr>
              <w:spacing w:after="20" w:line="240" w:lineRule="auto"/>
            </w:pPr>
            <w:r>
              <w:rPr>
                <w:color w:val="17324D"/>
                <w:sz w:val="14"/>
              </w:rPr>
              <w:t>About 0.22–0.42 kWh/L</w:t>
            </w:r>
          </w:p>
        </w:tc>
        <w:tc>
          <w:tcPr>
            <w:tcW w:type="dxa" w:w="1587"/>
            <w:vAlign w:val="top"/>
            <w:tcMar>
              <w:top w:w="90" w:type="dxa"/>
              <w:start w:w="90" w:type="dxa"/>
              <w:bottom w:w="90" w:type="dxa"/>
              <w:end w:w="90" w:type="dxa"/>
            </w:tcMar>
          </w:tcPr>
          <w:p>
            <w:pPr>
              <w:spacing w:after="20" w:line="240" w:lineRule="auto"/>
            </w:pPr>
            <w:r>
              <w:rPr>
                <w:color w:val="17324D"/>
                <w:sz w:val="14"/>
              </w:rPr>
              <w:t>Point or emergency</w:t>
            </w:r>
          </w:p>
        </w:tc>
        <w:tc>
          <w:tcPr>
            <w:tcW w:type="dxa" w:w="2268"/>
            <w:vAlign w:val="top"/>
            <w:tcMar>
              <w:top w:w="90" w:type="dxa"/>
              <w:start w:w="90" w:type="dxa"/>
              <w:bottom w:w="90" w:type="dxa"/>
              <w:end w:w="90" w:type="dxa"/>
            </w:tcMar>
          </w:tcPr>
          <w:p>
            <w:pPr>
              <w:spacing w:after="20" w:line="240" w:lineRule="auto"/>
            </w:pPr>
            <w:r>
              <w:rPr>
                <w:color w:val="17324D"/>
                <w:sz w:val="14"/>
              </w:rPr>
              <w:t>Niche only  avoid bulk deployment</w:t>
            </w:r>
          </w:p>
        </w:tc>
      </w:tr>
      <w:tr>
        <w:tc>
          <w:tcPr>
            <w:tcW w:type="dxa" w:w="1587"/>
            <w:vAlign w:val="top"/>
            <w:tcMar>
              <w:top w:w="90" w:type="dxa"/>
              <w:start w:w="90" w:type="dxa"/>
              <w:bottom w:w="90" w:type="dxa"/>
              <w:end w:w="90" w:type="dxa"/>
            </w:tcMar>
            <w:shd w:fill="F2F4F5"/>
          </w:tcPr>
          <w:p>
            <w:pPr>
              <w:spacing w:after="20" w:line="240" w:lineRule="auto"/>
            </w:pPr>
            <w:r>
              <w:rPr>
                <w:color w:val="17324D"/>
                <w:sz w:val="14"/>
              </w:rPr>
              <w:t>Membrane distillation</w:t>
            </w:r>
          </w:p>
        </w:tc>
        <w:tc>
          <w:tcPr>
            <w:tcW w:type="dxa" w:w="2268"/>
            <w:vAlign w:val="top"/>
            <w:tcMar>
              <w:top w:w="90" w:type="dxa"/>
              <w:start w:w="90" w:type="dxa"/>
              <w:bottom w:w="90" w:type="dxa"/>
              <w:end w:w="90" w:type="dxa"/>
            </w:tcMar>
            <w:shd w:fill="F2F4F5"/>
          </w:tcPr>
          <w:p>
            <w:pPr>
              <w:spacing w:after="20" w:line="240" w:lineRule="auto"/>
            </w:pPr>
            <w:r>
              <w:rPr>
                <w:color w:val="17324D"/>
                <w:sz w:val="14"/>
              </w:rPr>
              <w:t>Project-specific</w:t>
            </w:r>
          </w:p>
        </w:tc>
        <w:tc>
          <w:tcPr>
            <w:tcW w:type="dxa" w:w="1531"/>
            <w:vAlign w:val="top"/>
            <w:tcMar>
              <w:top w:w="90" w:type="dxa"/>
              <w:start w:w="90" w:type="dxa"/>
              <w:bottom w:w="90" w:type="dxa"/>
              <w:end w:w="90" w:type="dxa"/>
            </w:tcMar>
            <w:shd w:fill="F2F4F5"/>
          </w:tcPr>
          <w:p>
            <w:pPr>
              <w:spacing w:after="20" w:line="240" w:lineRule="auto"/>
            </w:pPr>
            <w:r>
              <w:rPr>
                <w:color w:val="17324D"/>
                <w:sz w:val="14"/>
              </w:rPr>
              <w:t>Low-grade heat plus pumps</w:t>
            </w:r>
          </w:p>
        </w:tc>
        <w:tc>
          <w:tcPr>
            <w:tcW w:type="dxa" w:w="1587"/>
            <w:vAlign w:val="top"/>
            <w:tcMar>
              <w:top w:w="90" w:type="dxa"/>
              <w:start w:w="90" w:type="dxa"/>
              <w:bottom w:w="90" w:type="dxa"/>
              <w:end w:w="90" w:type="dxa"/>
            </w:tcMar>
            <w:shd w:fill="F2F4F5"/>
          </w:tcPr>
          <w:p>
            <w:pPr>
              <w:spacing w:after="20" w:line="240" w:lineRule="auto"/>
            </w:pPr>
            <w:r>
              <w:rPr>
                <w:color w:val="17324D"/>
                <w:sz w:val="14"/>
              </w:rPr>
              <w:t>Brine side-stream</w:t>
            </w:r>
          </w:p>
        </w:tc>
        <w:tc>
          <w:tcPr>
            <w:tcW w:type="dxa" w:w="2268"/>
            <w:vAlign w:val="top"/>
            <w:tcMar>
              <w:top w:w="90" w:type="dxa"/>
              <w:start w:w="90" w:type="dxa"/>
              <w:bottom w:w="90" w:type="dxa"/>
              <w:end w:w="90" w:type="dxa"/>
            </w:tcMar>
            <w:shd w:fill="F2F4F5"/>
          </w:tcPr>
          <w:p>
            <w:pPr>
              <w:spacing w:after="20" w:line="240" w:lineRule="auto"/>
            </w:pPr>
            <w:r>
              <w:rPr>
                <w:color w:val="17324D"/>
                <w:sz w:val="14"/>
              </w:rPr>
              <w:t>Pilot for recovery  not base load</w:t>
            </w:r>
          </w:p>
        </w:tc>
      </w:tr>
    </w:tbl>
    <w:p>
      <w:pPr>
        <w:spacing w:after="0"/>
      </w:pPr>
    </w:p>
    <w:p>
      <w:r>
        <w:drawing>
          <wp:inline xmlns:a="http://schemas.openxmlformats.org/drawingml/2006/main" xmlns:pic="http://schemas.openxmlformats.org/drawingml/2006/picture">
            <wp:extent cx="5256000" cy="2445826"/>
            <wp:docPr id="1" name="Picture 1"/>
            <wp:cNvGraphicFramePr>
              <a:graphicFrameLocks noChangeAspect="1"/>
            </wp:cNvGraphicFramePr>
            <a:graphic>
              <a:graphicData uri="http://schemas.openxmlformats.org/drawingml/2006/picture">
                <pic:pic>
                  <pic:nvPicPr>
                    <pic:cNvPr id="0" name="area_scale.png"/>
                    <pic:cNvPicPr/>
                  </pic:nvPicPr>
                  <pic:blipFill>
                    <a:blip r:embed="rId11"/>
                    <a:stretch>
                      <a:fillRect/>
                    </a:stretch>
                  </pic:blipFill>
                  <pic:spPr>
                    <a:xfrm>
                      <a:off x="0" y="0"/>
                      <a:ext cx="5256000" cy="2445826"/>
                    </a:xfrm>
                    <a:prstGeom prst="rect"/>
                  </pic:spPr>
                </pic:pic>
              </a:graphicData>
            </a:graphic>
          </wp:inline>
        </w:drawing>
      </w:r>
    </w:p>
    <w:p>
      <w:pPr>
        <w:pStyle w:val="Smallnote"/>
      </w:pPr>
      <w:r>
        <w:t>Area comparison uses 120 m³/day. Rain assumes runoff coefficient 0.8 and annual averages of 1.4 or 3.0 m. Fog, dew and still ranges are indicative; local meteorology and downtime control the actual result.</w:t>
      </w:r>
    </w:p>
    <w:p>
      <w:pPr>
        <w:pStyle w:val="Heading2"/>
      </w:pPr>
      <w:r>
        <w:t>Scale snapshots</w:t>
      </w:r>
    </w:p>
    <w:tbl>
      <w:tblPr>
        <w:tblStyle w:val="TableGrid"/>
        <w:tblW w:type="auto" w:w="0"/>
        <w:jc w:val="center"/>
        <w:tblLayout w:type="fixed"/>
        <w:tblLook w:firstColumn="1" w:firstRow="1" w:lastColumn="0" w:lastRow="0" w:noHBand="0" w:noVBand="1" w:val="04A0"/>
      </w:tblPr>
      <w:tblGrid>
        <w:gridCol w:w="3457"/>
        <w:gridCol w:w="3457"/>
        <w:gridCol w:w="3457"/>
      </w:tblGrid>
      <w:tr>
        <w:trPr>
          <w:tblHeader w:val="true"/>
        </w:trPr>
        <w:tc>
          <w:tcPr>
            <w:tcW w:type="dxa" w:w="1928"/>
            <w:shd w:fill="17324D"/>
            <w:vAlign w:val="center"/>
            <w:tcMar>
              <w:top w:w="90" w:type="dxa"/>
              <w:start w:w="90" w:type="dxa"/>
              <w:bottom w:w="90" w:type="dxa"/>
              <w:end w:w="90" w:type="dxa"/>
            </w:tcMar>
          </w:tcPr>
          <w:p>
            <w:r>
              <w:rPr>
                <w:b/>
                <w:color w:val="FFFFFF"/>
                <w:sz w:val="16"/>
              </w:rPr>
              <w:t>Tier</w:t>
            </w:r>
          </w:p>
        </w:tc>
        <w:tc>
          <w:tcPr>
            <w:tcW w:type="dxa" w:w="1984"/>
            <w:shd w:fill="17324D"/>
            <w:vAlign w:val="center"/>
            <w:tcMar>
              <w:top w:w="90" w:type="dxa"/>
              <w:start w:w="90" w:type="dxa"/>
              <w:bottom w:w="90" w:type="dxa"/>
              <w:end w:w="90" w:type="dxa"/>
            </w:tcMar>
          </w:tcPr>
          <w:p>
            <w:r>
              <w:rPr>
                <w:b/>
                <w:color w:val="FFFFFF"/>
                <w:sz w:val="16"/>
              </w:rPr>
              <w:t>Demand example</w:t>
            </w:r>
          </w:p>
        </w:tc>
        <w:tc>
          <w:tcPr>
            <w:tcW w:type="dxa" w:w="5329"/>
            <w:shd w:fill="17324D"/>
            <w:vAlign w:val="center"/>
            <w:tcMar>
              <w:top w:w="90" w:type="dxa"/>
              <w:start w:w="90" w:type="dxa"/>
              <w:bottom w:w="90" w:type="dxa"/>
              <w:end w:w="90" w:type="dxa"/>
            </w:tcMar>
          </w:tcPr>
          <w:p>
            <w:r>
              <w:rPr>
                <w:b/>
                <w:color w:val="FFFFFF"/>
                <w:sz w:val="16"/>
              </w:rPr>
              <w:t>Practical package</w:t>
            </w:r>
          </w:p>
        </w:tc>
      </w:tr>
      <w:tr>
        <w:tc>
          <w:tcPr>
            <w:tcW w:type="dxa" w:w="1928"/>
            <w:vAlign w:val="top"/>
            <w:tcMar>
              <w:top w:w="90" w:type="dxa"/>
              <w:start w:w="90" w:type="dxa"/>
              <w:bottom w:w="90" w:type="dxa"/>
              <w:end w:w="90" w:type="dxa"/>
            </w:tcMar>
          </w:tcPr>
          <w:p>
            <w:pPr>
              <w:spacing w:after="20" w:line="240" w:lineRule="auto"/>
            </w:pPr>
            <w:r>
              <w:rPr>
                <w:color w:val="17324D"/>
                <w:sz w:val="16"/>
              </w:rPr>
              <w:t>Micro</w:t>
            </w:r>
          </w:p>
        </w:tc>
        <w:tc>
          <w:tcPr>
            <w:tcW w:type="dxa" w:w="1984"/>
            <w:vAlign w:val="top"/>
            <w:tcMar>
              <w:top w:w="90" w:type="dxa"/>
              <w:start w:w="90" w:type="dxa"/>
              <w:bottom w:w="90" w:type="dxa"/>
              <w:end w:w="90" w:type="dxa"/>
            </w:tcMar>
          </w:tcPr>
          <w:p>
            <w:pPr>
              <w:spacing w:after="20" w:line="240" w:lineRule="auto"/>
            </w:pPr>
            <w:r>
              <w:rPr>
                <w:color w:val="17324D"/>
                <w:sz w:val="16"/>
              </w:rPr>
              <w:t>3–75 L/day</w:t>
            </w:r>
          </w:p>
        </w:tc>
        <w:tc>
          <w:tcPr>
            <w:tcW w:type="dxa" w:w="5329"/>
            <w:vAlign w:val="top"/>
            <w:tcMar>
              <w:top w:w="90" w:type="dxa"/>
              <w:start w:w="90" w:type="dxa"/>
              <w:bottom w:w="90" w:type="dxa"/>
              <w:end w:w="90" w:type="dxa"/>
            </w:tcMar>
          </w:tcPr>
          <w:p>
            <w:pPr>
              <w:spacing w:after="20" w:line="240" w:lineRule="auto"/>
            </w:pPr>
            <w:r>
              <w:rPr>
                <w:color w:val="17324D"/>
                <w:sz w:val="16"/>
              </w:rPr>
              <w:t>One GWS-1 or commercial still; roof capture and 1–5 m³ tank; manual RO for survival backup.</w:t>
            </w:r>
          </w:p>
        </w:tc>
      </w:tr>
      <w:tr>
        <w:tc>
          <w:tcPr>
            <w:tcW w:type="dxa" w:w="1928"/>
            <w:vAlign w:val="top"/>
            <w:tcMar>
              <w:top w:w="90" w:type="dxa"/>
              <w:start w:w="90" w:type="dxa"/>
              <w:bottom w:w="90" w:type="dxa"/>
              <w:end w:w="90" w:type="dxa"/>
            </w:tcMar>
            <w:shd w:fill="F2F4F5"/>
          </w:tcPr>
          <w:p>
            <w:pPr>
              <w:spacing w:after="20" w:line="240" w:lineRule="auto"/>
            </w:pPr>
            <w:r>
              <w:rPr>
                <w:color w:val="17324D"/>
                <w:sz w:val="16"/>
              </w:rPr>
              <w:t>Small community</w:t>
            </w:r>
          </w:p>
        </w:tc>
        <w:tc>
          <w:tcPr>
            <w:tcW w:type="dxa" w:w="1984"/>
            <w:vAlign w:val="top"/>
            <w:tcMar>
              <w:top w:w="90" w:type="dxa"/>
              <w:start w:w="90" w:type="dxa"/>
              <w:bottom w:w="90" w:type="dxa"/>
              <w:end w:w="90" w:type="dxa"/>
            </w:tcMar>
            <w:shd w:fill="F2F4F5"/>
          </w:tcPr>
          <w:p>
            <w:pPr>
              <w:spacing w:after="20" w:line="240" w:lineRule="auto"/>
            </w:pPr>
            <w:r>
              <w:rPr>
                <w:color w:val="17324D"/>
                <w:sz w:val="16"/>
              </w:rPr>
              <w:t>0.5–7.5 m³/day</w:t>
            </w:r>
          </w:p>
        </w:tc>
        <w:tc>
          <w:tcPr>
            <w:tcW w:type="dxa" w:w="5329"/>
            <w:vAlign w:val="top"/>
            <w:tcMar>
              <w:top w:w="90" w:type="dxa"/>
              <w:start w:w="90" w:type="dxa"/>
              <w:bottom w:w="90" w:type="dxa"/>
              <w:end w:w="90" w:type="dxa"/>
            </w:tcMar>
            <w:shd w:fill="F2F4F5"/>
          </w:tcPr>
          <w:p>
            <w:pPr>
              <w:spacing w:after="20" w:line="240" w:lineRule="auto"/>
            </w:pPr>
            <w:r>
              <w:rPr>
                <w:color w:val="17324D"/>
                <w:sz w:val="16"/>
              </w:rPr>
              <w:t>Rain storage plus measured fog array; 5 m³/day skid SWRO; one spare high-pressure pump and membrane set.</w:t>
            </w:r>
          </w:p>
        </w:tc>
      </w:tr>
      <w:tr>
        <w:tc>
          <w:tcPr>
            <w:tcW w:type="dxa" w:w="1928"/>
            <w:vAlign w:val="top"/>
            <w:tcMar>
              <w:top w:w="90" w:type="dxa"/>
              <w:start w:w="90" w:type="dxa"/>
              <w:bottom w:w="90" w:type="dxa"/>
              <w:end w:w="90" w:type="dxa"/>
            </w:tcMar>
          </w:tcPr>
          <w:p>
            <w:pPr>
              <w:spacing w:after="20" w:line="240" w:lineRule="auto"/>
            </w:pPr>
            <w:r>
              <w:rPr>
                <w:color w:val="17324D"/>
                <w:sz w:val="16"/>
              </w:rPr>
              <w:t>Medium community</w:t>
            </w:r>
          </w:p>
        </w:tc>
        <w:tc>
          <w:tcPr>
            <w:tcW w:type="dxa" w:w="1984"/>
            <w:vAlign w:val="top"/>
            <w:tcMar>
              <w:top w:w="90" w:type="dxa"/>
              <w:start w:w="90" w:type="dxa"/>
              <w:bottom w:w="90" w:type="dxa"/>
              <w:end w:w="90" w:type="dxa"/>
            </w:tcMar>
          </w:tcPr>
          <w:p>
            <w:pPr>
              <w:spacing w:after="20" w:line="240" w:lineRule="auto"/>
            </w:pPr>
            <w:r>
              <w:rPr>
                <w:color w:val="17324D"/>
                <w:sz w:val="16"/>
              </w:rPr>
              <w:t>15–40 m³/day</w:t>
            </w:r>
          </w:p>
        </w:tc>
        <w:tc>
          <w:tcPr>
            <w:tcW w:type="dxa" w:w="5329"/>
            <w:vAlign w:val="top"/>
            <w:tcMar>
              <w:top w:w="90" w:type="dxa"/>
              <w:start w:w="90" w:type="dxa"/>
              <w:bottom w:w="90" w:type="dxa"/>
              <w:end w:w="90" w:type="dxa"/>
            </w:tcMar>
          </w:tcPr>
          <w:p>
            <w:pPr>
              <w:spacing w:after="20" w:line="240" w:lineRule="auto"/>
            </w:pPr>
            <w:r>
              <w:rPr>
                <w:color w:val="17324D"/>
                <w:sz w:val="16"/>
              </w:rPr>
              <w:t>Two modular solar SWRO trains; 45–120 m³ treated storage; local rain and fog offset.</w:t>
            </w:r>
          </w:p>
        </w:tc>
      </w:tr>
      <w:tr>
        <w:tc>
          <w:tcPr>
            <w:tcW w:type="dxa" w:w="1928"/>
            <w:vAlign w:val="top"/>
            <w:tcMar>
              <w:top w:w="90" w:type="dxa"/>
              <w:start w:w="90" w:type="dxa"/>
              <w:bottom w:w="90" w:type="dxa"/>
              <w:end w:w="90" w:type="dxa"/>
            </w:tcMar>
            <w:shd w:fill="F2F4F5"/>
          </w:tcPr>
          <w:p>
            <w:pPr>
              <w:spacing w:after="20" w:line="240" w:lineRule="auto"/>
            </w:pPr>
            <w:r>
              <w:rPr>
                <w:color w:val="17324D"/>
                <w:sz w:val="16"/>
              </w:rPr>
              <w:t>8,000-person emergency</w:t>
            </w:r>
          </w:p>
        </w:tc>
        <w:tc>
          <w:tcPr>
            <w:tcW w:type="dxa" w:w="1984"/>
            <w:vAlign w:val="top"/>
            <w:tcMar>
              <w:top w:w="90" w:type="dxa"/>
              <w:start w:w="90" w:type="dxa"/>
              <w:bottom w:w="90" w:type="dxa"/>
              <w:end w:w="90" w:type="dxa"/>
            </w:tcMar>
            <w:shd w:fill="F2F4F5"/>
          </w:tcPr>
          <w:p>
            <w:pPr>
              <w:spacing w:after="20" w:line="240" w:lineRule="auto"/>
            </w:pPr>
            <w:r>
              <w:rPr>
                <w:color w:val="17324D"/>
                <w:sz w:val="16"/>
              </w:rPr>
              <w:t>120 m³/day</w:t>
            </w:r>
          </w:p>
        </w:tc>
        <w:tc>
          <w:tcPr>
            <w:tcW w:type="dxa" w:w="5329"/>
            <w:vAlign w:val="top"/>
            <w:tcMar>
              <w:top w:w="90" w:type="dxa"/>
              <w:start w:w="90" w:type="dxa"/>
              <w:bottom w:w="90" w:type="dxa"/>
              <w:end w:w="90" w:type="dxa"/>
            </w:tcMar>
            <w:shd w:fill="F2F4F5"/>
          </w:tcPr>
          <w:p>
            <w:pPr>
              <w:spacing w:after="20" w:line="240" w:lineRule="auto"/>
            </w:pPr>
            <w:r>
              <w:rPr>
                <w:color w:val="17324D"/>
                <w:sz w:val="16"/>
              </w:rPr>
              <w:t>Three 60 m³/day-class trains  two duty plus one standby; about 90 kWp operational PV design basis; 360 m³ split storage.</w:t>
            </w:r>
          </w:p>
        </w:tc>
      </w:tr>
      <w:tr>
        <w:tc>
          <w:tcPr>
            <w:tcW w:type="dxa" w:w="1928"/>
            <w:vAlign w:val="top"/>
            <w:tcMar>
              <w:top w:w="90" w:type="dxa"/>
              <w:start w:w="90" w:type="dxa"/>
              <w:bottom w:w="90" w:type="dxa"/>
              <w:end w:w="90" w:type="dxa"/>
            </w:tcMar>
          </w:tcPr>
          <w:p>
            <w:pPr>
              <w:spacing w:after="20" w:line="240" w:lineRule="auto"/>
            </w:pPr>
            <w:r>
              <w:rPr>
                <w:color w:val="17324D"/>
                <w:sz w:val="16"/>
              </w:rPr>
              <w:t>Future domestic expansion</w:t>
            </w:r>
          </w:p>
        </w:tc>
        <w:tc>
          <w:tcPr>
            <w:tcW w:type="dxa" w:w="1984"/>
            <w:vAlign w:val="top"/>
            <w:tcMar>
              <w:top w:w="90" w:type="dxa"/>
              <w:start w:w="90" w:type="dxa"/>
              <w:bottom w:w="90" w:type="dxa"/>
              <w:end w:w="90" w:type="dxa"/>
            </w:tcMar>
          </w:tcPr>
          <w:p>
            <w:pPr>
              <w:spacing w:after="20" w:line="240" w:lineRule="auto"/>
            </w:pPr>
            <w:r>
              <w:rPr>
                <w:color w:val="17324D"/>
                <w:sz w:val="16"/>
              </w:rPr>
              <w:t>400–800 m³/day</w:t>
            </w:r>
          </w:p>
        </w:tc>
        <w:tc>
          <w:tcPr>
            <w:tcW w:type="dxa" w:w="5329"/>
            <w:vAlign w:val="top"/>
            <w:tcMar>
              <w:top w:w="90" w:type="dxa"/>
              <w:start w:w="90" w:type="dxa"/>
              <w:bottom w:w="90" w:type="dxa"/>
              <w:end w:w="90" w:type="dxa"/>
            </w:tcMar>
          </w:tcPr>
          <w:p>
            <w:pPr>
              <w:spacing w:after="20" w:line="240" w:lineRule="auto"/>
            </w:pPr>
            <w:r>
              <w:rPr>
                <w:color w:val="17324D"/>
                <w:sz w:val="16"/>
              </w:rPr>
              <w:t>Network planning  multiple larger trains  expanded intake and brine study  demand reduction first.</w:t>
            </w:r>
          </w:p>
        </w:tc>
      </w:tr>
    </w:tbl>
    <w:p>
      <w:pPr>
        <w:spacing w:after="0"/>
      </w:pPr>
    </w:p>
    <w:p>
      <w:pPr>
        <w:pStyle w:val="Heading1"/>
      </w:pPr>
      <w:r>
        <w:t>Fog capture</w:t>
      </w:r>
    </w:p>
    <w:p>
      <w:r>
        <w:t>Fog collection is passive impaction, not refrigeration. Wind carries liquid droplets into a double layer of correctly selected mesh; droplets coalesce, drain to a gutter and move by gravity. FogQuest states that its process needs no generator and uses 35 percent shade-coefficient UV-protected Raschel mesh in a double layer. Its commonly cited 40 m² collector average is about 200 L/day, but site output varies sharply and their figures should be treated as feasibility values rather than a Guadeloupe guarantee. [3]</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1871"/>
            <w:shd w:fill="17324D"/>
            <w:vAlign w:val="center"/>
            <w:tcMar>
              <w:top w:w="90" w:type="dxa"/>
              <w:start w:w="90" w:type="dxa"/>
              <w:bottom w:w="90" w:type="dxa"/>
              <w:end w:w="90" w:type="dxa"/>
            </w:tcMar>
          </w:tcPr>
          <w:p>
            <w:r>
              <w:rPr>
                <w:b/>
                <w:color w:val="FFFFFF"/>
                <w:sz w:val="15"/>
              </w:rPr>
              <w:t>Ready route</w:t>
            </w:r>
          </w:p>
        </w:tc>
        <w:tc>
          <w:tcPr>
            <w:tcW w:type="dxa" w:w="1701"/>
            <w:shd w:fill="17324D"/>
            <w:vAlign w:val="center"/>
            <w:tcMar>
              <w:top w:w="90" w:type="dxa"/>
              <w:start w:w="90" w:type="dxa"/>
              <w:bottom w:w="90" w:type="dxa"/>
              <w:end w:w="90" w:type="dxa"/>
            </w:tcMar>
          </w:tcPr>
          <w:p>
            <w:r>
              <w:rPr>
                <w:b/>
                <w:color w:val="FFFFFF"/>
                <w:sz w:val="15"/>
              </w:rPr>
              <w:t>Origin</w:t>
            </w:r>
          </w:p>
        </w:tc>
        <w:tc>
          <w:tcPr>
            <w:tcW w:type="dxa" w:w="2324"/>
            <w:shd w:fill="17324D"/>
            <w:vAlign w:val="center"/>
            <w:tcMar>
              <w:top w:w="90" w:type="dxa"/>
              <w:start w:w="90" w:type="dxa"/>
              <w:bottom w:w="90" w:type="dxa"/>
              <w:end w:w="90" w:type="dxa"/>
            </w:tcMar>
          </w:tcPr>
          <w:p>
            <w:r>
              <w:rPr>
                <w:b/>
                <w:color w:val="FFFFFF"/>
                <w:sz w:val="15"/>
              </w:rPr>
              <w:t>Format</w:t>
            </w:r>
          </w:p>
        </w:tc>
        <w:tc>
          <w:tcPr>
            <w:tcW w:type="dxa" w:w="1928"/>
            <w:shd w:fill="17324D"/>
            <w:vAlign w:val="center"/>
            <w:tcMar>
              <w:top w:w="90" w:type="dxa"/>
              <w:start w:w="90" w:type="dxa"/>
              <w:bottom w:w="90" w:type="dxa"/>
              <w:end w:w="90" w:type="dxa"/>
            </w:tcMar>
          </w:tcPr>
          <w:p>
            <w:r>
              <w:rPr>
                <w:b/>
                <w:color w:val="FFFFFF"/>
                <w:sz w:val="15"/>
              </w:rPr>
              <w:t>How to buy</w:t>
            </w:r>
          </w:p>
        </w:tc>
        <w:tc>
          <w:tcPr>
            <w:tcW w:type="dxa" w:w="1984"/>
            <w:shd w:fill="17324D"/>
            <w:vAlign w:val="center"/>
            <w:tcMar>
              <w:top w:w="90" w:type="dxa"/>
              <w:start w:w="90" w:type="dxa"/>
              <w:bottom w:w="90" w:type="dxa"/>
              <w:end w:w="90" w:type="dxa"/>
            </w:tcMar>
          </w:tcPr>
          <w:p>
            <w:r>
              <w:rPr>
                <w:b/>
                <w:color w:val="FFFFFF"/>
                <w:sz w:val="15"/>
              </w:rPr>
              <w:t>Important limit</w:t>
            </w:r>
          </w:p>
        </w:tc>
      </w:tr>
      <w:tr>
        <w:tc>
          <w:tcPr>
            <w:tcW w:type="dxa" w:w="1871"/>
            <w:vAlign w:val="top"/>
            <w:tcMar>
              <w:top w:w="90" w:type="dxa"/>
              <w:start w:w="90" w:type="dxa"/>
              <w:bottom w:w="90" w:type="dxa"/>
              <w:end w:w="90" w:type="dxa"/>
            </w:tcMar>
          </w:tcPr>
          <w:p>
            <w:pPr>
              <w:spacing w:after="20" w:line="240" w:lineRule="auto"/>
            </w:pPr>
            <w:r>
              <w:rPr>
                <w:color w:val="17324D"/>
                <w:sz w:val="15"/>
              </w:rPr>
              <w:t>FogQuest</w:t>
            </w:r>
          </w:p>
        </w:tc>
        <w:tc>
          <w:tcPr>
            <w:tcW w:type="dxa" w:w="1701"/>
            <w:vAlign w:val="top"/>
            <w:tcMar>
              <w:top w:w="90" w:type="dxa"/>
              <w:start w:w="90" w:type="dxa"/>
              <w:bottom w:w="90" w:type="dxa"/>
              <w:end w:w="90" w:type="dxa"/>
            </w:tcMar>
          </w:tcPr>
          <w:p>
            <w:pPr>
              <w:spacing w:after="20" w:line="240" w:lineRule="auto"/>
            </w:pPr>
            <w:r>
              <w:rPr>
                <w:color w:val="17324D"/>
                <w:sz w:val="15"/>
              </w:rPr>
              <w:t>Canada NGO  mesh sourced in Chile</w:t>
            </w:r>
          </w:p>
        </w:tc>
        <w:tc>
          <w:tcPr>
            <w:tcW w:type="dxa" w:w="2324"/>
            <w:vAlign w:val="top"/>
            <w:tcMar>
              <w:top w:w="90" w:type="dxa"/>
              <w:start w:w="90" w:type="dxa"/>
              <w:bottom w:w="90" w:type="dxa"/>
              <w:end w:w="90" w:type="dxa"/>
            </w:tcMar>
          </w:tcPr>
          <w:p>
            <w:pPr>
              <w:spacing w:after="20" w:line="240" w:lineRule="auto"/>
            </w:pPr>
            <w:r>
              <w:rPr>
                <w:color w:val="17324D"/>
                <w:sz w:val="15"/>
              </w:rPr>
              <w:t>1 m² standard test and 40 m² large collector methodology</w:t>
            </w:r>
          </w:p>
        </w:tc>
        <w:tc>
          <w:tcPr>
            <w:tcW w:type="dxa" w:w="1928"/>
            <w:vAlign w:val="top"/>
            <w:tcMar>
              <w:top w:w="90" w:type="dxa"/>
              <w:start w:w="90" w:type="dxa"/>
              <w:bottom w:w="90" w:type="dxa"/>
              <w:end w:w="90" w:type="dxa"/>
            </w:tcMar>
          </w:tcPr>
          <w:p>
            <w:pPr>
              <w:spacing w:after="20" w:line="240" w:lineRule="auto"/>
            </w:pPr>
            <w:r>
              <w:rPr>
                <w:color w:val="17324D"/>
                <w:sz w:val="15"/>
              </w:rPr>
              <w:t>Project engagement and field siting support</w:t>
            </w:r>
          </w:p>
        </w:tc>
        <w:tc>
          <w:tcPr>
            <w:tcW w:type="dxa" w:w="1984"/>
            <w:vAlign w:val="top"/>
            <w:tcMar>
              <w:top w:w="90" w:type="dxa"/>
              <w:start w:w="90" w:type="dxa"/>
              <w:bottom w:w="90" w:type="dxa"/>
              <w:end w:w="90" w:type="dxa"/>
            </w:tcMar>
          </w:tcPr>
          <w:p>
            <w:pPr>
              <w:spacing w:after="20" w:line="240" w:lineRule="auto"/>
            </w:pPr>
            <w:r>
              <w:rPr>
                <w:color w:val="17324D"/>
                <w:sz w:val="15"/>
              </w:rPr>
              <w:t>Best used for measurement-led community projects</w:t>
            </w:r>
          </w:p>
        </w:tc>
      </w:tr>
      <w:tr>
        <w:tc>
          <w:tcPr>
            <w:tcW w:type="dxa" w:w="1871"/>
            <w:vAlign w:val="top"/>
            <w:tcMar>
              <w:top w:w="90" w:type="dxa"/>
              <w:start w:w="90" w:type="dxa"/>
              <w:bottom w:w="90" w:type="dxa"/>
              <w:end w:w="90" w:type="dxa"/>
            </w:tcMar>
            <w:shd w:fill="F2F4F5"/>
          </w:tcPr>
          <w:p>
            <w:pPr>
              <w:spacing w:after="20" w:line="240" w:lineRule="auto"/>
            </w:pPr>
            <w:r>
              <w:rPr>
                <w:color w:val="17324D"/>
                <w:sz w:val="15"/>
              </w:rPr>
              <w:t>CloudFisher by Aqualonis</w:t>
            </w:r>
          </w:p>
        </w:tc>
        <w:tc>
          <w:tcPr>
            <w:tcW w:type="dxa" w:w="1701"/>
            <w:vAlign w:val="top"/>
            <w:tcMar>
              <w:top w:w="90" w:type="dxa"/>
              <w:start w:w="90" w:type="dxa"/>
              <w:bottom w:w="90" w:type="dxa"/>
              <w:end w:w="90" w:type="dxa"/>
            </w:tcMar>
            <w:shd w:fill="F2F4F5"/>
          </w:tcPr>
          <w:p>
            <w:pPr>
              <w:spacing w:after="20" w:line="240" w:lineRule="auto"/>
            </w:pPr>
            <w:r>
              <w:rPr>
                <w:color w:val="17324D"/>
                <w:sz w:val="15"/>
              </w:rPr>
              <w:t>Germany</w:t>
            </w:r>
          </w:p>
        </w:tc>
        <w:tc>
          <w:tcPr>
            <w:tcW w:type="dxa" w:w="2324"/>
            <w:vAlign w:val="top"/>
            <w:tcMar>
              <w:top w:w="90" w:type="dxa"/>
              <w:start w:w="90" w:type="dxa"/>
              <w:bottom w:w="90" w:type="dxa"/>
              <w:end w:w="90" w:type="dxa"/>
            </w:tcMar>
            <w:shd w:fill="F2F4F5"/>
          </w:tcPr>
          <w:p>
            <w:pPr>
              <w:spacing w:after="20" w:line="240" w:lineRule="auto"/>
            </w:pPr>
            <w:r>
              <w:rPr>
                <w:color w:val="17324D"/>
                <w:sz w:val="15"/>
              </w:rPr>
              <w:t>Test unit  Mini about 18 m²  Pro about 54 m²</w:t>
            </w:r>
          </w:p>
        </w:tc>
        <w:tc>
          <w:tcPr>
            <w:tcW w:type="dxa" w:w="1928"/>
            <w:vAlign w:val="top"/>
            <w:tcMar>
              <w:top w:w="90" w:type="dxa"/>
              <w:start w:w="90" w:type="dxa"/>
              <w:bottom w:w="90" w:type="dxa"/>
              <w:end w:w="90" w:type="dxa"/>
            </w:tcMar>
            <w:shd w:fill="F2F4F5"/>
          </w:tcPr>
          <w:p>
            <w:pPr>
              <w:spacing w:after="20" w:line="240" w:lineRule="auto"/>
            </w:pPr>
            <w:r>
              <w:rPr>
                <w:color w:val="17324D"/>
                <w:sz w:val="15"/>
              </w:rPr>
              <w:t>Direct manufacturer quote with site support</w:t>
            </w:r>
          </w:p>
        </w:tc>
        <w:tc>
          <w:tcPr>
            <w:tcW w:type="dxa" w:w="1984"/>
            <w:vAlign w:val="top"/>
            <w:tcMar>
              <w:top w:w="90" w:type="dxa"/>
              <w:start w:w="90" w:type="dxa"/>
              <w:bottom w:w="90" w:type="dxa"/>
              <w:end w:w="90" w:type="dxa"/>
            </w:tcMar>
            <w:shd w:fill="F2F4F5"/>
          </w:tcPr>
          <w:p>
            <w:pPr>
              <w:spacing w:after="20" w:line="240" w:lineRule="auto"/>
            </w:pPr>
            <w:r>
              <w:rPr>
                <w:color w:val="17324D"/>
                <w:sz w:val="15"/>
              </w:rPr>
              <w:t>Published wind resistance around 120 km/h is below major Guadeloupe cyclone gusts  lower or remove</w:t>
            </w:r>
          </w:p>
        </w:tc>
      </w:tr>
      <w:tr>
        <w:tc>
          <w:tcPr>
            <w:tcW w:type="dxa" w:w="1871"/>
            <w:vAlign w:val="top"/>
            <w:tcMar>
              <w:top w:w="90" w:type="dxa"/>
              <w:start w:w="90" w:type="dxa"/>
              <w:bottom w:w="90" w:type="dxa"/>
              <w:end w:w="90" w:type="dxa"/>
            </w:tcMar>
          </w:tcPr>
          <w:p>
            <w:pPr>
              <w:spacing w:after="20" w:line="240" w:lineRule="auto"/>
            </w:pPr>
            <w:r>
              <w:rPr>
                <w:color w:val="17324D"/>
                <w:sz w:val="15"/>
              </w:rPr>
              <w:t>KnitMesh Technologies</w:t>
            </w:r>
          </w:p>
        </w:tc>
        <w:tc>
          <w:tcPr>
            <w:tcW w:type="dxa" w:w="1701"/>
            <w:vAlign w:val="top"/>
            <w:tcMar>
              <w:top w:w="90" w:type="dxa"/>
              <w:start w:w="90" w:type="dxa"/>
              <w:bottom w:w="90" w:type="dxa"/>
              <w:end w:w="90" w:type="dxa"/>
            </w:tcMar>
          </w:tcPr>
          <w:p>
            <w:pPr>
              <w:spacing w:after="20" w:line="240" w:lineRule="auto"/>
            </w:pPr>
            <w:r>
              <w:rPr>
                <w:color w:val="17324D"/>
                <w:sz w:val="15"/>
              </w:rPr>
              <w:t>United Kingdom</w:t>
            </w:r>
          </w:p>
        </w:tc>
        <w:tc>
          <w:tcPr>
            <w:tcW w:type="dxa" w:w="2324"/>
            <w:vAlign w:val="top"/>
            <w:tcMar>
              <w:top w:w="90" w:type="dxa"/>
              <w:start w:w="90" w:type="dxa"/>
              <w:bottom w:w="90" w:type="dxa"/>
              <w:end w:w="90" w:type="dxa"/>
            </w:tcMar>
          </w:tcPr>
          <w:p>
            <w:pPr>
              <w:spacing w:after="20" w:line="240" w:lineRule="auto"/>
            </w:pPr>
            <w:r>
              <w:rPr>
                <w:color w:val="17324D"/>
                <w:sz w:val="15"/>
              </w:rPr>
              <w:t>Engineered knitted-wire fog media</w:t>
            </w:r>
          </w:p>
        </w:tc>
        <w:tc>
          <w:tcPr>
            <w:tcW w:type="dxa" w:w="1928"/>
            <w:vAlign w:val="top"/>
            <w:tcMar>
              <w:top w:w="90" w:type="dxa"/>
              <w:start w:w="90" w:type="dxa"/>
              <w:bottom w:w="90" w:type="dxa"/>
              <w:end w:w="90" w:type="dxa"/>
            </w:tcMar>
          </w:tcPr>
          <w:p>
            <w:pPr>
              <w:spacing w:after="20" w:line="240" w:lineRule="auto"/>
            </w:pPr>
            <w:r>
              <w:rPr>
                <w:color w:val="17324D"/>
                <w:sz w:val="15"/>
              </w:rPr>
              <w:t>Direct industrial enquiry</w:t>
            </w:r>
          </w:p>
        </w:tc>
        <w:tc>
          <w:tcPr>
            <w:tcW w:type="dxa" w:w="1984"/>
            <w:vAlign w:val="top"/>
            <w:tcMar>
              <w:top w:w="90" w:type="dxa"/>
              <w:start w:w="90" w:type="dxa"/>
              <w:bottom w:w="90" w:type="dxa"/>
              <w:end w:w="90" w:type="dxa"/>
            </w:tcMar>
          </w:tcPr>
          <w:p>
            <w:pPr>
              <w:spacing w:after="20" w:line="240" w:lineRule="auto"/>
            </w:pPr>
            <w:r>
              <w:rPr>
                <w:color w:val="17324D"/>
                <w:sz w:val="15"/>
              </w:rPr>
              <w:t>Specify potable-contact path  corrosion and collection test</w:t>
            </w:r>
          </w:p>
        </w:tc>
      </w:tr>
      <w:tr>
        <w:tc>
          <w:tcPr>
            <w:tcW w:type="dxa" w:w="1871"/>
            <w:vAlign w:val="top"/>
            <w:tcMar>
              <w:top w:w="90" w:type="dxa"/>
              <w:start w:w="90" w:type="dxa"/>
              <w:bottom w:w="90" w:type="dxa"/>
              <w:end w:w="90" w:type="dxa"/>
            </w:tcMar>
            <w:shd w:fill="F2F4F5"/>
          </w:tcPr>
          <w:p>
            <w:pPr>
              <w:spacing w:after="20" w:line="240" w:lineRule="auto"/>
            </w:pPr>
            <w:r>
              <w:rPr>
                <w:color w:val="17324D"/>
                <w:sz w:val="15"/>
              </w:rPr>
              <w:t>Local fabricated SFC</w:t>
            </w:r>
          </w:p>
        </w:tc>
        <w:tc>
          <w:tcPr>
            <w:tcW w:type="dxa" w:w="1701"/>
            <w:vAlign w:val="top"/>
            <w:tcMar>
              <w:top w:w="90" w:type="dxa"/>
              <w:start w:w="90" w:type="dxa"/>
              <w:bottom w:w="90" w:type="dxa"/>
              <w:end w:w="90" w:type="dxa"/>
            </w:tcMar>
            <w:shd w:fill="F2F4F5"/>
          </w:tcPr>
          <w:p>
            <w:pPr>
              <w:spacing w:after="20" w:line="240" w:lineRule="auto"/>
            </w:pPr>
            <w:r>
              <w:rPr>
                <w:color w:val="17324D"/>
                <w:sz w:val="15"/>
              </w:rPr>
              <w:t>Guadeloupe plus EU components</w:t>
            </w:r>
          </w:p>
        </w:tc>
        <w:tc>
          <w:tcPr>
            <w:tcW w:type="dxa" w:w="2324"/>
            <w:vAlign w:val="top"/>
            <w:tcMar>
              <w:top w:w="90" w:type="dxa"/>
              <w:start w:w="90" w:type="dxa"/>
              <w:bottom w:w="90" w:type="dxa"/>
              <w:end w:w="90" w:type="dxa"/>
            </w:tcMar>
            <w:shd w:fill="F2F4F5"/>
          </w:tcPr>
          <w:p>
            <w:pPr>
              <w:spacing w:after="20" w:line="240" w:lineRule="auto"/>
            </w:pPr>
            <w:r>
              <w:rPr>
                <w:color w:val="17324D"/>
                <w:sz w:val="15"/>
              </w:rPr>
              <w:t>1 m² test frame with calibrated gauge</w:t>
            </w:r>
          </w:p>
        </w:tc>
        <w:tc>
          <w:tcPr>
            <w:tcW w:type="dxa" w:w="1928"/>
            <w:vAlign w:val="top"/>
            <w:tcMar>
              <w:top w:w="90" w:type="dxa"/>
              <w:start w:w="90" w:type="dxa"/>
              <w:bottom w:w="90" w:type="dxa"/>
              <w:end w:w="90" w:type="dxa"/>
            </w:tcMar>
            <w:shd w:fill="F2F4F5"/>
          </w:tcPr>
          <w:p>
            <w:pPr>
              <w:spacing w:after="20" w:line="240" w:lineRule="auto"/>
            </w:pPr>
            <w:r>
              <w:rPr>
                <w:color w:val="17324D"/>
                <w:sz w:val="15"/>
              </w:rPr>
              <w:t>Local metalwork and plumbing contractor</w:t>
            </w:r>
          </w:p>
        </w:tc>
        <w:tc>
          <w:tcPr>
            <w:tcW w:type="dxa" w:w="1984"/>
            <w:vAlign w:val="top"/>
            <w:tcMar>
              <w:top w:w="90" w:type="dxa"/>
              <w:start w:w="90" w:type="dxa"/>
              <w:bottom w:w="90" w:type="dxa"/>
              <w:end w:w="90" w:type="dxa"/>
            </w:tcMar>
            <w:shd w:fill="F2F4F5"/>
          </w:tcPr>
          <w:p>
            <w:pPr>
              <w:spacing w:after="20" w:line="240" w:lineRule="auto"/>
            </w:pPr>
            <w:r>
              <w:rPr>
                <w:color w:val="17324D"/>
                <w:sz w:val="15"/>
              </w:rPr>
              <w:t>Use the standard geometry to preserve comparability</w:t>
            </w:r>
          </w:p>
        </w:tc>
      </w:tr>
    </w:tbl>
    <w:p>
      <w:pPr>
        <w:spacing w:after="0"/>
      </w:pPr>
    </w:p>
    <w:p>
      <w:pPr>
        <w:pStyle w:val="Heading2"/>
      </w:pPr>
      <w:r>
        <w:t>Fog pilot specification</w:t>
      </w:r>
    </w:p>
    <w:p>
      <w:pPr>
        <w:pStyle w:val="ListBullet"/>
        <w:spacing w:after="60"/>
        <w:ind w:left="312" w:hanging="170"/>
      </w:pPr>
      <w:r>
        <w:rPr>
          <w:color w:val="17324D"/>
          <w:sz w:val="19"/>
        </w:rPr>
        <w:t>Install at least six 1 m² standard fog collectors across windward Basse-Terre elevations, each with an adjacent rain gauge and weather logger.</w:t>
      </w:r>
    </w:p>
    <w:p>
      <w:pPr>
        <w:pStyle w:val="ListBullet"/>
        <w:spacing w:after="60"/>
        <w:ind w:left="312" w:hanging="170"/>
      </w:pPr>
      <w:r>
        <w:rPr>
          <w:color w:val="17324D"/>
          <w:sz w:val="19"/>
        </w:rPr>
        <w:t>Record litres per square metre per day, wind speed and direction, relative humidity, rainfall, conductivity, turbidity, pH and microbiology.</w:t>
      </w:r>
    </w:p>
    <w:p>
      <w:pPr>
        <w:pStyle w:val="ListBullet"/>
        <w:spacing w:after="60"/>
        <w:ind w:left="312" w:hanging="170"/>
      </w:pPr>
      <w:r>
        <w:rPr>
          <w:color w:val="17324D"/>
          <w:sz w:val="19"/>
        </w:rPr>
        <w:t>Run for 12 months where possible and include the complete dry season before any large collector purchase.</w:t>
      </w:r>
    </w:p>
    <w:p>
      <w:pPr>
        <w:pStyle w:val="ListBullet"/>
        <w:spacing w:after="60"/>
        <w:ind w:left="312" w:hanging="170"/>
      </w:pPr>
      <w:r>
        <w:rPr>
          <w:color w:val="17324D"/>
          <w:sz w:val="19"/>
        </w:rPr>
        <w:t>Use quick-release mesh and a documented cyclone lowering drill; do not leave a 120 km/h-rated collector exposed to Category 4 conditions.</w:t>
      </w:r>
    </w:p>
    <w:p>
      <w:pPr>
        <w:pStyle w:val="ListBullet"/>
        <w:spacing w:after="60"/>
        <w:ind w:left="312" w:hanging="170"/>
      </w:pPr>
      <w:r>
        <w:rPr>
          <w:color w:val="17324D"/>
          <w:sz w:val="19"/>
        </w:rPr>
        <w:t>Treat fog water as raw water until the complete catchment, storage and disinfection train is validated.</w:t>
      </w:r>
    </w:p>
    <w:p>
      <w:pPr>
        <w:pStyle w:val="Heading2"/>
      </w:pPr>
      <w:r>
        <w:t>What fog can realistically supply</w:t>
      </w:r>
    </w:p>
    <w:p>
      <w:r>
        <w:t>At 3–10 L/m²/day, a 54 m² collector would average roughly 162–540 L/day before downtime and treatment losses. Reaching 120 m³/day would require about 12,000–40,000 m² of effective mesh. That is why fog is a valuable offset and remote-site technology, not the unmeasured foundation of the 8,000-person promise.</w:t>
      </w:r>
    </w:p>
    <w:p>
      <w:pPr>
        <w:pStyle w:val="Heading1"/>
      </w:pPr>
      <w:r>
        <w:t>Rain and dew capture</w:t>
      </w:r>
    </w:p>
    <w:p>
      <w:r>
        <w:t>Rainwater should be the first harvested resource because roofs already exist and local tanks and installers are available. At 1,400 mm/year and an 0.8 runoff coefficient, each square metre yields about 1,120 L/year, or 3.1 L/day averaged across the year. At 3,000 mm/year it yields about 2,400 L/year, or 6.6 L/day. The constraint is dry-season storage and sanitary separation, not annual arithmetic.</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871"/>
            <w:shd w:fill="17324D"/>
            <w:vAlign w:val="center"/>
            <w:tcMar>
              <w:top w:w="90" w:type="dxa"/>
              <w:start w:w="90" w:type="dxa"/>
              <w:bottom w:w="90" w:type="dxa"/>
              <w:end w:w="90" w:type="dxa"/>
            </w:tcMar>
          </w:tcPr>
          <w:p>
            <w:r>
              <w:rPr>
                <w:b/>
                <w:color w:val="FFFFFF"/>
                <w:sz w:val="15"/>
              </w:rPr>
              <w:t>Supplier or route</w:t>
            </w:r>
          </w:p>
        </w:tc>
        <w:tc>
          <w:tcPr>
            <w:tcW w:type="dxa" w:w="1814"/>
            <w:shd w:fill="17324D"/>
            <w:vAlign w:val="center"/>
            <w:tcMar>
              <w:top w:w="90" w:type="dxa"/>
              <w:start w:w="90" w:type="dxa"/>
              <w:bottom w:w="90" w:type="dxa"/>
              <w:end w:w="90" w:type="dxa"/>
            </w:tcMar>
          </w:tcPr>
          <w:p>
            <w:r>
              <w:rPr>
                <w:b/>
                <w:color w:val="FFFFFF"/>
                <w:sz w:val="15"/>
              </w:rPr>
              <w:t>Origin</w:t>
            </w:r>
          </w:p>
        </w:tc>
        <w:tc>
          <w:tcPr>
            <w:tcW w:type="dxa" w:w="2721"/>
            <w:shd w:fill="17324D"/>
            <w:vAlign w:val="center"/>
            <w:tcMar>
              <w:top w:w="90" w:type="dxa"/>
              <w:start w:w="90" w:type="dxa"/>
              <w:bottom w:w="90" w:type="dxa"/>
              <w:end w:w="90" w:type="dxa"/>
            </w:tcMar>
          </w:tcPr>
          <w:p>
            <w:r>
              <w:rPr>
                <w:b/>
                <w:color w:val="FFFFFF"/>
                <w:sz w:val="15"/>
              </w:rPr>
              <w:t>Available offer</w:t>
            </w:r>
          </w:p>
        </w:tc>
        <w:tc>
          <w:tcPr>
            <w:tcW w:type="dxa" w:w="3231"/>
            <w:shd w:fill="17324D"/>
            <w:vAlign w:val="center"/>
            <w:tcMar>
              <w:top w:w="90" w:type="dxa"/>
              <w:start w:w="90" w:type="dxa"/>
              <w:bottom w:w="90" w:type="dxa"/>
              <w:end w:w="90" w:type="dxa"/>
            </w:tcMar>
          </w:tcPr>
          <w:p>
            <w:r>
              <w:rPr>
                <w:b/>
                <w:color w:val="FFFFFF"/>
                <w:sz w:val="15"/>
              </w:rPr>
              <w:t>Procurement note</w:t>
            </w:r>
          </w:p>
        </w:tc>
      </w:tr>
      <w:tr>
        <w:tc>
          <w:tcPr>
            <w:tcW w:type="dxa" w:w="1871"/>
            <w:vAlign w:val="top"/>
            <w:tcMar>
              <w:top w:w="90" w:type="dxa"/>
              <w:start w:w="90" w:type="dxa"/>
              <w:bottom w:w="90" w:type="dxa"/>
              <w:end w:w="90" w:type="dxa"/>
            </w:tcMar>
          </w:tcPr>
          <w:p>
            <w:pPr>
              <w:spacing w:after="20" w:line="240" w:lineRule="auto"/>
            </w:pPr>
            <w:r>
              <w:rPr>
                <w:color w:val="17324D"/>
                <w:sz w:val="15"/>
              </w:rPr>
              <w:t>PROCAP</w:t>
            </w:r>
          </w:p>
        </w:tc>
        <w:tc>
          <w:tcPr>
            <w:tcW w:type="dxa" w:w="1814"/>
            <w:vAlign w:val="top"/>
            <w:tcMar>
              <w:top w:w="90" w:type="dxa"/>
              <w:start w:w="90" w:type="dxa"/>
              <w:bottom w:w="90" w:type="dxa"/>
              <w:end w:w="90" w:type="dxa"/>
            </w:tcMar>
          </w:tcPr>
          <w:p>
            <w:pPr>
              <w:spacing w:after="20" w:line="240" w:lineRule="auto"/>
            </w:pPr>
            <w:r>
              <w:rPr>
                <w:color w:val="17324D"/>
                <w:sz w:val="15"/>
              </w:rPr>
              <w:t>Guadeloupe and Antilles</w:t>
            </w:r>
          </w:p>
        </w:tc>
        <w:tc>
          <w:tcPr>
            <w:tcW w:type="dxa" w:w="2721"/>
            <w:vAlign w:val="top"/>
            <w:tcMar>
              <w:top w:w="90" w:type="dxa"/>
              <w:start w:w="90" w:type="dxa"/>
              <w:bottom w:w="90" w:type="dxa"/>
              <w:end w:w="90" w:type="dxa"/>
            </w:tcMar>
          </w:tcPr>
          <w:p>
            <w:pPr>
              <w:spacing w:after="20" w:line="240" w:lineRule="auto"/>
            </w:pPr>
            <w:r>
              <w:rPr>
                <w:color w:val="17324D"/>
                <w:sz w:val="15"/>
              </w:rPr>
              <w:t>Rotomoulded PE tanks including ACS potable-water models</w:t>
            </w:r>
          </w:p>
        </w:tc>
        <w:tc>
          <w:tcPr>
            <w:tcW w:type="dxa" w:w="3231"/>
            <w:vAlign w:val="top"/>
            <w:tcMar>
              <w:top w:w="90" w:type="dxa"/>
              <w:start w:w="90" w:type="dxa"/>
              <w:bottom w:w="90" w:type="dxa"/>
              <w:end w:w="90" w:type="dxa"/>
            </w:tcMar>
          </w:tcPr>
          <w:p>
            <w:pPr>
              <w:spacing w:after="20" w:line="240" w:lineRule="auto"/>
            </w:pPr>
            <w:r>
              <w:rPr>
                <w:color w:val="17324D"/>
                <w:sz w:val="15"/>
              </w:rPr>
              <w:t>Strong local-production preference  specify whether the tank is approved for potable storage or only rainwater/non-potable use</w:t>
            </w:r>
          </w:p>
        </w:tc>
      </w:tr>
      <w:tr>
        <w:tc>
          <w:tcPr>
            <w:tcW w:type="dxa" w:w="1871"/>
            <w:vAlign w:val="top"/>
            <w:tcMar>
              <w:top w:w="90" w:type="dxa"/>
              <w:start w:w="90" w:type="dxa"/>
              <w:bottom w:w="90" w:type="dxa"/>
              <w:end w:w="90" w:type="dxa"/>
            </w:tcMar>
            <w:shd w:fill="F2F4F5"/>
          </w:tcPr>
          <w:p>
            <w:pPr>
              <w:spacing w:after="20" w:line="240" w:lineRule="auto"/>
            </w:pPr>
            <w:r>
              <w:rPr>
                <w:color w:val="17324D"/>
                <w:sz w:val="15"/>
              </w:rPr>
              <w:t>Bèl Lapli</w:t>
            </w:r>
          </w:p>
        </w:tc>
        <w:tc>
          <w:tcPr>
            <w:tcW w:type="dxa" w:w="1814"/>
            <w:vAlign w:val="top"/>
            <w:tcMar>
              <w:top w:w="90" w:type="dxa"/>
              <w:start w:w="90" w:type="dxa"/>
              <w:bottom w:w="90" w:type="dxa"/>
              <w:end w:w="90" w:type="dxa"/>
            </w:tcMar>
            <w:shd w:fill="F2F4F5"/>
          </w:tcPr>
          <w:p>
            <w:pPr>
              <w:spacing w:after="20" w:line="240" w:lineRule="auto"/>
            </w:pPr>
            <w:r>
              <w:rPr>
                <w:color w:val="17324D"/>
                <w:sz w:val="15"/>
              </w:rPr>
              <w:t>Guadeloupe</w:t>
            </w:r>
          </w:p>
        </w:tc>
        <w:tc>
          <w:tcPr>
            <w:tcW w:type="dxa" w:w="2721"/>
            <w:vAlign w:val="top"/>
            <w:tcMar>
              <w:top w:w="90" w:type="dxa"/>
              <w:start w:w="90" w:type="dxa"/>
              <w:bottom w:w="90" w:type="dxa"/>
              <w:end w:w="90" w:type="dxa"/>
            </w:tcMar>
            <w:shd w:fill="F2F4F5"/>
          </w:tcPr>
          <w:p>
            <w:pPr>
              <w:spacing w:after="20" w:line="240" w:lineRule="auto"/>
            </w:pPr>
            <w:r>
              <w:rPr>
                <w:color w:val="17324D"/>
                <w:sz w:val="15"/>
              </w:rPr>
              <w:t>Turnkey rainwater tanks and treatment</w:t>
            </w:r>
          </w:p>
        </w:tc>
        <w:tc>
          <w:tcPr>
            <w:tcW w:type="dxa" w:w="3231"/>
            <w:vAlign w:val="top"/>
            <w:tcMar>
              <w:top w:w="90" w:type="dxa"/>
              <w:start w:w="90" w:type="dxa"/>
              <w:bottom w:w="90" w:type="dxa"/>
              <w:end w:w="90" w:type="dxa"/>
            </w:tcMar>
            <w:shd w:fill="F2F4F5"/>
          </w:tcPr>
          <w:p>
            <w:pPr>
              <w:spacing w:after="20" w:line="240" w:lineRule="auto"/>
            </w:pPr>
            <w:r>
              <w:rPr>
                <w:color w:val="17324D"/>
                <w:sz w:val="15"/>
              </w:rPr>
              <w:t>Ask for exact treatment barrier  commissioning tests and ARS-compatible use case</w:t>
            </w:r>
          </w:p>
        </w:tc>
      </w:tr>
      <w:tr>
        <w:tc>
          <w:tcPr>
            <w:tcW w:type="dxa" w:w="1871"/>
            <w:vAlign w:val="top"/>
            <w:tcMar>
              <w:top w:w="90" w:type="dxa"/>
              <w:start w:w="90" w:type="dxa"/>
              <w:bottom w:w="90" w:type="dxa"/>
              <w:end w:w="90" w:type="dxa"/>
            </w:tcMar>
          </w:tcPr>
          <w:p>
            <w:pPr>
              <w:spacing w:after="20" w:line="240" w:lineRule="auto"/>
            </w:pPr>
            <w:r>
              <w:rPr>
                <w:color w:val="17324D"/>
                <w:sz w:val="15"/>
              </w:rPr>
              <w:t>Soley K'raïb</w:t>
            </w:r>
          </w:p>
        </w:tc>
        <w:tc>
          <w:tcPr>
            <w:tcW w:type="dxa" w:w="1814"/>
            <w:vAlign w:val="top"/>
            <w:tcMar>
              <w:top w:w="90" w:type="dxa"/>
              <w:start w:w="90" w:type="dxa"/>
              <w:bottom w:w="90" w:type="dxa"/>
              <w:end w:w="90" w:type="dxa"/>
            </w:tcMar>
          </w:tcPr>
          <w:p>
            <w:pPr>
              <w:spacing w:after="20" w:line="240" w:lineRule="auto"/>
            </w:pPr>
            <w:r>
              <w:rPr>
                <w:color w:val="17324D"/>
                <w:sz w:val="15"/>
              </w:rPr>
              <w:t>Guadeloupe</w:t>
            </w:r>
          </w:p>
        </w:tc>
        <w:tc>
          <w:tcPr>
            <w:tcW w:type="dxa" w:w="2721"/>
            <w:vAlign w:val="top"/>
            <w:tcMar>
              <w:top w:w="90" w:type="dxa"/>
              <w:start w:w="90" w:type="dxa"/>
              <w:bottom w:w="90" w:type="dxa"/>
              <w:end w:w="90" w:type="dxa"/>
            </w:tcMar>
          </w:tcPr>
          <w:p>
            <w:pPr>
              <w:spacing w:after="20" w:line="240" w:lineRule="auto"/>
            </w:pPr>
            <w:r>
              <w:rPr>
                <w:color w:val="17324D"/>
                <w:sz w:val="15"/>
              </w:rPr>
              <w:t>Tank supply and installation</w:t>
            </w:r>
          </w:p>
        </w:tc>
        <w:tc>
          <w:tcPr>
            <w:tcW w:type="dxa" w:w="3231"/>
            <w:vAlign w:val="top"/>
            <w:tcMar>
              <w:top w:w="90" w:type="dxa"/>
              <w:start w:w="90" w:type="dxa"/>
              <w:bottom w:w="90" w:type="dxa"/>
              <w:end w:w="90" w:type="dxa"/>
            </w:tcMar>
          </w:tcPr>
          <w:p>
            <w:pPr>
              <w:spacing w:after="20" w:line="240" w:lineRule="auto"/>
            </w:pPr>
            <w:r>
              <w:rPr>
                <w:color w:val="17324D"/>
                <w:sz w:val="15"/>
              </w:rPr>
              <w:t>Confirm current aid eligibility and minimum capacity before relying on subsidy</w:t>
            </w:r>
          </w:p>
        </w:tc>
      </w:tr>
      <w:tr>
        <w:tc>
          <w:tcPr>
            <w:tcW w:type="dxa" w:w="1871"/>
            <w:vAlign w:val="top"/>
            <w:tcMar>
              <w:top w:w="90" w:type="dxa"/>
              <w:start w:w="90" w:type="dxa"/>
              <w:bottom w:w="90" w:type="dxa"/>
              <w:end w:w="90" w:type="dxa"/>
            </w:tcMar>
            <w:shd w:fill="F2F4F5"/>
          </w:tcPr>
          <w:p>
            <w:pPr>
              <w:spacing w:after="20" w:line="240" w:lineRule="auto"/>
            </w:pPr>
            <w:r>
              <w:rPr>
                <w:color w:val="17324D"/>
                <w:sz w:val="15"/>
              </w:rPr>
              <w:t>PAK971</w:t>
            </w:r>
          </w:p>
        </w:tc>
        <w:tc>
          <w:tcPr>
            <w:tcW w:type="dxa" w:w="1814"/>
            <w:vAlign w:val="top"/>
            <w:tcMar>
              <w:top w:w="90" w:type="dxa"/>
              <w:start w:w="90" w:type="dxa"/>
              <w:bottom w:w="90" w:type="dxa"/>
              <w:end w:w="90" w:type="dxa"/>
            </w:tcMar>
            <w:shd w:fill="F2F4F5"/>
          </w:tcPr>
          <w:p>
            <w:pPr>
              <w:spacing w:after="20" w:line="240" w:lineRule="auto"/>
            </w:pPr>
            <w:r>
              <w:rPr>
                <w:color w:val="17324D"/>
                <w:sz w:val="15"/>
              </w:rPr>
              <w:t>Guadeloupe</w:t>
            </w:r>
          </w:p>
        </w:tc>
        <w:tc>
          <w:tcPr>
            <w:tcW w:type="dxa" w:w="2721"/>
            <w:vAlign w:val="top"/>
            <w:tcMar>
              <w:top w:w="90" w:type="dxa"/>
              <w:start w:w="90" w:type="dxa"/>
              <w:bottom w:w="90" w:type="dxa"/>
              <w:end w:w="90" w:type="dxa"/>
            </w:tcMar>
            <w:shd w:fill="F2F4F5"/>
          </w:tcPr>
          <w:p>
            <w:pPr>
              <w:spacing w:after="20" w:line="240" w:lineRule="auto"/>
            </w:pPr>
            <w:r>
              <w:rPr>
                <w:color w:val="17324D"/>
                <w:sz w:val="15"/>
              </w:rPr>
              <w:t>ACS tank range reported from 300 to 9,500 L</w:t>
            </w:r>
          </w:p>
        </w:tc>
        <w:tc>
          <w:tcPr>
            <w:tcW w:type="dxa" w:w="3231"/>
            <w:vAlign w:val="top"/>
            <w:tcMar>
              <w:top w:w="90" w:type="dxa"/>
              <w:start w:w="90" w:type="dxa"/>
              <w:bottom w:w="90" w:type="dxa"/>
              <w:end w:w="90" w:type="dxa"/>
            </w:tcMar>
            <w:shd w:fill="F2F4F5"/>
          </w:tcPr>
          <w:p>
            <w:pPr>
              <w:spacing w:after="20" w:line="240" w:lineRule="auto"/>
            </w:pPr>
            <w:r>
              <w:rPr>
                <w:color w:val="17324D"/>
                <w:sz w:val="15"/>
              </w:rPr>
              <w:t>Useful modular household route  obtain written potable-contact documentation</w:t>
            </w:r>
          </w:p>
        </w:tc>
      </w:tr>
      <w:tr>
        <w:tc>
          <w:tcPr>
            <w:tcW w:type="dxa" w:w="1871"/>
            <w:vAlign w:val="top"/>
            <w:tcMar>
              <w:top w:w="90" w:type="dxa"/>
              <w:start w:w="90" w:type="dxa"/>
              <w:bottom w:w="90" w:type="dxa"/>
              <w:end w:w="90" w:type="dxa"/>
            </w:tcMar>
          </w:tcPr>
          <w:p>
            <w:pPr>
              <w:spacing w:after="20" w:line="240" w:lineRule="auto"/>
            </w:pPr>
            <w:r>
              <w:rPr>
                <w:color w:val="17324D"/>
                <w:sz w:val="15"/>
              </w:rPr>
              <w:t>GRAF Carat XL</w:t>
            </w:r>
          </w:p>
        </w:tc>
        <w:tc>
          <w:tcPr>
            <w:tcW w:type="dxa" w:w="1814"/>
            <w:vAlign w:val="top"/>
            <w:tcMar>
              <w:top w:w="90" w:type="dxa"/>
              <w:start w:w="90" w:type="dxa"/>
              <w:bottom w:w="90" w:type="dxa"/>
              <w:end w:w="90" w:type="dxa"/>
            </w:tcMar>
          </w:tcPr>
          <w:p>
            <w:pPr>
              <w:spacing w:after="20" w:line="240" w:lineRule="auto"/>
            </w:pPr>
            <w:r>
              <w:rPr>
                <w:color w:val="17324D"/>
                <w:sz w:val="15"/>
              </w:rPr>
              <w:t>Germany</w:t>
            </w:r>
          </w:p>
        </w:tc>
        <w:tc>
          <w:tcPr>
            <w:tcW w:type="dxa" w:w="2721"/>
            <w:vAlign w:val="top"/>
            <w:tcMar>
              <w:top w:w="90" w:type="dxa"/>
              <w:start w:w="90" w:type="dxa"/>
              <w:bottom w:w="90" w:type="dxa"/>
              <w:end w:w="90" w:type="dxa"/>
            </w:tcMar>
          </w:tcPr>
          <w:p>
            <w:pPr>
              <w:spacing w:after="20" w:line="240" w:lineRule="auto"/>
            </w:pPr>
            <w:r>
              <w:rPr>
                <w:color w:val="17324D"/>
                <w:sz w:val="15"/>
              </w:rPr>
              <w:t>10,000 L buried tank through French distribution</w:t>
            </w:r>
          </w:p>
        </w:tc>
        <w:tc>
          <w:tcPr>
            <w:tcW w:type="dxa" w:w="3231"/>
            <w:vAlign w:val="top"/>
            <w:tcMar>
              <w:top w:w="90" w:type="dxa"/>
              <w:start w:w="90" w:type="dxa"/>
              <w:bottom w:w="90" w:type="dxa"/>
              <w:end w:w="90" w:type="dxa"/>
            </w:tcMar>
          </w:tcPr>
          <w:p>
            <w:pPr>
              <w:spacing w:after="20" w:line="240" w:lineRule="auto"/>
            </w:pPr>
            <w:r>
              <w:rPr>
                <w:color w:val="17324D"/>
                <w:sz w:val="15"/>
              </w:rPr>
              <w:t>EU benchmark  freight and cyclone-grade installation extra</w:t>
            </w:r>
          </w:p>
        </w:tc>
      </w:tr>
    </w:tbl>
    <w:p>
      <w:pPr>
        <w:spacing w:after="0"/>
      </w:pPr>
    </w:p>
    <w:tbl>
      <w:tblPr>
        <w:tblW w:type="auto" w:w="0"/>
        <w:jc w:val="center"/>
        <w:tblLayout w:type="fixed"/>
        <w:tblLook w:firstColumn="1" w:firstRow="1" w:lastColumn="0" w:lastRow="0" w:noHBand="0" w:noVBand="1" w:val="04A0"/>
      </w:tblPr>
      <w:tblGrid>
        <w:gridCol w:w="159"/>
        <w:gridCol w:w="9184"/>
      </w:tblGrid>
      <w:tr>
        <w:trPr>
          <w:cantSplit/>
        </w:trPr>
        <w:tc>
          <w:tcPr>
            <w:tcW w:type="dxa" w:w="5185"/>
            <w:shd w:fill="007F82"/>
          </w:tcPr>
          <w:p>
            <w:r/>
          </w:p>
        </w:tc>
        <w:tc>
          <w:tcPr>
            <w:tcW w:type="dxa" w:w="5185"/>
            <w:shd w:fill="EEF5F7"/>
            <w:tcMar>
              <w:top w:w="130" w:type="dxa"/>
              <w:start w:w="180" w:type="dxa"/>
              <w:bottom w:w="130" w:type="dxa"/>
              <w:end w:w="180" w:type="dxa"/>
            </w:tcMar>
          </w:tcPr>
          <w:p>
            <w:pPr>
              <w:spacing w:after="40"/>
            </w:pPr>
            <w:r>
              <w:rPr>
                <w:b/>
                <w:color w:val="007F82"/>
                <w:sz w:val="20"/>
              </w:rPr>
              <w:t>Connection rule</w:t>
            </w:r>
          </w:p>
          <w:p>
            <w:pPr>
              <w:spacing w:after="0"/>
            </w:pPr>
            <w:r>
              <w:rPr>
                <w:color w:val="17324D"/>
                <w:sz w:val="18"/>
              </w:rPr>
              <w:t>Keep harvested rainwater physically separated from the public potable network unless an approved backflow-protected arrangement is designed. Use first-flush diversion, screened inlets, opaque tanks, accessible cleaning, protected vents, filtration and disinfection appropriate to the intended use.</w:t>
            </w:r>
          </w:p>
        </w:tc>
      </w:tr>
    </w:tbl>
    <w:p>
      <w:pPr>
        <w:spacing w:after="0"/>
      </w:pPr>
    </w:p>
    <w:p>
      <w:pPr>
        <w:pStyle w:val="Heading2"/>
      </w:pPr>
      <w:r>
        <w:t>Passive dew</w:t>
      </w:r>
    </w:p>
    <w:p>
      <w:r>
        <w:t>Radiative dew collectors cool a surface below the dew point at night. Literature values around 0.3–0.6 L/m²/day make them suitable for demonstration, plant irrigation and small emergency volumes. At the 120 m³/day target, they imply roughly 200,000–400,000 m² of collector. Sorbent and hydrogel systems can work at lower humidity but require heat for regeneration; most high-performing examples remain research rather than supported turnkey products.</w:t>
      </w:r>
    </w:p>
    <w:p>
      <w:r>
        <w:br w:type="page"/>
      </w:r>
    </w:p>
    <w:p>
      <w:pPr>
        <w:pStyle w:val="Heading1"/>
      </w:pPr>
      <w:r>
        <w:t>Passive solar desalination</w:t>
      </w:r>
    </w:p>
    <w:p>
      <w:pPr>
        <w:pStyle w:val="Heading2"/>
      </w:pPr>
      <w:r>
        <w:t>GWS-1 local build</w:t>
      </w:r>
    </w:p>
    <w:p>
      <w:r>
        <w:t>The existing GWS-1 design is a 1 m² single-basin passive solar still intended for Guadeloupe fabrication. It uses a local fired-clay or chamotte shell, a 316L basin and gutter, two removable tempered-glass panes at about 12 degrees and food-grade elastomers. Its design basis is 2.5–4 L/day typical, with 5 L/day as a favourable upper value. It needs no pump, pressure or electricity.</w:t>
      </w:r>
    </w:p>
    <w:tbl>
      <w:tblPr>
        <w:tblStyle w:val="TableGrid"/>
        <w:tblW w:type="auto" w:w="0"/>
        <w:jc w:val="center"/>
        <w:tblLayout w:type="fixed"/>
        <w:tblLook w:firstColumn="1" w:firstRow="1" w:lastColumn="0" w:lastRow="0" w:noHBand="0" w:noVBand="1" w:val="04A0"/>
      </w:tblPr>
      <w:tblGrid>
        <w:gridCol w:w="3457"/>
        <w:gridCol w:w="3457"/>
        <w:gridCol w:w="3457"/>
      </w:tblGrid>
      <w:tr>
        <w:trPr>
          <w:tblHeader w:val="true"/>
        </w:trPr>
        <w:tc>
          <w:tcPr>
            <w:tcW w:type="dxa" w:w="1701"/>
            <w:shd w:fill="17324D"/>
            <w:vAlign w:val="center"/>
            <w:tcMar>
              <w:top w:w="90" w:type="dxa"/>
              <w:start w:w="90" w:type="dxa"/>
              <w:bottom w:w="90" w:type="dxa"/>
              <w:end w:w="90" w:type="dxa"/>
            </w:tcMar>
          </w:tcPr>
          <w:p>
            <w:r>
              <w:rPr>
                <w:b/>
                <w:color w:val="FFFFFF"/>
                <w:sz w:val="16"/>
              </w:rPr>
              <w:t>Item</w:t>
            </w:r>
          </w:p>
        </w:tc>
        <w:tc>
          <w:tcPr>
            <w:tcW w:type="dxa" w:w="3402"/>
            <w:shd w:fill="17324D"/>
            <w:vAlign w:val="center"/>
            <w:tcMar>
              <w:top w:w="90" w:type="dxa"/>
              <w:start w:w="90" w:type="dxa"/>
              <w:bottom w:w="90" w:type="dxa"/>
              <w:end w:w="90" w:type="dxa"/>
            </w:tcMar>
          </w:tcPr>
          <w:p>
            <w:r>
              <w:rPr>
                <w:b/>
                <w:color w:val="FFFFFF"/>
                <w:sz w:val="16"/>
              </w:rPr>
              <w:t>GWS-1 specification</w:t>
            </w:r>
          </w:p>
        </w:tc>
        <w:tc>
          <w:tcPr>
            <w:tcW w:type="dxa" w:w="4139"/>
            <w:shd w:fill="17324D"/>
            <w:vAlign w:val="center"/>
            <w:tcMar>
              <w:top w:w="90" w:type="dxa"/>
              <w:start w:w="90" w:type="dxa"/>
              <w:bottom w:w="90" w:type="dxa"/>
              <w:end w:w="90" w:type="dxa"/>
            </w:tcMar>
          </w:tcPr>
          <w:p>
            <w:r>
              <w:rPr>
                <w:b/>
                <w:color w:val="FFFFFF"/>
                <w:sz w:val="16"/>
              </w:rPr>
              <w:t>Procurement implication</w:t>
            </w:r>
          </w:p>
        </w:tc>
      </w:tr>
      <w:tr>
        <w:tc>
          <w:tcPr>
            <w:tcW w:type="dxa" w:w="1701"/>
            <w:vAlign w:val="top"/>
            <w:tcMar>
              <w:top w:w="90" w:type="dxa"/>
              <w:start w:w="90" w:type="dxa"/>
              <w:bottom w:w="90" w:type="dxa"/>
              <w:end w:w="90" w:type="dxa"/>
            </w:tcMar>
          </w:tcPr>
          <w:p>
            <w:pPr>
              <w:spacing w:after="20" w:line="240" w:lineRule="auto"/>
            </w:pPr>
            <w:r>
              <w:rPr>
                <w:color w:val="17324D"/>
                <w:sz w:val="16"/>
              </w:rPr>
              <w:t>Footprint</w:t>
            </w:r>
          </w:p>
        </w:tc>
        <w:tc>
          <w:tcPr>
            <w:tcW w:type="dxa" w:w="3402"/>
            <w:vAlign w:val="top"/>
            <w:tcMar>
              <w:top w:w="90" w:type="dxa"/>
              <w:start w:w="90" w:type="dxa"/>
              <w:bottom w:w="90" w:type="dxa"/>
              <w:end w:w="90" w:type="dxa"/>
            </w:tcMar>
          </w:tcPr>
          <w:p>
            <w:pPr>
              <w:spacing w:after="20" w:line="240" w:lineRule="auto"/>
            </w:pPr>
            <w:r>
              <w:rPr>
                <w:color w:val="17324D"/>
                <w:sz w:val="16"/>
              </w:rPr>
              <w:t>Outer body about 1.12 × 1.12 m  basin 1.00 × 1.00 × 0.035 m</w:t>
            </w:r>
          </w:p>
        </w:tc>
        <w:tc>
          <w:tcPr>
            <w:tcW w:type="dxa" w:w="4139"/>
            <w:vAlign w:val="top"/>
            <w:tcMar>
              <w:top w:w="90" w:type="dxa"/>
              <w:start w:w="90" w:type="dxa"/>
              <w:bottom w:w="90" w:type="dxa"/>
              <w:end w:w="90" w:type="dxa"/>
            </w:tcMar>
          </w:tcPr>
          <w:p>
            <w:pPr>
              <w:spacing w:after="20" w:line="240" w:lineRule="auto"/>
            </w:pPr>
            <w:r>
              <w:rPr>
                <w:color w:val="17324D"/>
                <w:sz w:val="16"/>
              </w:rPr>
              <w:t>Local mould  masonry and metalwork are feasible</w:t>
            </w:r>
          </w:p>
        </w:tc>
      </w:tr>
      <w:tr>
        <w:tc>
          <w:tcPr>
            <w:tcW w:type="dxa" w:w="1701"/>
            <w:vAlign w:val="top"/>
            <w:tcMar>
              <w:top w:w="90" w:type="dxa"/>
              <w:start w:w="90" w:type="dxa"/>
              <w:bottom w:w="90" w:type="dxa"/>
              <w:end w:w="90" w:type="dxa"/>
            </w:tcMar>
            <w:shd w:fill="F2F4F5"/>
          </w:tcPr>
          <w:p>
            <w:pPr>
              <w:spacing w:after="20" w:line="240" w:lineRule="auto"/>
            </w:pPr>
            <w:r>
              <w:rPr>
                <w:color w:val="17324D"/>
                <w:sz w:val="16"/>
              </w:rPr>
              <w:t>Glazing</w:t>
            </w:r>
          </w:p>
        </w:tc>
        <w:tc>
          <w:tcPr>
            <w:tcW w:type="dxa" w:w="3402"/>
            <w:vAlign w:val="top"/>
            <w:tcMar>
              <w:top w:w="90" w:type="dxa"/>
              <w:start w:w="90" w:type="dxa"/>
              <w:bottom w:w="90" w:type="dxa"/>
              <w:end w:w="90" w:type="dxa"/>
            </w:tcMar>
            <w:shd w:fill="F2F4F5"/>
          </w:tcPr>
          <w:p>
            <w:pPr>
              <w:spacing w:after="20" w:line="240" w:lineRule="auto"/>
            </w:pPr>
            <w:r>
              <w:rPr>
                <w:color w:val="17324D"/>
                <w:sz w:val="16"/>
              </w:rPr>
              <w:t>Two panes around 525 × 1,080 mm  4–6 mm tempered</w:t>
            </w:r>
          </w:p>
        </w:tc>
        <w:tc>
          <w:tcPr>
            <w:tcW w:type="dxa" w:w="4139"/>
            <w:vAlign w:val="top"/>
            <w:tcMar>
              <w:top w:w="90" w:type="dxa"/>
              <w:start w:w="90" w:type="dxa"/>
              <w:bottom w:w="90" w:type="dxa"/>
              <w:end w:w="90" w:type="dxa"/>
            </w:tcMar>
            <w:shd w:fill="F2F4F5"/>
          </w:tcPr>
          <w:p>
            <w:pPr>
              <w:spacing w:after="20" w:line="240" w:lineRule="auto"/>
            </w:pPr>
            <w:r>
              <w:rPr>
                <w:color w:val="17324D"/>
                <w:sz w:val="16"/>
              </w:rPr>
              <w:t>Removable before cyclone  hold protected spares</w:t>
            </w:r>
          </w:p>
        </w:tc>
      </w:tr>
      <w:tr>
        <w:tc>
          <w:tcPr>
            <w:tcW w:type="dxa" w:w="1701"/>
            <w:vAlign w:val="top"/>
            <w:tcMar>
              <w:top w:w="90" w:type="dxa"/>
              <w:start w:w="90" w:type="dxa"/>
              <w:bottom w:w="90" w:type="dxa"/>
              <w:end w:w="90" w:type="dxa"/>
            </w:tcMar>
          </w:tcPr>
          <w:p>
            <w:pPr>
              <w:spacing w:after="20" w:line="240" w:lineRule="auto"/>
            </w:pPr>
            <w:r>
              <w:rPr>
                <w:color w:val="17324D"/>
                <w:sz w:val="16"/>
              </w:rPr>
              <w:t>Feed</w:t>
            </w:r>
          </w:p>
        </w:tc>
        <w:tc>
          <w:tcPr>
            <w:tcW w:type="dxa" w:w="3402"/>
            <w:vAlign w:val="top"/>
            <w:tcMar>
              <w:top w:w="90" w:type="dxa"/>
              <w:start w:w="90" w:type="dxa"/>
              <w:bottom w:w="90" w:type="dxa"/>
              <w:end w:w="90" w:type="dxa"/>
            </w:tcMar>
          </w:tcPr>
          <w:p>
            <w:pPr>
              <w:spacing w:after="20" w:line="240" w:lineRule="auto"/>
            </w:pPr>
            <w:r>
              <w:rPr>
                <w:color w:val="17324D"/>
                <w:sz w:val="16"/>
              </w:rPr>
              <w:t>8–12 L seawater batch</w:t>
            </w:r>
          </w:p>
        </w:tc>
        <w:tc>
          <w:tcPr>
            <w:tcW w:type="dxa" w:w="4139"/>
            <w:vAlign w:val="top"/>
            <w:tcMar>
              <w:top w:w="90" w:type="dxa"/>
              <w:start w:w="90" w:type="dxa"/>
              <w:bottom w:w="90" w:type="dxa"/>
              <w:end w:w="90" w:type="dxa"/>
            </w:tcMar>
          </w:tcPr>
          <w:p>
            <w:pPr>
              <w:spacing w:after="20" w:line="240" w:lineRule="auto"/>
            </w:pPr>
            <w:r>
              <w:rPr>
                <w:color w:val="17324D"/>
                <w:sz w:val="16"/>
              </w:rPr>
              <w:t>Manual filling possible  source-screen and avoid fuel contamination</w:t>
            </w:r>
          </w:p>
        </w:tc>
      </w:tr>
      <w:tr>
        <w:tc>
          <w:tcPr>
            <w:tcW w:type="dxa" w:w="1701"/>
            <w:vAlign w:val="top"/>
            <w:tcMar>
              <w:top w:w="90" w:type="dxa"/>
              <w:start w:w="90" w:type="dxa"/>
              <w:bottom w:w="90" w:type="dxa"/>
              <w:end w:w="90" w:type="dxa"/>
            </w:tcMar>
            <w:shd w:fill="F2F4F5"/>
          </w:tcPr>
          <w:p>
            <w:pPr>
              <w:spacing w:after="20" w:line="240" w:lineRule="auto"/>
            </w:pPr>
            <w:r>
              <w:rPr>
                <w:color w:val="17324D"/>
                <w:sz w:val="16"/>
              </w:rPr>
              <w:t>Output</w:t>
            </w:r>
          </w:p>
        </w:tc>
        <w:tc>
          <w:tcPr>
            <w:tcW w:type="dxa" w:w="3402"/>
            <w:vAlign w:val="top"/>
            <w:tcMar>
              <w:top w:w="90" w:type="dxa"/>
              <w:start w:w="90" w:type="dxa"/>
              <w:bottom w:w="90" w:type="dxa"/>
              <w:end w:w="90" w:type="dxa"/>
            </w:tcMar>
            <w:shd w:fill="F2F4F5"/>
          </w:tcPr>
          <w:p>
            <w:pPr>
              <w:spacing w:after="20" w:line="240" w:lineRule="auto"/>
            </w:pPr>
            <w:r>
              <w:rPr>
                <w:color w:val="17324D"/>
                <w:sz w:val="16"/>
              </w:rPr>
              <w:t>2.5–4 L/day typical design basis</w:t>
            </w:r>
          </w:p>
        </w:tc>
        <w:tc>
          <w:tcPr>
            <w:tcW w:type="dxa" w:w="4139"/>
            <w:vAlign w:val="top"/>
            <w:tcMar>
              <w:top w:w="90" w:type="dxa"/>
              <w:start w:w="90" w:type="dxa"/>
              <w:bottom w:w="90" w:type="dxa"/>
              <w:end w:w="90" w:type="dxa"/>
            </w:tcMar>
            <w:shd w:fill="F2F4F5"/>
          </w:tcPr>
          <w:p>
            <w:pPr>
              <w:spacing w:after="20" w:line="240" w:lineRule="auto"/>
            </w:pPr>
            <w:r>
              <w:rPr>
                <w:color w:val="17324D"/>
                <w:sz w:val="16"/>
              </w:rPr>
              <w:t>Pilot against local weather and seawater before scale claims</w:t>
            </w:r>
          </w:p>
        </w:tc>
      </w:tr>
      <w:tr>
        <w:tc>
          <w:tcPr>
            <w:tcW w:type="dxa" w:w="1701"/>
            <w:vAlign w:val="top"/>
            <w:tcMar>
              <w:top w:w="90" w:type="dxa"/>
              <w:start w:w="90" w:type="dxa"/>
              <w:bottom w:w="90" w:type="dxa"/>
              <w:end w:w="90" w:type="dxa"/>
            </w:tcMar>
          </w:tcPr>
          <w:p>
            <w:pPr>
              <w:spacing w:after="20" w:line="240" w:lineRule="auto"/>
            </w:pPr>
            <w:r>
              <w:rPr>
                <w:color w:val="17324D"/>
                <w:sz w:val="16"/>
              </w:rPr>
              <w:t>Product finish</w:t>
            </w:r>
          </w:p>
        </w:tc>
        <w:tc>
          <w:tcPr>
            <w:tcW w:type="dxa" w:w="3402"/>
            <w:vAlign w:val="top"/>
            <w:tcMar>
              <w:top w:w="90" w:type="dxa"/>
              <w:start w:w="90" w:type="dxa"/>
              <w:bottom w:w="90" w:type="dxa"/>
              <w:end w:w="90" w:type="dxa"/>
            </w:tcMar>
          </w:tcPr>
          <w:p>
            <w:pPr>
              <w:spacing w:after="20" w:line="240" w:lineRule="auto"/>
            </w:pPr>
            <w:r>
              <w:rPr>
                <w:color w:val="17324D"/>
                <w:sz w:val="16"/>
              </w:rPr>
              <w:t>Distillate</w:t>
            </w:r>
          </w:p>
        </w:tc>
        <w:tc>
          <w:tcPr>
            <w:tcW w:type="dxa" w:w="4139"/>
            <w:vAlign w:val="top"/>
            <w:tcMar>
              <w:top w:w="90" w:type="dxa"/>
              <w:start w:w="90" w:type="dxa"/>
              <w:bottom w:w="90" w:type="dxa"/>
              <w:end w:w="90" w:type="dxa"/>
            </w:tcMar>
          </w:tcPr>
          <w:p>
            <w:pPr>
              <w:spacing w:after="20" w:line="240" w:lineRule="auto"/>
            </w:pPr>
            <w:r>
              <w:rPr>
                <w:color w:val="17324D"/>
                <w:sz w:val="16"/>
              </w:rPr>
              <w:t>Remineralise  disinfect  and store in ACS-compliant container</w:t>
            </w:r>
          </w:p>
        </w:tc>
      </w:tr>
      <w:tr>
        <w:tc>
          <w:tcPr>
            <w:tcW w:type="dxa" w:w="1701"/>
            <w:vAlign w:val="top"/>
            <w:tcMar>
              <w:top w:w="90" w:type="dxa"/>
              <w:start w:w="90" w:type="dxa"/>
              <w:bottom w:w="90" w:type="dxa"/>
              <w:end w:w="90" w:type="dxa"/>
            </w:tcMar>
            <w:shd w:fill="F2F4F5"/>
          </w:tcPr>
          <w:p>
            <w:pPr>
              <w:spacing w:after="20" w:line="240" w:lineRule="auto"/>
            </w:pPr>
            <w:r>
              <w:rPr>
                <w:color w:val="17324D"/>
                <w:sz w:val="16"/>
              </w:rPr>
              <w:t>Cleaning</w:t>
            </w:r>
          </w:p>
        </w:tc>
        <w:tc>
          <w:tcPr>
            <w:tcW w:type="dxa" w:w="3402"/>
            <w:vAlign w:val="top"/>
            <w:tcMar>
              <w:top w:w="90" w:type="dxa"/>
              <w:start w:w="90" w:type="dxa"/>
              <w:bottom w:w="90" w:type="dxa"/>
              <w:end w:w="90" w:type="dxa"/>
            </w:tcMar>
            <w:shd w:fill="F2F4F5"/>
          </w:tcPr>
          <w:p>
            <w:pPr>
              <w:spacing w:after="20" w:line="240" w:lineRule="auto"/>
            </w:pPr>
            <w:r>
              <w:rPr>
                <w:color w:val="17324D"/>
                <w:sz w:val="16"/>
              </w:rPr>
              <w:t>Drainable shallow tray</w:t>
            </w:r>
          </w:p>
        </w:tc>
        <w:tc>
          <w:tcPr>
            <w:tcW w:type="dxa" w:w="4139"/>
            <w:vAlign w:val="top"/>
            <w:tcMar>
              <w:top w:w="90" w:type="dxa"/>
              <w:start w:w="90" w:type="dxa"/>
              <w:bottom w:w="90" w:type="dxa"/>
              <w:end w:w="90" w:type="dxa"/>
            </w:tcMar>
            <w:shd w:fill="F2F4F5"/>
          </w:tcPr>
          <w:p>
            <w:pPr>
              <w:spacing w:after="20" w:line="240" w:lineRule="auto"/>
            </w:pPr>
            <w:r>
              <w:rPr>
                <w:color w:val="17324D"/>
                <w:sz w:val="16"/>
              </w:rPr>
              <w:t>Plan salt removal and acid cleaning procedure  recover salt only after quality analysis</w:t>
            </w:r>
          </w:p>
        </w:tc>
      </w:tr>
    </w:tbl>
    <w:p>
      <w:pPr>
        <w:spacing w:after="0"/>
      </w:pPr>
    </w:p>
    <w:p>
      <w:r>
        <w:t>For drinking-only supply of 24 m³/day, GWS-1 requires about 6,000–9,600 modules at 4–2.5 L/day. For the 120 m³/day emergency service target, it requires about 30,000–48,000 modules. It is therefore a household resilience product and local manufacturing programme, not the municipal base load.</w:t>
      </w:r>
    </w:p>
    <w:p>
      <w:pPr>
        <w:pStyle w:val="Heading2"/>
      </w:pPr>
      <w:r>
        <w:t>Already assembled solar still</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871"/>
            <w:shd w:fill="17324D"/>
            <w:vAlign w:val="center"/>
            <w:tcMar>
              <w:top w:w="90" w:type="dxa"/>
              <w:start w:w="90" w:type="dxa"/>
              <w:bottom w:w="90" w:type="dxa"/>
              <w:end w:w="90" w:type="dxa"/>
            </w:tcMar>
          </w:tcPr>
          <w:p>
            <w:r>
              <w:rPr>
                <w:b/>
                <w:color w:val="FFFFFF"/>
                <w:sz w:val="15"/>
              </w:rPr>
              <w:t>Supplier</w:t>
            </w:r>
          </w:p>
        </w:tc>
        <w:tc>
          <w:tcPr>
            <w:tcW w:type="dxa" w:w="1871"/>
            <w:shd w:fill="17324D"/>
            <w:vAlign w:val="center"/>
            <w:tcMar>
              <w:top w:w="90" w:type="dxa"/>
              <w:start w:w="90" w:type="dxa"/>
              <w:bottom w:w="90" w:type="dxa"/>
              <w:end w:w="90" w:type="dxa"/>
            </w:tcMar>
          </w:tcPr>
          <w:p>
            <w:r>
              <w:rPr>
                <w:b/>
                <w:color w:val="FFFFFF"/>
                <w:sz w:val="15"/>
              </w:rPr>
              <w:t>Origin</w:t>
            </w:r>
          </w:p>
        </w:tc>
        <w:tc>
          <w:tcPr>
            <w:tcW w:type="dxa" w:w="2324"/>
            <w:shd w:fill="17324D"/>
            <w:vAlign w:val="center"/>
            <w:tcMar>
              <w:top w:w="90" w:type="dxa"/>
              <w:start w:w="90" w:type="dxa"/>
              <w:bottom w:w="90" w:type="dxa"/>
              <w:end w:w="90" w:type="dxa"/>
            </w:tcMar>
          </w:tcPr>
          <w:p>
            <w:r>
              <w:rPr>
                <w:b/>
                <w:color w:val="FFFFFF"/>
                <w:sz w:val="15"/>
              </w:rPr>
              <w:t>Offer</w:t>
            </w:r>
          </w:p>
        </w:tc>
        <w:tc>
          <w:tcPr>
            <w:tcW w:type="dxa" w:w="3175"/>
            <w:shd w:fill="17324D"/>
            <w:vAlign w:val="center"/>
            <w:tcMar>
              <w:top w:w="90" w:type="dxa"/>
              <w:start w:w="90" w:type="dxa"/>
              <w:bottom w:w="90" w:type="dxa"/>
              <w:end w:w="90" w:type="dxa"/>
            </w:tcMar>
          </w:tcPr>
          <w:p>
            <w:r>
              <w:rPr>
                <w:b/>
                <w:color w:val="FFFFFF"/>
                <w:sz w:val="15"/>
              </w:rPr>
              <w:t>Evidence gate</w:t>
            </w:r>
          </w:p>
        </w:tc>
      </w:tr>
      <w:tr>
        <w:tc>
          <w:tcPr>
            <w:tcW w:type="dxa" w:w="1871"/>
            <w:vAlign w:val="top"/>
            <w:tcMar>
              <w:top w:w="90" w:type="dxa"/>
              <w:start w:w="90" w:type="dxa"/>
              <w:bottom w:w="90" w:type="dxa"/>
              <w:end w:w="90" w:type="dxa"/>
            </w:tcMar>
          </w:tcPr>
          <w:p>
            <w:pPr>
              <w:spacing w:after="20" w:line="240" w:lineRule="auto"/>
            </w:pPr>
            <w:r>
              <w:rPr>
                <w:color w:val="17324D"/>
                <w:sz w:val="15"/>
              </w:rPr>
              <w:t>F Cubed Carocell</w:t>
            </w:r>
          </w:p>
        </w:tc>
        <w:tc>
          <w:tcPr>
            <w:tcW w:type="dxa" w:w="1871"/>
            <w:vAlign w:val="top"/>
            <w:tcMar>
              <w:top w:w="90" w:type="dxa"/>
              <w:start w:w="90" w:type="dxa"/>
              <w:bottom w:w="90" w:type="dxa"/>
              <w:end w:w="90" w:type="dxa"/>
            </w:tcMar>
          </w:tcPr>
          <w:p>
            <w:pPr>
              <w:spacing w:after="20" w:line="240" w:lineRule="auto"/>
            </w:pPr>
            <w:r>
              <w:rPr>
                <w:color w:val="17324D"/>
                <w:sz w:val="15"/>
              </w:rPr>
              <w:t>Australia with international projects</w:t>
            </w:r>
          </w:p>
        </w:tc>
        <w:tc>
          <w:tcPr>
            <w:tcW w:type="dxa" w:w="2324"/>
            <w:vAlign w:val="top"/>
            <w:tcMar>
              <w:top w:w="90" w:type="dxa"/>
              <w:start w:w="90" w:type="dxa"/>
              <w:bottom w:w="90" w:type="dxa"/>
              <w:end w:w="90" w:type="dxa"/>
            </w:tcMar>
          </w:tcPr>
          <w:p>
            <w:pPr>
              <w:spacing w:after="20" w:line="240" w:lineRule="auto"/>
            </w:pPr>
            <w:r>
              <w:rPr>
                <w:color w:val="17324D"/>
                <w:sz w:val="15"/>
              </w:rPr>
              <w:t>Modular direct solar desalination panels</w:t>
            </w:r>
          </w:p>
        </w:tc>
        <w:tc>
          <w:tcPr>
            <w:tcW w:type="dxa" w:w="3175"/>
            <w:vAlign w:val="top"/>
            <w:tcMar>
              <w:top w:w="90" w:type="dxa"/>
              <w:start w:w="90" w:type="dxa"/>
              <w:bottom w:w="90" w:type="dxa"/>
              <w:end w:w="90" w:type="dxa"/>
            </w:tcMar>
          </w:tcPr>
          <w:p>
            <w:pPr>
              <w:spacing w:after="20" w:line="240" w:lineRule="auto"/>
            </w:pPr>
            <w:r>
              <w:rPr>
                <w:color w:val="17324D"/>
                <w:sz w:val="15"/>
              </w:rPr>
              <w:t>Current vendor material claims roughly 25 L/day for a panel in one project context while older brochures cited about 10–15 L/day for 2–3 m² models. Buy one benchmark only after a guaranteed Guadeloupe seawater curve and potable-path documentation.</w:t>
            </w:r>
          </w:p>
        </w:tc>
      </w:tr>
      <w:tr>
        <w:tc>
          <w:tcPr>
            <w:tcW w:type="dxa" w:w="1871"/>
            <w:vAlign w:val="top"/>
            <w:tcMar>
              <w:top w:w="90" w:type="dxa"/>
              <w:start w:w="90" w:type="dxa"/>
              <w:bottom w:w="90" w:type="dxa"/>
              <w:end w:w="90" w:type="dxa"/>
            </w:tcMar>
            <w:shd w:fill="F2F4F5"/>
          </w:tcPr>
          <w:p>
            <w:pPr>
              <w:spacing w:after="20" w:line="240" w:lineRule="auto"/>
            </w:pPr>
            <w:r>
              <w:rPr>
                <w:color w:val="17324D"/>
                <w:sz w:val="15"/>
              </w:rPr>
              <w:t>Desolenator</w:t>
            </w:r>
          </w:p>
        </w:tc>
        <w:tc>
          <w:tcPr>
            <w:tcW w:type="dxa" w:w="1871"/>
            <w:vAlign w:val="top"/>
            <w:tcMar>
              <w:top w:w="90" w:type="dxa"/>
              <w:start w:w="90" w:type="dxa"/>
              <w:bottom w:w="90" w:type="dxa"/>
              <w:end w:w="90" w:type="dxa"/>
            </w:tcMar>
            <w:shd w:fill="F2F4F5"/>
          </w:tcPr>
          <w:p>
            <w:pPr>
              <w:spacing w:after="20" w:line="240" w:lineRule="auto"/>
            </w:pPr>
            <w:r>
              <w:rPr>
                <w:color w:val="17324D"/>
                <w:sz w:val="15"/>
              </w:rPr>
              <w:t>Netherlands and international</w:t>
            </w:r>
          </w:p>
        </w:tc>
        <w:tc>
          <w:tcPr>
            <w:tcW w:type="dxa" w:w="2324"/>
            <w:vAlign w:val="top"/>
            <w:tcMar>
              <w:top w:w="90" w:type="dxa"/>
              <w:start w:w="90" w:type="dxa"/>
              <w:bottom w:w="90" w:type="dxa"/>
              <w:end w:w="90" w:type="dxa"/>
            </w:tcMar>
            <w:shd w:fill="F2F4F5"/>
          </w:tcPr>
          <w:p>
            <w:pPr>
              <w:spacing w:after="20" w:line="240" w:lineRule="auto"/>
            </w:pPr>
            <w:r>
              <w:rPr>
                <w:color w:val="17324D"/>
                <w:sz w:val="15"/>
              </w:rPr>
              <w:t>Current offer is large solar thermal multi-effect and mechanical-vapour-compression infrastructure</w:t>
            </w:r>
          </w:p>
        </w:tc>
        <w:tc>
          <w:tcPr>
            <w:tcW w:type="dxa" w:w="3175"/>
            <w:vAlign w:val="top"/>
            <w:tcMar>
              <w:top w:w="90" w:type="dxa"/>
              <w:start w:w="90" w:type="dxa"/>
              <w:bottom w:w="90" w:type="dxa"/>
              <w:end w:w="90" w:type="dxa"/>
            </w:tcMar>
            <w:shd w:fill="F2F4F5"/>
          </w:tcPr>
          <w:p>
            <w:pPr>
              <w:spacing w:after="20" w:line="240" w:lineRule="auto"/>
            </w:pPr>
            <w:r>
              <w:rPr>
                <w:color w:val="17324D"/>
                <w:sz w:val="15"/>
              </w:rPr>
              <w:t>Treat as custom large-project enquiry  not a current household still kit.</w:t>
            </w:r>
          </w:p>
        </w:tc>
      </w:tr>
    </w:tbl>
    <w:p>
      <w:pPr>
        <w:spacing w:after="0"/>
      </w:pPr>
    </w:p>
    <w:tbl>
      <w:tblPr>
        <w:tblW w:type="auto" w:w="0"/>
        <w:jc w:val="center"/>
        <w:tblLayout w:type="fixed"/>
        <w:tblLook w:firstColumn="1" w:firstRow="1" w:lastColumn="0" w:lastRow="0" w:noHBand="0" w:noVBand="1" w:val="04A0"/>
      </w:tblPr>
      <w:tblGrid>
        <w:gridCol w:w="159"/>
        <w:gridCol w:w="9184"/>
      </w:tblGrid>
      <w:tr>
        <w:trPr>
          <w:cantSplit/>
        </w:trPr>
        <w:tc>
          <w:tcPr>
            <w:tcW w:type="dxa" w:w="5185"/>
            <w:shd w:fill="007F82"/>
          </w:tcPr>
          <w:p>
            <w:r/>
          </w:p>
        </w:tc>
        <w:tc>
          <w:tcPr>
            <w:tcW w:type="dxa" w:w="5185"/>
            <w:shd w:fill="EEF5F7"/>
            <w:tcMar>
              <w:top w:w="130" w:type="dxa"/>
              <w:start w:w="180" w:type="dxa"/>
              <w:bottom w:w="130" w:type="dxa"/>
              <w:end w:w="180" w:type="dxa"/>
            </w:tcMar>
          </w:tcPr>
          <w:p>
            <w:pPr>
              <w:spacing w:after="40"/>
            </w:pPr>
            <w:r>
              <w:rPr>
                <w:b/>
                <w:color w:val="007F82"/>
                <w:sz w:val="20"/>
              </w:rPr>
              <w:t>Water quality warning</w:t>
            </w:r>
          </w:p>
          <w:p>
            <w:pPr>
              <w:spacing w:after="0"/>
            </w:pPr>
            <w:r>
              <w:rPr>
                <w:color w:val="17324D"/>
                <w:sz w:val="18"/>
              </w:rPr>
              <w:t>Solar distillation removes salts but some volatile contaminants can carry over. Do not feed seawater contaminated with fuel, solvents or severe algal decay without source control and testing. Distillate also needs stabilisation or remineralisation before distribution to reduce corrosivity and improve taste. [4]</w:t>
            </w:r>
          </w:p>
        </w:tc>
      </w:tr>
    </w:tbl>
    <w:p>
      <w:pPr>
        <w:spacing w:after="0"/>
      </w:pPr>
    </w:p>
    <w:p>
      <w:pPr>
        <w:pStyle w:val="Heading1"/>
      </w:pPr>
      <w:r>
        <w:t>Low energy reverse osmosis</w:t>
      </w:r>
    </w:p>
    <w:p>
      <w:r>
        <w:t>Seawater reverse osmosis is the most mature dependable route from tens of litres to thousands of cubic metres per day. The low-energy step is not a magic membrane: it is pressure-energy recovery, efficient pumps, sound intake pretreatment and operating the plant near its design point. Water storage can replace most electrical battery storage by running hard in daylight and delivering by gravity around the clock.</w:t>
      </w:r>
    </w:p>
    <w:p>
      <w:pPr>
        <w:pStyle w:val="Heading2"/>
      </w:pPr>
      <w:r>
        <w:t>Small and portable systems</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1984"/>
            <w:shd w:fill="17324D"/>
            <w:vAlign w:val="center"/>
            <w:tcMar>
              <w:top w:w="90" w:type="dxa"/>
              <w:start w:w="90" w:type="dxa"/>
              <w:bottom w:w="90" w:type="dxa"/>
              <w:end w:w="90" w:type="dxa"/>
            </w:tcMar>
          </w:tcPr>
          <w:p>
            <w:r>
              <w:rPr>
                <w:b/>
                <w:color w:val="FFFFFF"/>
                <w:sz w:val="14"/>
              </w:rPr>
              <w:t>Supplier and model</w:t>
            </w:r>
          </w:p>
        </w:tc>
        <w:tc>
          <w:tcPr>
            <w:tcW w:type="dxa" w:w="1361"/>
            <w:shd w:fill="17324D"/>
            <w:vAlign w:val="center"/>
            <w:tcMar>
              <w:top w:w="90" w:type="dxa"/>
              <w:start w:w="90" w:type="dxa"/>
              <w:bottom w:w="90" w:type="dxa"/>
              <w:end w:w="90" w:type="dxa"/>
            </w:tcMar>
          </w:tcPr>
          <w:p>
            <w:r>
              <w:rPr>
                <w:b/>
                <w:color w:val="FFFFFF"/>
                <w:sz w:val="14"/>
              </w:rPr>
              <w:t>Origin</w:t>
            </w:r>
          </w:p>
        </w:tc>
        <w:tc>
          <w:tcPr>
            <w:tcW w:type="dxa" w:w="1871"/>
            <w:shd w:fill="17324D"/>
            <w:vAlign w:val="center"/>
            <w:tcMar>
              <w:top w:w="90" w:type="dxa"/>
              <w:start w:w="90" w:type="dxa"/>
              <w:bottom w:w="90" w:type="dxa"/>
              <w:end w:w="90" w:type="dxa"/>
            </w:tcMar>
          </w:tcPr>
          <w:p>
            <w:r>
              <w:rPr>
                <w:b/>
                <w:color w:val="FFFFFF"/>
                <w:sz w:val="14"/>
              </w:rPr>
              <w:t>Nominal output</w:t>
            </w:r>
          </w:p>
        </w:tc>
        <w:tc>
          <w:tcPr>
            <w:tcW w:type="dxa" w:w="2381"/>
            <w:shd w:fill="17324D"/>
            <w:vAlign w:val="center"/>
            <w:tcMar>
              <w:top w:w="90" w:type="dxa"/>
              <w:start w:w="90" w:type="dxa"/>
              <w:bottom w:w="90" w:type="dxa"/>
              <w:end w:w="90" w:type="dxa"/>
            </w:tcMar>
          </w:tcPr>
          <w:p>
            <w:r>
              <w:rPr>
                <w:b/>
                <w:color w:val="FFFFFF"/>
                <w:sz w:val="14"/>
              </w:rPr>
              <w:t>Power and role</w:t>
            </w:r>
          </w:p>
        </w:tc>
        <w:tc>
          <w:tcPr>
            <w:tcW w:type="dxa" w:w="1701"/>
            <w:shd w:fill="17324D"/>
            <w:vAlign w:val="center"/>
            <w:tcMar>
              <w:top w:w="90" w:type="dxa"/>
              <w:start w:w="90" w:type="dxa"/>
              <w:bottom w:w="90" w:type="dxa"/>
              <w:end w:w="90" w:type="dxa"/>
            </w:tcMar>
          </w:tcPr>
          <w:p>
            <w:r>
              <w:rPr>
                <w:b/>
                <w:color w:val="FFFFFF"/>
                <w:sz w:val="14"/>
              </w:rPr>
              <w:t>Buy route</w:t>
            </w:r>
          </w:p>
        </w:tc>
      </w:tr>
      <w:tr>
        <w:tc>
          <w:tcPr>
            <w:tcW w:type="dxa" w:w="1984"/>
            <w:vAlign w:val="top"/>
            <w:tcMar>
              <w:top w:w="90" w:type="dxa"/>
              <w:start w:w="90" w:type="dxa"/>
              <w:bottom w:w="90" w:type="dxa"/>
              <w:end w:w="90" w:type="dxa"/>
            </w:tcMar>
          </w:tcPr>
          <w:p>
            <w:pPr>
              <w:spacing w:after="20" w:line="240" w:lineRule="auto"/>
            </w:pPr>
            <w:r>
              <w:rPr>
                <w:color w:val="17324D"/>
                <w:sz w:val="14"/>
              </w:rPr>
              <w:t>Katadyn Survivor 06</w:t>
            </w:r>
          </w:p>
        </w:tc>
        <w:tc>
          <w:tcPr>
            <w:tcW w:type="dxa" w:w="1361"/>
            <w:vAlign w:val="top"/>
            <w:tcMar>
              <w:top w:w="90" w:type="dxa"/>
              <w:start w:w="90" w:type="dxa"/>
              <w:bottom w:w="90" w:type="dxa"/>
              <w:end w:w="90" w:type="dxa"/>
            </w:tcMar>
          </w:tcPr>
          <w:p>
            <w:pPr>
              <w:spacing w:after="20" w:line="240" w:lineRule="auto"/>
            </w:pPr>
            <w:r>
              <w:rPr>
                <w:color w:val="17324D"/>
                <w:sz w:val="14"/>
              </w:rPr>
              <w:t>Switzerland</w:t>
            </w:r>
          </w:p>
        </w:tc>
        <w:tc>
          <w:tcPr>
            <w:tcW w:type="dxa" w:w="1871"/>
            <w:vAlign w:val="top"/>
            <w:tcMar>
              <w:top w:w="90" w:type="dxa"/>
              <w:start w:w="90" w:type="dxa"/>
              <w:bottom w:w="90" w:type="dxa"/>
              <w:end w:w="90" w:type="dxa"/>
            </w:tcMar>
          </w:tcPr>
          <w:p>
            <w:pPr>
              <w:spacing w:after="20" w:line="240" w:lineRule="auto"/>
            </w:pPr>
            <w:r>
              <w:rPr>
                <w:color w:val="17324D"/>
                <w:sz w:val="14"/>
              </w:rPr>
              <w:t>Emergency survival unit  1–6 people</w:t>
            </w:r>
          </w:p>
        </w:tc>
        <w:tc>
          <w:tcPr>
            <w:tcW w:type="dxa" w:w="2381"/>
            <w:vAlign w:val="top"/>
            <w:tcMar>
              <w:top w:w="90" w:type="dxa"/>
              <w:start w:w="90" w:type="dxa"/>
              <w:bottom w:w="90" w:type="dxa"/>
              <w:end w:w="90" w:type="dxa"/>
            </w:tcMar>
          </w:tcPr>
          <w:p>
            <w:pPr>
              <w:spacing w:after="20" w:line="240" w:lineRule="auto"/>
            </w:pPr>
            <w:r>
              <w:rPr>
                <w:color w:val="17324D"/>
                <w:sz w:val="14"/>
              </w:rPr>
              <w:t>Manual</w:t>
            </w:r>
          </w:p>
        </w:tc>
        <w:tc>
          <w:tcPr>
            <w:tcW w:type="dxa" w:w="1701"/>
            <w:vAlign w:val="top"/>
            <w:tcMar>
              <w:top w:w="90" w:type="dxa"/>
              <w:start w:w="90" w:type="dxa"/>
              <w:bottom w:w="90" w:type="dxa"/>
              <w:end w:w="90" w:type="dxa"/>
            </w:tcMar>
          </w:tcPr>
          <w:p>
            <w:pPr>
              <w:spacing w:after="20" w:line="240" w:lineRule="auto"/>
            </w:pPr>
            <w:r>
              <w:rPr>
                <w:color w:val="17324D"/>
                <w:sz w:val="14"/>
              </w:rPr>
              <w:t>Katadyn marine and safety dealer network</w:t>
            </w:r>
          </w:p>
        </w:tc>
      </w:tr>
      <w:tr>
        <w:tc>
          <w:tcPr>
            <w:tcW w:type="dxa" w:w="1984"/>
            <w:vAlign w:val="top"/>
            <w:tcMar>
              <w:top w:w="90" w:type="dxa"/>
              <w:start w:w="90" w:type="dxa"/>
              <w:bottom w:w="90" w:type="dxa"/>
              <w:end w:w="90" w:type="dxa"/>
            </w:tcMar>
            <w:shd w:fill="F2F4F5"/>
          </w:tcPr>
          <w:p>
            <w:pPr>
              <w:spacing w:after="20" w:line="240" w:lineRule="auto"/>
            </w:pPr>
            <w:r>
              <w:rPr>
                <w:color w:val="17324D"/>
                <w:sz w:val="14"/>
              </w:rPr>
              <w:t>Katadyn Survivor 35</w:t>
            </w:r>
          </w:p>
        </w:tc>
        <w:tc>
          <w:tcPr>
            <w:tcW w:type="dxa" w:w="1361"/>
            <w:vAlign w:val="top"/>
            <w:tcMar>
              <w:top w:w="90" w:type="dxa"/>
              <w:start w:w="90" w:type="dxa"/>
              <w:bottom w:w="90" w:type="dxa"/>
              <w:end w:w="90" w:type="dxa"/>
            </w:tcMar>
            <w:shd w:fill="F2F4F5"/>
          </w:tcPr>
          <w:p>
            <w:pPr>
              <w:spacing w:after="20" w:line="240" w:lineRule="auto"/>
            </w:pPr>
            <w:r>
              <w:rPr>
                <w:color w:val="17324D"/>
                <w:sz w:val="14"/>
              </w:rPr>
              <w:t>Switzerland</w:t>
            </w:r>
          </w:p>
        </w:tc>
        <w:tc>
          <w:tcPr>
            <w:tcW w:type="dxa" w:w="1871"/>
            <w:vAlign w:val="top"/>
            <w:tcMar>
              <w:top w:w="90" w:type="dxa"/>
              <w:start w:w="90" w:type="dxa"/>
              <w:bottom w:w="90" w:type="dxa"/>
              <w:end w:w="90" w:type="dxa"/>
            </w:tcMar>
            <w:shd w:fill="F2F4F5"/>
          </w:tcPr>
          <w:p>
            <w:pPr>
              <w:spacing w:after="20" w:line="240" w:lineRule="auto"/>
            </w:pPr>
            <w:r>
              <w:rPr>
                <w:color w:val="17324D"/>
                <w:sz w:val="14"/>
              </w:rPr>
              <w:t>About 4.5 L/hour  vendor daily figure 132 L</w:t>
            </w:r>
          </w:p>
        </w:tc>
        <w:tc>
          <w:tcPr>
            <w:tcW w:type="dxa" w:w="2381"/>
            <w:vAlign w:val="top"/>
            <w:tcMar>
              <w:top w:w="90" w:type="dxa"/>
              <w:start w:w="90" w:type="dxa"/>
              <w:bottom w:w="90" w:type="dxa"/>
              <w:end w:w="90" w:type="dxa"/>
            </w:tcMar>
            <w:shd w:fill="F2F4F5"/>
          </w:tcPr>
          <w:p>
            <w:pPr>
              <w:spacing w:after="20" w:line="240" w:lineRule="auto"/>
            </w:pPr>
            <w:r>
              <w:rPr>
                <w:color w:val="17324D"/>
                <w:sz w:val="14"/>
              </w:rPr>
              <w:t>Manual  clinics and liferafts</w:t>
            </w:r>
          </w:p>
        </w:tc>
        <w:tc>
          <w:tcPr>
            <w:tcW w:type="dxa" w:w="1701"/>
            <w:vAlign w:val="top"/>
            <w:tcMar>
              <w:top w:w="90" w:type="dxa"/>
              <w:start w:w="90" w:type="dxa"/>
              <w:bottom w:w="90" w:type="dxa"/>
              <w:end w:w="90" w:type="dxa"/>
            </w:tcMar>
            <w:shd w:fill="F2F4F5"/>
          </w:tcPr>
          <w:p>
            <w:pPr>
              <w:spacing w:after="20" w:line="240" w:lineRule="auto"/>
            </w:pPr>
            <w:r>
              <w:rPr>
                <w:color w:val="17324D"/>
                <w:sz w:val="14"/>
              </w:rPr>
              <w:t>Katadyn marine and safety dealer network</w:t>
            </w:r>
          </w:p>
        </w:tc>
      </w:tr>
      <w:tr>
        <w:tc>
          <w:tcPr>
            <w:tcW w:type="dxa" w:w="1984"/>
            <w:vAlign w:val="top"/>
            <w:tcMar>
              <w:top w:w="90" w:type="dxa"/>
              <w:start w:w="90" w:type="dxa"/>
              <w:bottom w:w="90" w:type="dxa"/>
              <w:end w:w="90" w:type="dxa"/>
            </w:tcMar>
          </w:tcPr>
          <w:p>
            <w:pPr>
              <w:spacing w:after="20" w:line="240" w:lineRule="auto"/>
            </w:pPr>
            <w:r>
              <w:rPr>
                <w:color w:val="17324D"/>
                <w:sz w:val="14"/>
              </w:rPr>
              <w:t>Spectra Aquifer 200</w:t>
            </w:r>
          </w:p>
        </w:tc>
        <w:tc>
          <w:tcPr>
            <w:tcW w:type="dxa" w:w="1361"/>
            <w:vAlign w:val="top"/>
            <w:tcMar>
              <w:top w:w="90" w:type="dxa"/>
              <w:start w:w="90" w:type="dxa"/>
              <w:bottom w:w="90" w:type="dxa"/>
              <w:end w:w="90" w:type="dxa"/>
            </w:tcMar>
          </w:tcPr>
          <w:p>
            <w:pPr>
              <w:spacing w:after="20" w:line="240" w:lineRule="auto"/>
            </w:pPr>
            <w:r>
              <w:rPr>
                <w:color w:val="17324D"/>
                <w:sz w:val="14"/>
              </w:rPr>
              <w:t>United States</w:t>
            </w:r>
          </w:p>
        </w:tc>
        <w:tc>
          <w:tcPr>
            <w:tcW w:type="dxa" w:w="1871"/>
            <w:vAlign w:val="top"/>
            <w:tcMar>
              <w:top w:w="90" w:type="dxa"/>
              <w:start w:w="90" w:type="dxa"/>
              <w:bottom w:w="90" w:type="dxa"/>
              <w:end w:w="90" w:type="dxa"/>
            </w:tcMar>
          </w:tcPr>
          <w:p>
            <w:pPr>
              <w:spacing w:after="20" w:line="240" w:lineRule="auto"/>
            </w:pPr>
            <w:r>
              <w:rPr>
                <w:color w:val="17324D"/>
                <w:sz w:val="14"/>
              </w:rPr>
              <w:t>About 30 L/hour</w:t>
            </w:r>
          </w:p>
        </w:tc>
        <w:tc>
          <w:tcPr>
            <w:tcW w:type="dxa" w:w="2381"/>
            <w:vAlign w:val="top"/>
            <w:tcMar>
              <w:top w:w="90" w:type="dxa"/>
              <w:start w:w="90" w:type="dxa"/>
              <w:bottom w:w="90" w:type="dxa"/>
              <w:end w:w="90" w:type="dxa"/>
            </w:tcMar>
          </w:tcPr>
          <w:p>
            <w:pPr>
              <w:spacing w:after="20" w:line="240" w:lineRule="auto"/>
            </w:pPr>
            <w:r>
              <w:rPr>
                <w:color w:val="17324D"/>
                <w:sz w:val="14"/>
              </w:rPr>
              <w:t>12 or 24 V DC  about 110 W  energy-recovery pump</w:t>
            </w:r>
          </w:p>
        </w:tc>
        <w:tc>
          <w:tcPr>
            <w:tcW w:type="dxa" w:w="1701"/>
            <w:vAlign w:val="top"/>
            <w:tcMar>
              <w:top w:w="90" w:type="dxa"/>
              <w:start w:w="90" w:type="dxa"/>
              <w:bottom w:w="90" w:type="dxa"/>
              <w:end w:w="90" w:type="dxa"/>
            </w:tcMar>
          </w:tcPr>
          <w:p>
            <w:pPr>
              <w:spacing w:after="20" w:line="240" w:lineRule="auto"/>
            </w:pPr>
            <w:r>
              <w:rPr>
                <w:color w:val="17324D"/>
                <w:sz w:val="14"/>
              </w:rPr>
              <w:t>Spectra authorised distributor</w:t>
            </w:r>
          </w:p>
        </w:tc>
      </w:tr>
      <w:tr>
        <w:tc>
          <w:tcPr>
            <w:tcW w:type="dxa" w:w="1984"/>
            <w:vAlign w:val="top"/>
            <w:tcMar>
              <w:top w:w="90" w:type="dxa"/>
              <w:start w:w="90" w:type="dxa"/>
              <w:bottom w:w="90" w:type="dxa"/>
              <w:end w:w="90" w:type="dxa"/>
            </w:tcMar>
            <w:shd w:fill="F2F4F5"/>
          </w:tcPr>
          <w:p>
            <w:pPr>
              <w:spacing w:after="20" w:line="240" w:lineRule="auto"/>
            </w:pPr>
            <w:r>
              <w:rPr>
                <w:color w:val="17324D"/>
                <w:sz w:val="14"/>
              </w:rPr>
              <w:t>Spectra Aquifer 360</w:t>
            </w:r>
          </w:p>
        </w:tc>
        <w:tc>
          <w:tcPr>
            <w:tcW w:type="dxa" w:w="1361"/>
            <w:vAlign w:val="top"/>
            <w:tcMar>
              <w:top w:w="90" w:type="dxa"/>
              <w:start w:w="90" w:type="dxa"/>
              <w:bottom w:w="90" w:type="dxa"/>
              <w:end w:w="90" w:type="dxa"/>
            </w:tcMar>
            <w:shd w:fill="F2F4F5"/>
          </w:tcPr>
          <w:p>
            <w:pPr>
              <w:spacing w:after="20" w:line="240" w:lineRule="auto"/>
            </w:pPr>
            <w:r>
              <w:rPr>
                <w:color w:val="17324D"/>
                <w:sz w:val="14"/>
              </w:rPr>
              <w:t>United States</w:t>
            </w:r>
          </w:p>
        </w:tc>
        <w:tc>
          <w:tcPr>
            <w:tcW w:type="dxa" w:w="1871"/>
            <w:vAlign w:val="top"/>
            <w:tcMar>
              <w:top w:w="90" w:type="dxa"/>
              <w:start w:w="90" w:type="dxa"/>
              <w:bottom w:w="90" w:type="dxa"/>
              <w:end w:w="90" w:type="dxa"/>
            </w:tcMar>
            <w:shd w:fill="F2F4F5"/>
          </w:tcPr>
          <w:p>
            <w:pPr>
              <w:spacing w:after="20" w:line="240" w:lineRule="auto"/>
            </w:pPr>
            <w:r>
              <w:rPr>
                <w:color w:val="17324D"/>
                <w:sz w:val="14"/>
              </w:rPr>
              <w:t>About 57 L/hour</w:t>
            </w:r>
          </w:p>
        </w:tc>
        <w:tc>
          <w:tcPr>
            <w:tcW w:type="dxa" w:w="2381"/>
            <w:vAlign w:val="top"/>
            <w:tcMar>
              <w:top w:w="90" w:type="dxa"/>
              <w:start w:w="90" w:type="dxa"/>
              <w:bottom w:w="90" w:type="dxa"/>
              <w:end w:w="90" w:type="dxa"/>
            </w:tcMar>
            <w:shd w:fill="F2F4F5"/>
          </w:tcPr>
          <w:p>
            <w:pPr>
              <w:spacing w:after="20" w:line="240" w:lineRule="auto"/>
            </w:pPr>
            <w:r>
              <w:rPr>
                <w:color w:val="17324D"/>
                <w:sz w:val="14"/>
              </w:rPr>
              <w:t>12 or 24 V DC  solar or wind compatible</w:t>
            </w:r>
          </w:p>
        </w:tc>
        <w:tc>
          <w:tcPr>
            <w:tcW w:type="dxa" w:w="1701"/>
            <w:vAlign w:val="top"/>
            <w:tcMar>
              <w:top w:w="90" w:type="dxa"/>
              <w:start w:w="90" w:type="dxa"/>
              <w:bottom w:w="90" w:type="dxa"/>
              <w:end w:w="90" w:type="dxa"/>
            </w:tcMar>
            <w:shd w:fill="F2F4F5"/>
          </w:tcPr>
          <w:p>
            <w:pPr>
              <w:spacing w:after="20" w:line="240" w:lineRule="auto"/>
            </w:pPr>
            <w:r>
              <w:rPr>
                <w:color w:val="17324D"/>
                <w:sz w:val="14"/>
              </w:rPr>
              <w:t>Spectra authorised distributor</w:t>
            </w:r>
          </w:p>
        </w:tc>
      </w:tr>
      <w:tr>
        <w:tc>
          <w:tcPr>
            <w:tcW w:type="dxa" w:w="1984"/>
            <w:vAlign w:val="top"/>
            <w:tcMar>
              <w:top w:w="90" w:type="dxa"/>
              <w:start w:w="90" w:type="dxa"/>
              <w:bottom w:w="90" w:type="dxa"/>
              <w:end w:w="90" w:type="dxa"/>
            </w:tcMar>
          </w:tcPr>
          <w:p>
            <w:pPr>
              <w:spacing w:after="20" w:line="240" w:lineRule="auto"/>
            </w:pPr>
            <w:r>
              <w:rPr>
                <w:color w:val="17324D"/>
                <w:sz w:val="14"/>
              </w:rPr>
              <w:t>Spectra LB400</w:t>
            </w:r>
          </w:p>
        </w:tc>
        <w:tc>
          <w:tcPr>
            <w:tcW w:type="dxa" w:w="1361"/>
            <w:vAlign w:val="top"/>
            <w:tcMar>
              <w:top w:w="90" w:type="dxa"/>
              <w:start w:w="90" w:type="dxa"/>
              <w:bottom w:w="90" w:type="dxa"/>
              <w:end w:w="90" w:type="dxa"/>
            </w:tcMar>
          </w:tcPr>
          <w:p>
            <w:pPr>
              <w:spacing w:after="20" w:line="240" w:lineRule="auto"/>
            </w:pPr>
            <w:r>
              <w:rPr>
                <w:color w:val="17324D"/>
                <w:sz w:val="14"/>
              </w:rPr>
              <w:t>United States</w:t>
            </w:r>
          </w:p>
        </w:tc>
        <w:tc>
          <w:tcPr>
            <w:tcW w:type="dxa" w:w="1871"/>
            <w:vAlign w:val="top"/>
            <w:tcMar>
              <w:top w:w="90" w:type="dxa"/>
              <w:start w:w="90" w:type="dxa"/>
              <w:bottom w:w="90" w:type="dxa"/>
              <w:end w:w="90" w:type="dxa"/>
            </w:tcMar>
          </w:tcPr>
          <w:p>
            <w:pPr>
              <w:spacing w:after="20" w:line="240" w:lineRule="auto"/>
            </w:pPr>
            <w:r>
              <w:rPr>
                <w:color w:val="17324D"/>
                <w:sz w:val="14"/>
              </w:rPr>
              <w:t>About 64 L/hour  up to 12 hours/day</w:t>
            </w:r>
          </w:p>
        </w:tc>
        <w:tc>
          <w:tcPr>
            <w:tcW w:type="dxa" w:w="2381"/>
            <w:vAlign w:val="top"/>
            <w:tcMar>
              <w:top w:w="90" w:type="dxa"/>
              <w:start w:w="90" w:type="dxa"/>
              <w:bottom w:w="90" w:type="dxa"/>
              <w:end w:w="90" w:type="dxa"/>
            </w:tcMar>
          </w:tcPr>
          <w:p>
            <w:pPr>
              <w:spacing w:after="20" w:line="240" w:lineRule="auto"/>
            </w:pPr>
            <w:r>
              <w:rPr>
                <w:color w:val="17324D"/>
                <w:sz w:val="14"/>
              </w:rPr>
              <w:t>DC with Clark energy recovery</w:t>
            </w:r>
          </w:p>
        </w:tc>
        <w:tc>
          <w:tcPr>
            <w:tcW w:type="dxa" w:w="1701"/>
            <w:vAlign w:val="top"/>
            <w:tcMar>
              <w:top w:w="90" w:type="dxa"/>
              <w:start w:w="90" w:type="dxa"/>
              <w:bottom w:w="90" w:type="dxa"/>
              <w:end w:w="90" w:type="dxa"/>
            </w:tcMar>
          </w:tcPr>
          <w:p>
            <w:pPr>
              <w:spacing w:after="20" w:line="240" w:lineRule="auto"/>
            </w:pPr>
            <w:r>
              <w:rPr>
                <w:color w:val="17324D"/>
                <w:sz w:val="14"/>
              </w:rPr>
              <w:t>Spectra authorised distributor</w:t>
            </w:r>
          </w:p>
        </w:tc>
      </w:tr>
      <w:tr>
        <w:tc>
          <w:tcPr>
            <w:tcW w:type="dxa" w:w="1984"/>
            <w:vAlign w:val="top"/>
            <w:tcMar>
              <w:top w:w="90" w:type="dxa"/>
              <w:start w:w="90" w:type="dxa"/>
              <w:bottom w:w="90" w:type="dxa"/>
              <w:end w:w="90" w:type="dxa"/>
            </w:tcMar>
            <w:shd w:fill="F2F4F5"/>
          </w:tcPr>
          <w:p>
            <w:pPr>
              <w:spacing w:after="20" w:line="240" w:lineRule="auto"/>
            </w:pPr>
            <w:r>
              <w:rPr>
                <w:color w:val="17324D"/>
                <w:sz w:val="14"/>
              </w:rPr>
              <w:t>Rainman portable</w:t>
            </w:r>
          </w:p>
        </w:tc>
        <w:tc>
          <w:tcPr>
            <w:tcW w:type="dxa" w:w="1361"/>
            <w:vAlign w:val="top"/>
            <w:tcMar>
              <w:top w:w="90" w:type="dxa"/>
              <w:start w:w="90" w:type="dxa"/>
              <w:bottom w:w="90" w:type="dxa"/>
              <w:end w:w="90" w:type="dxa"/>
            </w:tcMar>
            <w:shd w:fill="F2F4F5"/>
          </w:tcPr>
          <w:p>
            <w:pPr>
              <w:spacing w:after="20" w:line="240" w:lineRule="auto"/>
            </w:pPr>
            <w:r>
              <w:rPr>
                <w:color w:val="17324D"/>
                <w:sz w:val="14"/>
              </w:rPr>
              <w:t>Australia with EU dealers</w:t>
            </w:r>
          </w:p>
        </w:tc>
        <w:tc>
          <w:tcPr>
            <w:tcW w:type="dxa" w:w="1871"/>
            <w:vAlign w:val="top"/>
            <w:tcMar>
              <w:top w:w="90" w:type="dxa"/>
              <w:start w:w="90" w:type="dxa"/>
              <w:bottom w:w="90" w:type="dxa"/>
              <w:end w:w="90" w:type="dxa"/>
            </w:tcMar>
            <w:shd w:fill="F2F4F5"/>
          </w:tcPr>
          <w:p>
            <w:pPr>
              <w:spacing w:after="20" w:line="240" w:lineRule="auto"/>
            </w:pPr>
            <w:r>
              <w:rPr>
                <w:color w:val="17324D"/>
                <w:sz w:val="14"/>
              </w:rPr>
              <w:t>Model-dependent  roughly 100–240 L/hour in larger AC packages</w:t>
            </w:r>
          </w:p>
        </w:tc>
        <w:tc>
          <w:tcPr>
            <w:tcW w:type="dxa" w:w="2381"/>
            <w:vAlign w:val="top"/>
            <w:tcMar>
              <w:top w:w="90" w:type="dxa"/>
              <w:start w:w="90" w:type="dxa"/>
              <w:bottom w:w="90" w:type="dxa"/>
              <w:end w:w="90" w:type="dxa"/>
            </w:tcMar>
            <w:shd w:fill="F2F4F5"/>
          </w:tcPr>
          <w:p>
            <w:pPr>
              <w:spacing w:after="20" w:line="240" w:lineRule="auto"/>
            </w:pPr>
            <w:r>
              <w:rPr>
                <w:color w:val="17324D"/>
                <w:sz w:val="14"/>
              </w:rPr>
              <w:t>Transportable backup  generally higher energy than Clark-type recovery</w:t>
            </w:r>
          </w:p>
        </w:tc>
        <w:tc>
          <w:tcPr>
            <w:tcW w:type="dxa" w:w="1701"/>
            <w:vAlign w:val="top"/>
            <w:tcMar>
              <w:top w:w="90" w:type="dxa"/>
              <w:start w:w="90" w:type="dxa"/>
              <w:bottom w:w="90" w:type="dxa"/>
              <w:end w:w="90" w:type="dxa"/>
            </w:tcMar>
            <w:shd w:fill="F2F4F5"/>
          </w:tcPr>
          <w:p>
            <w:pPr>
              <w:spacing w:after="20" w:line="240" w:lineRule="auto"/>
            </w:pPr>
            <w:r>
              <w:rPr>
                <w:color w:val="17324D"/>
                <w:sz w:val="14"/>
              </w:rPr>
              <w:t>European marine dealer network</w:t>
            </w:r>
          </w:p>
        </w:tc>
      </w:tr>
    </w:tbl>
    <w:p>
      <w:pPr>
        <w:spacing w:after="0"/>
      </w:pPr>
    </w:p>
    <w:p>
      <w:pPr>
        <w:pStyle w:val="Heading2"/>
      </w:pPr>
      <w:r>
        <w:t>Medium and large solar SWRO</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1587"/>
            <w:shd w:fill="17324D"/>
            <w:vAlign w:val="center"/>
            <w:tcMar>
              <w:top w:w="90" w:type="dxa"/>
              <w:start w:w="90" w:type="dxa"/>
              <w:bottom w:w="90" w:type="dxa"/>
              <w:end w:w="90" w:type="dxa"/>
            </w:tcMar>
          </w:tcPr>
          <w:p>
            <w:r>
              <w:rPr>
                <w:b/>
                <w:color w:val="FFFFFF"/>
                <w:sz w:val="13"/>
              </w:rPr>
              <w:t>Supplier</w:t>
            </w:r>
          </w:p>
        </w:tc>
        <w:tc>
          <w:tcPr>
            <w:tcW w:type="dxa" w:w="1361"/>
            <w:shd w:fill="17324D"/>
            <w:vAlign w:val="center"/>
            <w:tcMar>
              <w:top w:w="90" w:type="dxa"/>
              <w:start w:w="90" w:type="dxa"/>
              <w:bottom w:w="90" w:type="dxa"/>
              <w:end w:w="90" w:type="dxa"/>
            </w:tcMar>
          </w:tcPr>
          <w:p>
            <w:r>
              <w:rPr>
                <w:b/>
                <w:color w:val="FFFFFF"/>
                <w:sz w:val="13"/>
              </w:rPr>
              <w:t>Origin</w:t>
            </w:r>
          </w:p>
        </w:tc>
        <w:tc>
          <w:tcPr>
            <w:tcW w:type="dxa" w:w="1871"/>
            <w:shd w:fill="17324D"/>
            <w:vAlign w:val="center"/>
            <w:tcMar>
              <w:top w:w="90" w:type="dxa"/>
              <w:start w:w="90" w:type="dxa"/>
              <w:bottom w:w="90" w:type="dxa"/>
              <w:end w:w="90" w:type="dxa"/>
            </w:tcMar>
          </w:tcPr>
          <w:p>
            <w:r>
              <w:rPr>
                <w:b/>
                <w:color w:val="FFFFFF"/>
                <w:sz w:val="13"/>
              </w:rPr>
              <w:t>Commercial range</w:t>
            </w:r>
          </w:p>
        </w:tc>
        <w:tc>
          <w:tcPr>
            <w:tcW w:type="dxa" w:w="2381"/>
            <w:shd w:fill="17324D"/>
            <w:vAlign w:val="center"/>
            <w:tcMar>
              <w:top w:w="90" w:type="dxa"/>
              <w:start w:w="90" w:type="dxa"/>
              <w:bottom w:w="90" w:type="dxa"/>
              <w:end w:w="90" w:type="dxa"/>
            </w:tcMar>
          </w:tcPr>
          <w:p>
            <w:r>
              <w:rPr>
                <w:b/>
                <w:color w:val="FFFFFF"/>
                <w:sz w:val="13"/>
              </w:rPr>
              <w:t>Why shortlist</w:t>
            </w:r>
          </w:p>
        </w:tc>
        <w:tc>
          <w:tcPr>
            <w:tcW w:type="dxa" w:w="2041"/>
            <w:shd w:fill="17324D"/>
            <w:vAlign w:val="center"/>
            <w:tcMar>
              <w:top w:w="90" w:type="dxa"/>
              <w:start w:w="90" w:type="dxa"/>
              <w:bottom w:w="90" w:type="dxa"/>
              <w:end w:w="90" w:type="dxa"/>
            </w:tcMar>
          </w:tcPr>
          <w:p>
            <w:r>
              <w:rPr>
                <w:b/>
                <w:color w:val="FFFFFF"/>
                <w:sz w:val="13"/>
              </w:rPr>
              <w:t>Qualification point</w:t>
            </w:r>
          </w:p>
        </w:tc>
      </w:tr>
      <w:tr>
        <w:tc>
          <w:tcPr>
            <w:tcW w:type="dxa" w:w="1587"/>
            <w:vAlign w:val="top"/>
            <w:tcMar>
              <w:top w:w="90" w:type="dxa"/>
              <w:start w:w="90" w:type="dxa"/>
              <w:bottom w:w="90" w:type="dxa"/>
              <w:end w:w="90" w:type="dxa"/>
            </w:tcMar>
          </w:tcPr>
          <w:p>
            <w:pPr>
              <w:spacing w:after="20" w:line="240" w:lineRule="auto"/>
            </w:pPr>
            <w:r>
              <w:rPr>
                <w:color w:val="17324D"/>
                <w:sz w:val="13"/>
              </w:rPr>
              <w:t>OSMOSUN</w:t>
            </w:r>
          </w:p>
        </w:tc>
        <w:tc>
          <w:tcPr>
            <w:tcW w:type="dxa" w:w="1361"/>
            <w:vAlign w:val="top"/>
            <w:tcMar>
              <w:top w:w="90" w:type="dxa"/>
              <w:start w:w="90" w:type="dxa"/>
              <w:bottom w:w="90" w:type="dxa"/>
              <w:end w:w="90" w:type="dxa"/>
            </w:tcMar>
          </w:tcPr>
          <w:p>
            <w:pPr>
              <w:spacing w:after="20" w:line="240" w:lineRule="auto"/>
            </w:pPr>
            <w:r>
              <w:rPr>
                <w:color w:val="17324D"/>
                <w:sz w:val="13"/>
              </w:rPr>
              <w:t>France</w:t>
            </w:r>
          </w:p>
        </w:tc>
        <w:tc>
          <w:tcPr>
            <w:tcW w:type="dxa" w:w="1871"/>
            <w:vAlign w:val="top"/>
            <w:tcMar>
              <w:top w:w="90" w:type="dxa"/>
              <w:start w:w="90" w:type="dxa"/>
              <w:bottom w:w="90" w:type="dxa"/>
              <w:end w:w="90" w:type="dxa"/>
            </w:tcMar>
          </w:tcPr>
          <w:p>
            <w:pPr>
              <w:spacing w:after="20" w:line="240" w:lineRule="auto"/>
            </w:pPr>
            <w:r>
              <w:rPr>
                <w:color w:val="17324D"/>
                <w:sz w:val="13"/>
              </w:rPr>
              <w:t>About 1–10,000 m³/day SWRO  modular combinations higher</w:t>
            </w:r>
          </w:p>
        </w:tc>
        <w:tc>
          <w:tcPr>
            <w:tcW w:type="dxa" w:w="2381"/>
            <w:vAlign w:val="top"/>
            <w:tcMar>
              <w:top w:w="90" w:type="dxa"/>
              <w:start w:w="90" w:type="dxa"/>
              <w:bottom w:w="90" w:type="dxa"/>
              <w:end w:w="90" w:type="dxa"/>
            </w:tcMar>
          </w:tcPr>
          <w:p>
            <w:pPr>
              <w:spacing w:after="20" w:line="240" w:lineRule="auto"/>
            </w:pPr>
            <w:r>
              <w:rPr>
                <w:color w:val="17324D"/>
                <w:sz w:val="13"/>
              </w:rPr>
              <w:t>Battery-free solar operation  EU service path  published 2.5 kWh/m³ core at 35 g/L</w:t>
            </w:r>
          </w:p>
        </w:tc>
        <w:tc>
          <w:tcPr>
            <w:tcW w:type="dxa" w:w="2041"/>
            <w:vAlign w:val="top"/>
            <w:tcMar>
              <w:top w:w="90" w:type="dxa"/>
              <w:start w:w="90" w:type="dxa"/>
              <w:bottom w:w="90" w:type="dxa"/>
              <w:end w:w="90" w:type="dxa"/>
            </w:tcMar>
          </w:tcPr>
          <w:p>
            <w:pPr>
              <w:spacing w:after="20" w:line="240" w:lineRule="auto"/>
            </w:pPr>
            <w:r>
              <w:rPr>
                <w:color w:val="17324D"/>
                <w:sz w:val="13"/>
              </w:rPr>
              <w:t>Reconcile guaranteed daily output  PV area  auxiliaries  intake and brine scope in one performance schedule</w:t>
            </w:r>
          </w:p>
        </w:tc>
      </w:tr>
      <w:tr>
        <w:tc>
          <w:tcPr>
            <w:tcW w:type="dxa" w:w="1587"/>
            <w:vAlign w:val="top"/>
            <w:tcMar>
              <w:top w:w="90" w:type="dxa"/>
              <w:start w:w="90" w:type="dxa"/>
              <w:bottom w:w="90" w:type="dxa"/>
              <w:end w:w="90" w:type="dxa"/>
            </w:tcMar>
            <w:shd w:fill="F2F4F5"/>
          </w:tcPr>
          <w:p>
            <w:pPr>
              <w:spacing w:after="20" w:line="240" w:lineRule="auto"/>
            </w:pPr>
            <w:r>
              <w:rPr>
                <w:color w:val="17324D"/>
                <w:sz w:val="13"/>
              </w:rPr>
              <w:t>Elemental Water Makers</w:t>
            </w:r>
          </w:p>
        </w:tc>
        <w:tc>
          <w:tcPr>
            <w:tcW w:type="dxa" w:w="1361"/>
            <w:vAlign w:val="top"/>
            <w:tcMar>
              <w:top w:w="90" w:type="dxa"/>
              <w:start w:w="90" w:type="dxa"/>
              <w:bottom w:w="90" w:type="dxa"/>
              <w:end w:w="90" w:type="dxa"/>
            </w:tcMar>
            <w:shd w:fill="F2F4F5"/>
          </w:tcPr>
          <w:p>
            <w:pPr>
              <w:spacing w:after="20" w:line="240" w:lineRule="auto"/>
            </w:pPr>
            <w:r>
              <w:rPr>
                <w:color w:val="17324D"/>
                <w:sz w:val="13"/>
              </w:rPr>
              <w:t>Netherlands</w:t>
            </w:r>
          </w:p>
        </w:tc>
        <w:tc>
          <w:tcPr>
            <w:tcW w:type="dxa" w:w="1871"/>
            <w:vAlign w:val="top"/>
            <w:tcMar>
              <w:top w:w="90" w:type="dxa"/>
              <w:start w:w="90" w:type="dxa"/>
              <w:bottom w:w="90" w:type="dxa"/>
              <w:end w:w="90" w:type="dxa"/>
            </w:tcMar>
            <w:shd w:fill="F2F4F5"/>
          </w:tcPr>
          <w:p>
            <w:pPr>
              <w:spacing w:after="20" w:line="240" w:lineRule="auto"/>
            </w:pPr>
            <w:r>
              <w:rPr>
                <w:color w:val="17324D"/>
                <w:sz w:val="13"/>
              </w:rPr>
              <w:t>About 5–100 m³/day standard project bands</w:t>
            </w:r>
          </w:p>
        </w:tc>
        <w:tc>
          <w:tcPr>
            <w:tcW w:type="dxa" w:w="2381"/>
            <w:vAlign w:val="top"/>
            <w:tcMar>
              <w:top w:w="90" w:type="dxa"/>
              <w:start w:w="90" w:type="dxa"/>
              <w:bottom w:w="90" w:type="dxa"/>
              <w:end w:w="90" w:type="dxa"/>
            </w:tcMar>
            <w:shd w:fill="F2F4F5"/>
          </w:tcPr>
          <w:p>
            <w:pPr>
              <w:spacing w:after="20" w:line="240" w:lineRule="auto"/>
            </w:pPr>
            <w:r>
              <w:rPr>
                <w:color w:val="17324D"/>
                <w:sz w:val="13"/>
              </w:rPr>
              <w:t>Solar RO with energy recovery  current indicative complete-project bands published</w:t>
            </w:r>
          </w:p>
        </w:tc>
        <w:tc>
          <w:tcPr>
            <w:tcW w:type="dxa" w:w="2041"/>
            <w:vAlign w:val="top"/>
            <w:tcMar>
              <w:top w:w="90" w:type="dxa"/>
              <w:start w:w="90" w:type="dxa"/>
              <w:bottom w:w="90" w:type="dxa"/>
              <w:end w:w="90" w:type="dxa"/>
            </w:tcMar>
            <w:shd w:fill="F2F4F5"/>
          </w:tcPr>
          <w:p>
            <w:pPr>
              <w:spacing w:after="20" w:line="240" w:lineRule="auto"/>
            </w:pPr>
            <w:r>
              <w:rPr>
                <w:color w:val="17324D"/>
                <w:sz w:val="13"/>
              </w:rPr>
              <w:t>Quote Guadeloupe freight  civil work  pretreatment and long-term service</w:t>
            </w:r>
          </w:p>
        </w:tc>
      </w:tr>
      <w:tr>
        <w:tc>
          <w:tcPr>
            <w:tcW w:type="dxa" w:w="1587"/>
            <w:vAlign w:val="top"/>
            <w:tcMar>
              <w:top w:w="90" w:type="dxa"/>
              <w:start w:w="90" w:type="dxa"/>
              <w:bottom w:w="90" w:type="dxa"/>
              <w:end w:w="90" w:type="dxa"/>
            </w:tcMar>
          </w:tcPr>
          <w:p>
            <w:pPr>
              <w:spacing w:after="20" w:line="240" w:lineRule="auto"/>
            </w:pPr>
            <w:r>
              <w:rPr>
                <w:color w:val="17324D"/>
                <w:sz w:val="13"/>
              </w:rPr>
              <w:t>Solar Water Solutions</w:t>
            </w:r>
          </w:p>
        </w:tc>
        <w:tc>
          <w:tcPr>
            <w:tcW w:type="dxa" w:w="1361"/>
            <w:vAlign w:val="top"/>
            <w:tcMar>
              <w:top w:w="90" w:type="dxa"/>
              <w:start w:w="90" w:type="dxa"/>
              <w:bottom w:w="90" w:type="dxa"/>
              <w:end w:w="90" w:type="dxa"/>
            </w:tcMar>
          </w:tcPr>
          <w:p>
            <w:pPr>
              <w:spacing w:after="20" w:line="240" w:lineRule="auto"/>
            </w:pPr>
            <w:r>
              <w:rPr>
                <w:color w:val="17324D"/>
                <w:sz w:val="13"/>
              </w:rPr>
              <w:t>Finland</w:t>
            </w:r>
          </w:p>
        </w:tc>
        <w:tc>
          <w:tcPr>
            <w:tcW w:type="dxa" w:w="1871"/>
            <w:vAlign w:val="top"/>
            <w:tcMar>
              <w:top w:w="90" w:type="dxa"/>
              <w:start w:w="90" w:type="dxa"/>
              <w:bottom w:w="90" w:type="dxa"/>
              <w:end w:w="90" w:type="dxa"/>
            </w:tcMar>
          </w:tcPr>
          <w:p>
            <w:pPr>
              <w:spacing w:after="20" w:line="240" w:lineRule="auto"/>
            </w:pPr>
            <w:r>
              <w:rPr>
                <w:color w:val="17324D"/>
                <w:sz w:val="13"/>
              </w:rPr>
              <w:t>About 1–1,000 m³/day cited range</w:t>
            </w:r>
          </w:p>
        </w:tc>
        <w:tc>
          <w:tcPr>
            <w:tcW w:type="dxa" w:w="2381"/>
            <w:vAlign w:val="top"/>
            <w:tcMar>
              <w:top w:w="90" w:type="dxa"/>
              <w:start w:w="90" w:type="dxa"/>
              <w:bottom w:w="90" w:type="dxa"/>
              <w:end w:w="90" w:type="dxa"/>
            </w:tcMar>
          </w:tcPr>
          <w:p>
            <w:pPr>
              <w:spacing w:after="20" w:line="240" w:lineRule="auto"/>
            </w:pPr>
            <w:r>
              <w:rPr>
                <w:color w:val="17324D"/>
                <w:sz w:val="13"/>
              </w:rPr>
              <w:t>Renewable-compatible desalination packages</w:t>
            </w:r>
          </w:p>
        </w:tc>
        <w:tc>
          <w:tcPr>
            <w:tcW w:type="dxa" w:w="2041"/>
            <w:vAlign w:val="top"/>
            <w:tcMar>
              <w:top w:w="90" w:type="dxa"/>
              <w:start w:w="90" w:type="dxa"/>
              <w:bottom w:w="90" w:type="dxa"/>
              <w:end w:w="90" w:type="dxa"/>
            </w:tcMar>
          </w:tcPr>
          <w:p>
            <w:pPr>
              <w:spacing w:after="20" w:line="240" w:lineRule="auto"/>
            </w:pPr>
            <w:r>
              <w:rPr>
                <w:color w:val="17324D"/>
                <w:sz w:val="13"/>
              </w:rPr>
              <w:t>Demand references in tropical seawater and cyclone installation design</w:t>
            </w:r>
          </w:p>
        </w:tc>
      </w:tr>
      <w:tr>
        <w:tc>
          <w:tcPr>
            <w:tcW w:type="dxa" w:w="1587"/>
            <w:vAlign w:val="top"/>
            <w:tcMar>
              <w:top w:w="90" w:type="dxa"/>
              <w:start w:w="90" w:type="dxa"/>
              <w:bottom w:w="90" w:type="dxa"/>
              <w:end w:w="90" w:type="dxa"/>
            </w:tcMar>
            <w:shd w:fill="F2F4F5"/>
          </w:tcPr>
          <w:p>
            <w:pPr>
              <w:spacing w:after="20" w:line="240" w:lineRule="auto"/>
            </w:pPr>
            <w:r>
              <w:rPr>
                <w:color w:val="17324D"/>
                <w:sz w:val="13"/>
              </w:rPr>
              <w:t>Boreal Light Winture</w:t>
            </w:r>
          </w:p>
        </w:tc>
        <w:tc>
          <w:tcPr>
            <w:tcW w:type="dxa" w:w="1361"/>
            <w:vAlign w:val="top"/>
            <w:tcMar>
              <w:top w:w="90" w:type="dxa"/>
              <w:start w:w="90" w:type="dxa"/>
              <w:bottom w:w="90" w:type="dxa"/>
              <w:end w:w="90" w:type="dxa"/>
            </w:tcMar>
            <w:shd w:fill="F2F4F5"/>
          </w:tcPr>
          <w:p>
            <w:pPr>
              <w:spacing w:after="20" w:line="240" w:lineRule="auto"/>
            </w:pPr>
            <w:r>
              <w:rPr>
                <w:color w:val="17324D"/>
                <w:sz w:val="13"/>
              </w:rPr>
              <w:t>Germany</w:t>
            </w:r>
          </w:p>
        </w:tc>
        <w:tc>
          <w:tcPr>
            <w:tcW w:type="dxa" w:w="1871"/>
            <w:vAlign w:val="top"/>
            <w:tcMar>
              <w:top w:w="90" w:type="dxa"/>
              <w:start w:w="90" w:type="dxa"/>
              <w:bottom w:w="90" w:type="dxa"/>
              <w:end w:w="90" w:type="dxa"/>
            </w:tcMar>
            <w:shd w:fill="F2F4F5"/>
          </w:tcPr>
          <w:p>
            <w:pPr>
              <w:spacing w:after="20" w:line="240" w:lineRule="auto"/>
            </w:pPr>
            <w:r>
              <w:rPr>
                <w:color w:val="17324D"/>
                <w:sz w:val="13"/>
              </w:rPr>
              <w:t>About 1–30 m³/hour product family</w:t>
            </w:r>
          </w:p>
        </w:tc>
        <w:tc>
          <w:tcPr>
            <w:tcW w:type="dxa" w:w="2381"/>
            <w:vAlign w:val="top"/>
            <w:tcMar>
              <w:top w:w="90" w:type="dxa"/>
              <w:start w:w="90" w:type="dxa"/>
              <w:bottom w:w="90" w:type="dxa"/>
              <w:end w:w="90" w:type="dxa"/>
            </w:tcMar>
            <w:shd w:fill="F2F4F5"/>
          </w:tcPr>
          <w:p>
            <w:pPr>
              <w:spacing w:after="20" w:line="240" w:lineRule="auto"/>
            </w:pPr>
            <w:r>
              <w:rPr>
                <w:color w:val="17324D"/>
                <w:sz w:val="13"/>
              </w:rPr>
              <w:t>Large solar water systems with project delivery</w:t>
            </w:r>
          </w:p>
        </w:tc>
        <w:tc>
          <w:tcPr>
            <w:tcW w:type="dxa" w:w="2041"/>
            <w:vAlign w:val="top"/>
            <w:tcMar>
              <w:top w:w="90" w:type="dxa"/>
              <w:start w:w="90" w:type="dxa"/>
              <w:bottom w:w="90" w:type="dxa"/>
              <w:end w:w="90" w:type="dxa"/>
            </w:tcMar>
            <w:shd w:fill="F2F4F5"/>
          </w:tcPr>
          <w:p>
            <w:pPr>
              <w:spacing w:after="20" w:line="240" w:lineRule="auto"/>
            </w:pPr>
            <w:r>
              <w:rPr>
                <w:color w:val="17324D"/>
                <w:sz w:val="13"/>
              </w:rPr>
              <w:t>Confirm seawater configuration  whole-plant SEC and Caribbean spares</w:t>
            </w:r>
          </w:p>
        </w:tc>
      </w:tr>
      <w:tr>
        <w:tc>
          <w:tcPr>
            <w:tcW w:type="dxa" w:w="1587"/>
            <w:vAlign w:val="top"/>
            <w:tcMar>
              <w:top w:w="90" w:type="dxa"/>
              <w:start w:w="90" w:type="dxa"/>
              <w:bottom w:w="90" w:type="dxa"/>
              <w:end w:w="90" w:type="dxa"/>
            </w:tcMar>
          </w:tcPr>
          <w:p>
            <w:pPr>
              <w:spacing w:after="20" w:line="240" w:lineRule="auto"/>
            </w:pPr>
            <w:r>
              <w:rPr>
                <w:color w:val="17324D"/>
                <w:sz w:val="13"/>
              </w:rPr>
              <w:t>GivePower</w:t>
            </w:r>
          </w:p>
        </w:tc>
        <w:tc>
          <w:tcPr>
            <w:tcW w:type="dxa" w:w="1361"/>
            <w:vAlign w:val="top"/>
            <w:tcMar>
              <w:top w:w="90" w:type="dxa"/>
              <w:start w:w="90" w:type="dxa"/>
              <w:bottom w:w="90" w:type="dxa"/>
              <w:end w:w="90" w:type="dxa"/>
            </w:tcMar>
          </w:tcPr>
          <w:p>
            <w:pPr>
              <w:spacing w:after="20" w:line="240" w:lineRule="auto"/>
            </w:pPr>
            <w:r>
              <w:rPr>
                <w:color w:val="17324D"/>
                <w:sz w:val="13"/>
              </w:rPr>
              <w:t>United States nonprofit</w:t>
            </w:r>
          </w:p>
        </w:tc>
        <w:tc>
          <w:tcPr>
            <w:tcW w:type="dxa" w:w="1871"/>
            <w:vAlign w:val="top"/>
            <w:tcMar>
              <w:top w:w="90" w:type="dxa"/>
              <w:start w:w="90" w:type="dxa"/>
              <w:bottom w:w="90" w:type="dxa"/>
              <w:end w:w="90" w:type="dxa"/>
            </w:tcMar>
          </w:tcPr>
          <w:p>
            <w:pPr>
              <w:spacing w:after="20" w:line="240" w:lineRule="auto"/>
            </w:pPr>
            <w:r>
              <w:rPr>
                <w:color w:val="17324D"/>
                <w:sz w:val="13"/>
              </w:rPr>
              <w:t>Solar water farm projects about 15,000–75,000 L/day</w:t>
            </w:r>
          </w:p>
        </w:tc>
        <w:tc>
          <w:tcPr>
            <w:tcW w:type="dxa" w:w="2381"/>
            <w:vAlign w:val="top"/>
            <w:tcMar>
              <w:top w:w="90" w:type="dxa"/>
              <w:start w:w="90" w:type="dxa"/>
              <w:bottom w:w="90" w:type="dxa"/>
              <w:end w:w="90" w:type="dxa"/>
            </w:tcMar>
          </w:tcPr>
          <w:p>
            <w:pPr>
              <w:spacing w:after="20" w:line="240" w:lineRule="auto"/>
            </w:pPr>
            <w:r>
              <w:rPr>
                <w:color w:val="17324D"/>
                <w:sz w:val="13"/>
              </w:rPr>
              <w:t>Potential humanitarian partner</w:t>
            </w:r>
          </w:p>
        </w:tc>
        <w:tc>
          <w:tcPr>
            <w:tcW w:type="dxa" w:w="2041"/>
            <w:vAlign w:val="top"/>
            <w:tcMar>
              <w:top w:w="90" w:type="dxa"/>
              <w:start w:w="90" w:type="dxa"/>
              <w:bottom w:w="90" w:type="dxa"/>
              <w:end w:w="90" w:type="dxa"/>
            </w:tcMar>
          </w:tcPr>
          <w:p>
            <w:pPr>
              <w:spacing w:after="20" w:line="240" w:lineRule="auto"/>
            </w:pPr>
            <w:r>
              <w:rPr>
                <w:color w:val="17324D"/>
                <w:sz w:val="13"/>
              </w:rPr>
              <w:t>Partnership route rather than ordinary equipment purchase</w:t>
            </w:r>
          </w:p>
        </w:tc>
      </w:tr>
    </w:tbl>
    <w:p>
      <w:pPr>
        <w:spacing w:after="0"/>
      </w:pPr>
    </w:p>
    <w:p>
      <w:r>
        <w:drawing>
          <wp:inline xmlns:a="http://schemas.openxmlformats.org/drawingml/2006/main" xmlns:pic="http://schemas.openxmlformats.org/drawingml/2006/picture">
            <wp:extent cx="5832000" cy="2628395"/>
            <wp:docPr id="2" name="Picture 2"/>
            <wp:cNvGraphicFramePr>
              <a:graphicFrameLocks noChangeAspect="1"/>
            </wp:cNvGraphicFramePr>
            <a:graphic>
              <a:graphicData uri="http://schemas.openxmlformats.org/drawingml/2006/picture">
                <pic:pic>
                  <pic:nvPicPr>
                    <pic:cNvPr id="0" name="energy_intensity.png"/>
                    <pic:cNvPicPr/>
                  </pic:nvPicPr>
                  <pic:blipFill>
                    <a:blip r:embed="rId12"/>
                    <a:stretch>
                      <a:fillRect/>
                    </a:stretch>
                  </pic:blipFill>
                  <pic:spPr>
                    <a:xfrm>
                      <a:off x="0" y="0"/>
                      <a:ext cx="5832000" cy="2628395"/>
                    </a:xfrm>
                    <a:prstGeom prst="rect"/>
                  </pic:spPr>
                </pic:pic>
              </a:graphicData>
            </a:graphic>
          </wp:inline>
        </w:drawing>
      </w:r>
    </w:p>
    <w:p>
      <w:pPr>
        <w:pStyle w:val="Smallnote"/>
      </w:pPr>
      <w:r>
        <w:t>Comparison uses OSMOSUN's published 2.5 kWh/m³ RO-core figure at 35 g/L and GENAQ Nimbus N4500's 0.22 kWh/L, equivalent to 220 kWh/m³. Fog and passive stills use no operating electricity but require large collection area. Vendor conditions differ; this chart is a screening comparison, not a tender guarantee. [5] [6]</w:t>
      </w:r>
    </w:p>
    <w:p>
      <w:pPr>
        <w:pStyle w:val="Heading2"/>
      </w:pPr>
      <w:r>
        <w:t>Recommended 8,000-person configuration</w:t>
      </w:r>
    </w:p>
    <w:p>
      <w:pPr>
        <w:spacing w:after="40"/>
        <w:ind w:left="329" w:hanging="272"/>
      </w:pPr>
      <w:r>
        <w:rPr>
          <w:sz w:val="18"/>
        </w:rPr>
        <w:t>1.  Commission raw-seawater analysis over seasons, including algae, hydrocarbons, turbidity, temperature, boron and sargassum-related risk.</w:t>
      </w:r>
    </w:p>
    <w:p>
      <w:pPr>
        <w:spacing w:after="40"/>
        <w:ind w:left="329" w:hanging="272"/>
      </w:pPr>
      <w:r>
        <w:rPr>
          <w:sz w:val="18"/>
        </w:rPr>
        <w:t>2.  Tender three independent 60 m³/day-class trains with two duty plus one standby, or an equivalent N+1 arrangement delivering 120 m³/day under the guaranteed worst design condition.</w:t>
      </w:r>
    </w:p>
    <w:p>
      <w:pPr>
        <w:spacing w:after="40"/>
        <w:ind w:left="329" w:hanging="272"/>
      </w:pPr>
      <w:r>
        <w:rPr>
          <w:sz w:val="18"/>
        </w:rPr>
        <w:t>3.  Use pressure exchangers or equivalent high-efficiency recovery and require measured whole-plant specific energy, including intake, pretreatment, dosing, post-treatment and controls.</w:t>
      </w:r>
    </w:p>
    <w:p>
      <w:pPr>
        <w:spacing w:after="40"/>
        <w:ind w:left="329" w:hanging="272"/>
      </w:pPr>
      <w:r>
        <w:rPr>
          <w:sz w:val="18"/>
        </w:rPr>
        <w:t>4.  Use about 90 kWp as the first-pass PV sizing basis for 120 m³/day from OSMOSUN's 0.75 kWp per daily m³ rule, then add the supplier's documented allowance for losses and auxiliaries. [5]</w:t>
      </w:r>
    </w:p>
    <w:p>
      <w:pPr>
        <w:spacing w:after="40"/>
        <w:ind w:left="329" w:hanging="272"/>
      </w:pPr>
      <w:r>
        <w:rPr>
          <w:sz w:val="18"/>
        </w:rPr>
        <w:t>5.  Store 360 m³ finished water as a three-day emergency reserve, split into isolated tanks such as six 60 m³ cells or twelve 30 m³ cells.</w:t>
      </w:r>
    </w:p>
    <w:p>
      <w:pPr>
        <w:spacing w:after="40"/>
        <w:ind w:left="329" w:hanging="272"/>
      </w:pPr>
      <w:r>
        <w:rPr>
          <w:sz w:val="18"/>
        </w:rPr>
        <w:t>6.  Finish with remineralisation, pH stabilisation, disinfection, online conductivity and turbidity, secure sampling points and an operator laboratory plan.</w:t>
      </w:r>
    </w:p>
    <w:tbl>
      <w:tblPr>
        <w:tblW w:type="auto" w:w="0"/>
        <w:jc w:val="center"/>
        <w:tblLayout w:type="fixed"/>
        <w:tblLook w:firstColumn="1" w:firstRow="1" w:lastColumn="0" w:lastRow="0" w:noHBand="0" w:noVBand="1" w:val="04A0"/>
      </w:tblPr>
      <w:tblGrid>
        <w:gridCol w:w="159"/>
        <w:gridCol w:w="9184"/>
      </w:tblGrid>
      <w:tr>
        <w:trPr>
          <w:cantSplit/>
        </w:trPr>
        <w:tc>
          <w:tcPr>
            <w:tcW w:type="dxa" w:w="5185"/>
            <w:shd w:fill="007F82"/>
          </w:tcPr>
          <w:p>
            <w:r/>
          </w:p>
        </w:tc>
        <w:tc>
          <w:tcPr>
            <w:tcW w:type="dxa" w:w="5185"/>
            <w:shd w:fill="EEF5F7"/>
            <w:tcMar>
              <w:top w:w="130" w:type="dxa"/>
              <w:start w:w="180" w:type="dxa"/>
              <w:bottom w:w="130" w:type="dxa"/>
              <w:end w:w="180" w:type="dxa"/>
            </w:tcMar>
          </w:tcPr>
          <w:p>
            <w:pPr>
              <w:spacing w:after="40"/>
            </w:pPr>
            <w:r>
              <w:rPr>
                <w:b/>
                <w:color w:val="007F82"/>
                <w:sz w:val="20"/>
              </w:rPr>
              <w:t>Illustrative brine balance</w:t>
            </w:r>
          </w:p>
          <w:p>
            <w:pPr>
              <w:spacing w:after="0"/>
            </w:pPr>
            <w:r>
              <w:rPr>
                <w:color w:val="17324D"/>
                <w:sz w:val="18"/>
              </w:rPr>
              <w:t>At an assumed 40 percent recovery, 120 m³/day of product needs about 300 m³/day feed and leaves about 180 m³/day concentrate. Starting from 35 g/L seawater, the concentrate is roughly 58 g/L before detailed ion and temperature effects. Pressure-energy recovery reduces electricity; it does not recover this water or remove the salt.</w:t>
            </w:r>
          </w:p>
        </w:tc>
      </w:tr>
    </w:tbl>
    <w:p>
      <w:pPr>
        <w:spacing w:after="0"/>
      </w:pPr>
    </w:p>
    <w:p>
      <w:r>
        <w:br w:type="page"/>
      </w:r>
    </w:p>
    <w:p>
      <w:pPr>
        <w:pStyle w:val="Heading1"/>
      </w:pPr>
      <w:r>
        <w:t>Desert water technologies</w:t>
      </w:r>
    </w:p>
    <w:p>
      <w:r>
        <w:t>Desert water technology is a family, not one product. The relevant question is which source is already present: liquid fog, night-sky cooling potential, humidity that can be condensed, saline groundwater, seawater or low-grade heat. Guadeloupe has abundant seawater and pockets of orographic fog, so it should borrow the best desert techniques without copying the wrong energy economics.</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928"/>
            <w:shd w:fill="17324D"/>
            <w:vAlign w:val="center"/>
            <w:tcMar>
              <w:top w:w="90" w:type="dxa"/>
              <w:start w:w="90" w:type="dxa"/>
              <w:bottom w:w="90" w:type="dxa"/>
              <w:end w:w="90" w:type="dxa"/>
            </w:tcMar>
          </w:tcPr>
          <w:p>
            <w:r>
              <w:rPr>
                <w:b/>
                <w:color w:val="FFFFFF"/>
                <w:sz w:val="15"/>
              </w:rPr>
              <w:t>Method</w:t>
            </w:r>
          </w:p>
        </w:tc>
        <w:tc>
          <w:tcPr>
            <w:tcW w:type="dxa" w:w="1984"/>
            <w:shd w:fill="17324D"/>
            <w:vAlign w:val="center"/>
            <w:tcMar>
              <w:top w:w="90" w:type="dxa"/>
              <w:start w:w="90" w:type="dxa"/>
              <w:bottom w:w="90" w:type="dxa"/>
              <w:end w:w="90" w:type="dxa"/>
            </w:tcMar>
          </w:tcPr>
          <w:p>
            <w:r>
              <w:rPr>
                <w:b/>
                <w:color w:val="FFFFFF"/>
                <w:sz w:val="15"/>
              </w:rPr>
              <w:t>Maturity</w:t>
            </w:r>
          </w:p>
        </w:tc>
        <w:tc>
          <w:tcPr>
            <w:tcW w:type="dxa" w:w="1814"/>
            <w:shd w:fill="17324D"/>
            <w:vAlign w:val="center"/>
            <w:tcMar>
              <w:top w:w="90" w:type="dxa"/>
              <w:start w:w="90" w:type="dxa"/>
              <w:bottom w:w="90" w:type="dxa"/>
              <w:end w:w="90" w:type="dxa"/>
            </w:tcMar>
          </w:tcPr>
          <w:p>
            <w:r>
              <w:rPr>
                <w:b/>
                <w:color w:val="FFFFFF"/>
                <w:sz w:val="15"/>
              </w:rPr>
              <w:t>Energy input</w:t>
            </w:r>
          </w:p>
        </w:tc>
        <w:tc>
          <w:tcPr>
            <w:tcW w:type="dxa" w:w="3515"/>
            <w:shd w:fill="17324D"/>
            <w:vAlign w:val="center"/>
            <w:tcMar>
              <w:top w:w="90" w:type="dxa"/>
              <w:start w:w="90" w:type="dxa"/>
              <w:bottom w:w="90" w:type="dxa"/>
              <w:end w:w="90" w:type="dxa"/>
            </w:tcMar>
          </w:tcPr>
          <w:p>
            <w:r>
              <w:rPr>
                <w:b/>
                <w:color w:val="FFFFFF"/>
                <w:sz w:val="15"/>
              </w:rPr>
              <w:t>Guadeloupe use</w:t>
            </w:r>
          </w:p>
        </w:tc>
      </w:tr>
      <w:tr>
        <w:tc>
          <w:tcPr>
            <w:tcW w:type="dxa" w:w="1928"/>
            <w:vAlign w:val="top"/>
            <w:tcMar>
              <w:top w:w="90" w:type="dxa"/>
              <w:start w:w="90" w:type="dxa"/>
              <w:bottom w:w="90" w:type="dxa"/>
              <w:end w:w="90" w:type="dxa"/>
            </w:tcMar>
          </w:tcPr>
          <w:p>
            <w:pPr>
              <w:spacing w:after="20" w:line="240" w:lineRule="auto"/>
            </w:pPr>
            <w:r>
              <w:rPr>
                <w:color w:val="17324D"/>
                <w:sz w:val="15"/>
              </w:rPr>
              <w:t>Fog mesh</w:t>
            </w:r>
          </w:p>
        </w:tc>
        <w:tc>
          <w:tcPr>
            <w:tcW w:type="dxa" w:w="1984"/>
            <w:vAlign w:val="top"/>
            <w:tcMar>
              <w:top w:w="90" w:type="dxa"/>
              <w:start w:w="90" w:type="dxa"/>
              <w:bottom w:w="90" w:type="dxa"/>
              <w:end w:w="90" w:type="dxa"/>
            </w:tcMar>
          </w:tcPr>
          <w:p>
            <w:pPr>
              <w:spacing w:after="20" w:line="240" w:lineRule="auto"/>
            </w:pPr>
            <w:r>
              <w:rPr>
                <w:color w:val="17324D"/>
                <w:sz w:val="15"/>
              </w:rPr>
              <w:t>Commercial and community proven</w:t>
            </w:r>
          </w:p>
        </w:tc>
        <w:tc>
          <w:tcPr>
            <w:tcW w:type="dxa" w:w="1814"/>
            <w:vAlign w:val="top"/>
            <w:tcMar>
              <w:top w:w="90" w:type="dxa"/>
              <w:start w:w="90" w:type="dxa"/>
              <w:bottom w:w="90" w:type="dxa"/>
              <w:end w:w="90" w:type="dxa"/>
            </w:tcMar>
          </w:tcPr>
          <w:p>
            <w:pPr>
              <w:spacing w:after="20" w:line="240" w:lineRule="auto"/>
            </w:pPr>
            <w:r>
              <w:rPr>
                <w:color w:val="17324D"/>
                <w:sz w:val="15"/>
              </w:rPr>
              <w:t>Wind and gravity</w:t>
            </w:r>
          </w:p>
        </w:tc>
        <w:tc>
          <w:tcPr>
            <w:tcW w:type="dxa" w:w="3515"/>
            <w:vAlign w:val="top"/>
            <w:tcMar>
              <w:top w:w="90" w:type="dxa"/>
              <w:start w:w="90" w:type="dxa"/>
              <w:bottom w:w="90" w:type="dxa"/>
              <w:end w:w="90" w:type="dxa"/>
            </w:tcMar>
          </w:tcPr>
          <w:p>
            <w:pPr>
              <w:spacing w:after="20" w:line="240" w:lineRule="auto"/>
            </w:pPr>
            <w:r>
              <w:rPr>
                <w:color w:val="17324D"/>
                <w:sz w:val="15"/>
              </w:rPr>
              <w:t>Mountain pilot and remote supply</w:t>
            </w:r>
          </w:p>
        </w:tc>
      </w:tr>
      <w:tr>
        <w:tc>
          <w:tcPr>
            <w:tcW w:type="dxa" w:w="1928"/>
            <w:vAlign w:val="top"/>
            <w:tcMar>
              <w:top w:w="90" w:type="dxa"/>
              <w:start w:w="90" w:type="dxa"/>
              <w:bottom w:w="90" w:type="dxa"/>
              <w:end w:w="90" w:type="dxa"/>
            </w:tcMar>
            <w:shd w:fill="F2F4F5"/>
          </w:tcPr>
          <w:p>
            <w:pPr>
              <w:spacing w:after="20" w:line="240" w:lineRule="auto"/>
            </w:pPr>
            <w:r>
              <w:rPr>
                <w:color w:val="17324D"/>
                <w:sz w:val="15"/>
              </w:rPr>
              <w:t>Radiative dew</w:t>
            </w:r>
          </w:p>
        </w:tc>
        <w:tc>
          <w:tcPr>
            <w:tcW w:type="dxa" w:w="1984"/>
            <w:vAlign w:val="top"/>
            <w:tcMar>
              <w:top w:w="90" w:type="dxa"/>
              <w:start w:w="90" w:type="dxa"/>
              <w:bottom w:w="90" w:type="dxa"/>
              <w:end w:w="90" w:type="dxa"/>
            </w:tcMar>
            <w:shd w:fill="F2F4F5"/>
          </w:tcPr>
          <w:p>
            <w:pPr>
              <w:spacing w:after="20" w:line="240" w:lineRule="auto"/>
            </w:pPr>
            <w:r>
              <w:rPr>
                <w:color w:val="17324D"/>
                <w:sz w:val="15"/>
              </w:rPr>
              <w:t>Field-demonstrated at small scale</w:t>
            </w:r>
          </w:p>
        </w:tc>
        <w:tc>
          <w:tcPr>
            <w:tcW w:type="dxa" w:w="1814"/>
            <w:vAlign w:val="top"/>
            <w:tcMar>
              <w:top w:w="90" w:type="dxa"/>
              <w:start w:w="90" w:type="dxa"/>
              <w:bottom w:w="90" w:type="dxa"/>
              <w:end w:w="90" w:type="dxa"/>
            </w:tcMar>
            <w:shd w:fill="F2F4F5"/>
          </w:tcPr>
          <w:p>
            <w:pPr>
              <w:spacing w:after="20" w:line="240" w:lineRule="auto"/>
            </w:pPr>
            <w:r>
              <w:rPr>
                <w:color w:val="17324D"/>
                <w:sz w:val="15"/>
              </w:rPr>
              <w:t>Night-sky cooling</w:t>
            </w:r>
          </w:p>
        </w:tc>
        <w:tc>
          <w:tcPr>
            <w:tcW w:type="dxa" w:w="3515"/>
            <w:vAlign w:val="top"/>
            <w:tcMar>
              <w:top w:w="90" w:type="dxa"/>
              <w:start w:w="90" w:type="dxa"/>
              <w:bottom w:w="90" w:type="dxa"/>
              <w:end w:w="90" w:type="dxa"/>
            </w:tcMar>
            <w:shd w:fill="F2F4F5"/>
          </w:tcPr>
          <w:p>
            <w:pPr>
              <w:spacing w:after="20" w:line="240" w:lineRule="auto"/>
            </w:pPr>
            <w:r>
              <w:rPr>
                <w:color w:val="17324D"/>
                <w:sz w:val="15"/>
              </w:rPr>
              <w:t>Supplementary  education  agriculture</w:t>
            </w:r>
          </w:p>
        </w:tc>
      </w:tr>
      <w:tr>
        <w:tc>
          <w:tcPr>
            <w:tcW w:type="dxa" w:w="1928"/>
            <w:vAlign w:val="top"/>
            <w:tcMar>
              <w:top w:w="90" w:type="dxa"/>
              <w:start w:w="90" w:type="dxa"/>
              <w:bottom w:w="90" w:type="dxa"/>
              <w:end w:w="90" w:type="dxa"/>
            </w:tcMar>
          </w:tcPr>
          <w:p>
            <w:pPr>
              <w:spacing w:after="20" w:line="240" w:lineRule="auto"/>
            </w:pPr>
            <w:r>
              <w:rPr>
                <w:color w:val="17324D"/>
                <w:sz w:val="15"/>
              </w:rPr>
              <w:t>Compressor AWG</w:t>
            </w:r>
          </w:p>
        </w:tc>
        <w:tc>
          <w:tcPr>
            <w:tcW w:type="dxa" w:w="1984"/>
            <w:vAlign w:val="top"/>
            <w:tcMar>
              <w:top w:w="90" w:type="dxa"/>
              <w:start w:w="90" w:type="dxa"/>
              <w:bottom w:w="90" w:type="dxa"/>
              <w:end w:w="90" w:type="dxa"/>
            </w:tcMar>
          </w:tcPr>
          <w:p>
            <w:pPr>
              <w:spacing w:after="20" w:line="240" w:lineRule="auto"/>
            </w:pPr>
            <w:r>
              <w:rPr>
                <w:color w:val="17324D"/>
                <w:sz w:val="15"/>
              </w:rPr>
              <w:t>Commercial</w:t>
            </w:r>
          </w:p>
        </w:tc>
        <w:tc>
          <w:tcPr>
            <w:tcW w:type="dxa" w:w="1814"/>
            <w:vAlign w:val="top"/>
            <w:tcMar>
              <w:top w:w="90" w:type="dxa"/>
              <w:start w:w="90" w:type="dxa"/>
              <w:bottom w:w="90" w:type="dxa"/>
              <w:end w:w="90" w:type="dxa"/>
            </w:tcMar>
          </w:tcPr>
          <w:p>
            <w:pPr>
              <w:spacing w:after="20" w:line="240" w:lineRule="auto"/>
            </w:pPr>
            <w:r>
              <w:rPr>
                <w:color w:val="17324D"/>
                <w:sz w:val="15"/>
              </w:rPr>
              <w:t>High electricity</w:t>
            </w:r>
          </w:p>
        </w:tc>
        <w:tc>
          <w:tcPr>
            <w:tcW w:type="dxa" w:w="3515"/>
            <w:vAlign w:val="top"/>
            <w:tcMar>
              <w:top w:w="90" w:type="dxa"/>
              <w:start w:w="90" w:type="dxa"/>
              <w:bottom w:w="90" w:type="dxa"/>
              <w:end w:w="90" w:type="dxa"/>
            </w:tcMar>
          </w:tcPr>
          <w:p>
            <w:pPr>
              <w:spacing w:after="20" w:line="240" w:lineRule="auto"/>
            </w:pPr>
            <w:r>
              <w:rPr>
                <w:color w:val="17324D"/>
                <w:sz w:val="15"/>
              </w:rPr>
              <w:t>Point-of-use emergency or bottled-water displacement only</w:t>
            </w:r>
          </w:p>
        </w:tc>
      </w:tr>
      <w:tr>
        <w:tc>
          <w:tcPr>
            <w:tcW w:type="dxa" w:w="1928"/>
            <w:vAlign w:val="top"/>
            <w:tcMar>
              <w:top w:w="90" w:type="dxa"/>
              <w:start w:w="90" w:type="dxa"/>
              <w:bottom w:w="90" w:type="dxa"/>
              <w:end w:w="90" w:type="dxa"/>
            </w:tcMar>
            <w:shd w:fill="F2F4F5"/>
          </w:tcPr>
          <w:p>
            <w:pPr>
              <w:spacing w:after="20" w:line="240" w:lineRule="auto"/>
            </w:pPr>
            <w:r>
              <w:rPr>
                <w:color w:val="17324D"/>
                <w:sz w:val="15"/>
              </w:rPr>
              <w:t>Desiccant or hydrogel AWG</w:t>
            </w:r>
          </w:p>
        </w:tc>
        <w:tc>
          <w:tcPr>
            <w:tcW w:type="dxa" w:w="1984"/>
            <w:vAlign w:val="top"/>
            <w:tcMar>
              <w:top w:w="90" w:type="dxa"/>
              <w:start w:w="90" w:type="dxa"/>
              <w:bottom w:w="90" w:type="dxa"/>
              <w:end w:w="90" w:type="dxa"/>
            </w:tcMar>
            <w:shd w:fill="F2F4F5"/>
          </w:tcPr>
          <w:p>
            <w:pPr>
              <w:spacing w:after="20" w:line="240" w:lineRule="auto"/>
            </w:pPr>
            <w:r>
              <w:rPr>
                <w:color w:val="17324D"/>
                <w:sz w:val="15"/>
              </w:rPr>
              <w:t>Fast-moving research and early products</w:t>
            </w:r>
          </w:p>
        </w:tc>
        <w:tc>
          <w:tcPr>
            <w:tcW w:type="dxa" w:w="1814"/>
            <w:vAlign w:val="top"/>
            <w:tcMar>
              <w:top w:w="90" w:type="dxa"/>
              <w:start w:w="90" w:type="dxa"/>
              <w:bottom w:w="90" w:type="dxa"/>
              <w:end w:w="90" w:type="dxa"/>
            </w:tcMar>
            <w:shd w:fill="F2F4F5"/>
          </w:tcPr>
          <w:p>
            <w:pPr>
              <w:spacing w:after="20" w:line="240" w:lineRule="auto"/>
            </w:pPr>
            <w:r>
              <w:rPr>
                <w:color w:val="17324D"/>
                <w:sz w:val="15"/>
              </w:rPr>
              <w:t>Solar or waste heat regeneration plus fans</w:t>
            </w:r>
          </w:p>
        </w:tc>
        <w:tc>
          <w:tcPr>
            <w:tcW w:type="dxa" w:w="3515"/>
            <w:vAlign w:val="top"/>
            <w:tcMar>
              <w:top w:w="90" w:type="dxa"/>
              <w:start w:w="90" w:type="dxa"/>
              <w:bottom w:w="90" w:type="dxa"/>
              <w:end w:w="90" w:type="dxa"/>
            </w:tcMar>
            <w:shd w:fill="F2F4F5"/>
          </w:tcPr>
          <w:p>
            <w:pPr>
              <w:spacing w:after="20" w:line="240" w:lineRule="auto"/>
            </w:pPr>
            <w:r>
              <w:rPr>
                <w:color w:val="17324D"/>
                <w:sz w:val="15"/>
              </w:rPr>
              <w:t>Monitor  do not count in current supply</w:t>
            </w:r>
          </w:p>
        </w:tc>
      </w:tr>
      <w:tr>
        <w:tc>
          <w:tcPr>
            <w:tcW w:type="dxa" w:w="1928"/>
            <w:vAlign w:val="top"/>
            <w:tcMar>
              <w:top w:w="90" w:type="dxa"/>
              <w:start w:w="90" w:type="dxa"/>
              <w:bottom w:w="90" w:type="dxa"/>
              <w:end w:w="90" w:type="dxa"/>
            </w:tcMar>
          </w:tcPr>
          <w:p>
            <w:pPr>
              <w:spacing w:after="20" w:line="240" w:lineRule="auto"/>
            </w:pPr>
            <w:r>
              <w:rPr>
                <w:color w:val="17324D"/>
                <w:sz w:val="15"/>
              </w:rPr>
              <w:t>Solar still</w:t>
            </w:r>
          </w:p>
        </w:tc>
        <w:tc>
          <w:tcPr>
            <w:tcW w:type="dxa" w:w="1984"/>
            <w:vAlign w:val="top"/>
            <w:tcMar>
              <w:top w:w="90" w:type="dxa"/>
              <w:start w:w="90" w:type="dxa"/>
              <w:bottom w:w="90" w:type="dxa"/>
              <w:end w:w="90" w:type="dxa"/>
            </w:tcMar>
          </w:tcPr>
          <w:p>
            <w:pPr>
              <w:spacing w:after="20" w:line="240" w:lineRule="auto"/>
            </w:pPr>
            <w:r>
              <w:rPr>
                <w:color w:val="17324D"/>
                <w:sz w:val="15"/>
              </w:rPr>
              <w:t>Mature simple principle</w:t>
            </w:r>
          </w:p>
        </w:tc>
        <w:tc>
          <w:tcPr>
            <w:tcW w:type="dxa" w:w="1814"/>
            <w:vAlign w:val="top"/>
            <w:tcMar>
              <w:top w:w="90" w:type="dxa"/>
              <w:start w:w="90" w:type="dxa"/>
              <w:bottom w:w="90" w:type="dxa"/>
              <w:end w:w="90" w:type="dxa"/>
            </w:tcMar>
          </w:tcPr>
          <w:p>
            <w:pPr>
              <w:spacing w:after="20" w:line="240" w:lineRule="auto"/>
            </w:pPr>
            <w:r>
              <w:rPr>
                <w:color w:val="17324D"/>
                <w:sz w:val="15"/>
              </w:rPr>
              <w:t>Sunlight</w:t>
            </w:r>
          </w:p>
        </w:tc>
        <w:tc>
          <w:tcPr>
            <w:tcW w:type="dxa" w:w="3515"/>
            <w:vAlign w:val="top"/>
            <w:tcMar>
              <w:top w:w="90" w:type="dxa"/>
              <w:start w:w="90" w:type="dxa"/>
              <w:bottom w:w="90" w:type="dxa"/>
              <w:end w:w="90" w:type="dxa"/>
            </w:tcMar>
          </w:tcPr>
          <w:p>
            <w:pPr>
              <w:spacing w:after="20" w:line="240" w:lineRule="auto"/>
            </w:pPr>
            <w:r>
              <w:rPr>
                <w:color w:val="17324D"/>
                <w:sz w:val="15"/>
              </w:rPr>
              <w:t>Household resilience and local manufacture</w:t>
            </w:r>
          </w:p>
        </w:tc>
      </w:tr>
      <w:tr>
        <w:tc>
          <w:tcPr>
            <w:tcW w:type="dxa" w:w="1928"/>
            <w:vAlign w:val="top"/>
            <w:tcMar>
              <w:top w:w="90" w:type="dxa"/>
              <w:start w:w="90" w:type="dxa"/>
              <w:bottom w:w="90" w:type="dxa"/>
              <w:end w:w="90" w:type="dxa"/>
            </w:tcMar>
            <w:shd w:fill="F2F4F5"/>
          </w:tcPr>
          <w:p>
            <w:pPr>
              <w:spacing w:after="20" w:line="240" w:lineRule="auto"/>
            </w:pPr>
            <w:r>
              <w:rPr>
                <w:color w:val="17324D"/>
                <w:sz w:val="15"/>
              </w:rPr>
              <w:t>PV-driven SWRO</w:t>
            </w:r>
          </w:p>
        </w:tc>
        <w:tc>
          <w:tcPr>
            <w:tcW w:type="dxa" w:w="1984"/>
            <w:vAlign w:val="top"/>
            <w:tcMar>
              <w:top w:w="90" w:type="dxa"/>
              <w:start w:w="90" w:type="dxa"/>
              <w:bottom w:w="90" w:type="dxa"/>
              <w:end w:w="90" w:type="dxa"/>
            </w:tcMar>
            <w:shd w:fill="F2F4F5"/>
          </w:tcPr>
          <w:p>
            <w:pPr>
              <w:spacing w:after="20" w:line="240" w:lineRule="auto"/>
            </w:pPr>
            <w:r>
              <w:rPr>
                <w:color w:val="17324D"/>
                <w:sz w:val="15"/>
              </w:rPr>
              <w:t>Commercial and scalable</w:t>
            </w:r>
          </w:p>
        </w:tc>
        <w:tc>
          <w:tcPr>
            <w:tcW w:type="dxa" w:w="1814"/>
            <w:vAlign w:val="top"/>
            <w:tcMar>
              <w:top w:w="90" w:type="dxa"/>
              <w:start w:w="90" w:type="dxa"/>
              <w:bottom w:w="90" w:type="dxa"/>
              <w:end w:w="90" w:type="dxa"/>
            </w:tcMar>
            <w:shd w:fill="F2F4F5"/>
          </w:tcPr>
          <w:p>
            <w:pPr>
              <w:spacing w:after="20" w:line="240" w:lineRule="auto"/>
            </w:pPr>
            <w:r>
              <w:rPr>
                <w:color w:val="17324D"/>
                <w:sz w:val="15"/>
              </w:rPr>
              <w:t>Solar electricity with pressure recovery</w:t>
            </w:r>
          </w:p>
        </w:tc>
        <w:tc>
          <w:tcPr>
            <w:tcW w:type="dxa" w:w="3515"/>
            <w:vAlign w:val="top"/>
            <w:tcMar>
              <w:top w:w="90" w:type="dxa"/>
              <w:start w:w="90" w:type="dxa"/>
              <w:bottom w:w="90" w:type="dxa"/>
              <w:end w:w="90" w:type="dxa"/>
            </w:tcMar>
            <w:shd w:fill="F2F4F5"/>
          </w:tcPr>
          <w:p>
            <w:pPr>
              <w:spacing w:after="20" w:line="240" w:lineRule="auto"/>
            </w:pPr>
            <w:r>
              <w:rPr>
                <w:color w:val="17324D"/>
                <w:sz w:val="15"/>
              </w:rPr>
              <w:t>Primary bulk-water choice</w:t>
            </w:r>
          </w:p>
        </w:tc>
      </w:tr>
      <w:tr>
        <w:tc>
          <w:tcPr>
            <w:tcW w:type="dxa" w:w="1928"/>
            <w:vAlign w:val="top"/>
            <w:tcMar>
              <w:top w:w="90" w:type="dxa"/>
              <w:start w:w="90" w:type="dxa"/>
              <w:bottom w:w="90" w:type="dxa"/>
              <w:end w:w="90" w:type="dxa"/>
            </w:tcMar>
          </w:tcPr>
          <w:p>
            <w:pPr>
              <w:spacing w:after="20" w:line="240" w:lineRule="auto"/>
            </w:pPr>
            <w:r>
              <w:rPr>
                <w:color w:val="17324D"/>
                <w:sz w:val="15"/>
              </w:rPr>
              <w:t>Membrane distillation</w:t>
            </w:r>
          </w:p>
        </w:tc>
        <w:tc>
          <w:tcPr>
            <w:tcW w:type="dxa" w:w="1984"/>
            <w:vAlign w:val="top"/>
            <w:tcMar>
              <w:top w:w="90" w:type="dxa"/>
              <w:start w:w="90" w:type="dxa"/>
              <w:bottom w:w="90" w:type="dxa"/>
              <w:end w:w="90" w:type="dxa"/>
            </w:tcMar>
          </w:tcPr>
          <w:p>
            <w:pPr>
              <w:spacing w:after="20" w:line="240" w:lineRule="auto"/>
            </w:pPr>
            <w:r>
              <w:rPr>
                <w:color w:val="17324D"/>
                <w:sz w:val="15"/>
              </w:rPr>
              <w:t>Commercial niches and pilots</w:t>
            </w:r>
          </w:p>
        </w:tc>
        <w:tc>
          <w:tcPr>
            <w:tcW w:type="dxa" w:w="1814"/>
            <w:vAlign w:val="top"/>
            <w:tcMar>
              <w:top w:w="90" w:type="dxa"/>
              <w:start w:w="90" w:type="dxa"/>
              <w:bottom w:w="90" w:type="dxa"/>
              <w:end w:w="90" w:type="dxa"/>
            </w:tcMar>
          </w:tcPr>
          <w:p>
            <w:pPr>
              <w:spacing w:after="20" w:line="240" w:lineRule="auto"/>
            </w:pPr>
            <w:r>
              <w:rPr>
                <w:color w:val="17324D"/>
                <w:sz w:val="15"/>
              </w:rPr>
              <w:t>Low-grade heat plus pumping</w:t>
            </w:r>
          </w:p>
        </w:tc>
        <w:tc>
          <w:tcPr>
            <w:tcW w:type="dxa" w:w="3515"/>
            <w:vAlign w:val="top"/>
            <w:tcMar>
              <w:top w:w="90" w:type="dxa"/>
              <w:start w:w="90" w:type="dxa"/>
              <w:bottom w:w="90" w:type="dxa"/>
              <w:end w:w="90" w:type="dxa"/>
            </w:tcMar>
          </w:tcPr>
          <w:p>
            <w:pPr>
              <w:spacing w:after="20" w:line="240" w:lineRule="auto"/>
            </w:pPr>
            <w:r>
              <w:rPr>
                <w:color w:val="17324D"/>
                <w:sz w:val="15"/>
              </w:rPr>
              <w:t>Brine concentration and waste-heat recovery pilot</w:t>
            </w:r>
          </w:p>
        </w:tc>
      </w:tr>
    </w:tbl>
    <w:p>
      <w:pPr>
        <w:spacing w:after="0"/>
      </w:pPr>
    </w:p>
    <w:p>
      <w:pPr>
        <w:pStyle w:val="Heading2"/>
      </w:pPr>
      <w:r>
        <w:t>Atmospheric water generators</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1701"/>
            <w:shd w:fill="17324D"/>
            <w:vAlign w:val="center"/>
            <w:tcMar>
              <w:top w:w="90" w:type="dxa"/>
              <w:start w:w="90" w:type="dxa"/>
              <w:bottom w:w="90" w:type="dxa"/>
              <w:end w:w="90" w:type="dxa"/>
            </w:tcMar>
          </w:tcPr>
          <w:p>
            <w:r>
              <w:rPr>
                <w:b/>
                <w:color w:val="FFFFFF"/>
                <w:sz w:val="15"/>
              </w:rPr>
              <w:t>Supplier</w:t>
            </w:r>
          </w:p>
        </w:tc>
        <w:tc>
          <w:tcPr>
            <w:tcW w:type="dxa" w:w="1474"/>
            <w:shd w:fill="17324D"/>
            <w:vAlign w:val="center"/>
            <w:tcMar>
              <w:top w:w="90" w:type="dxa"/>
              <w:start w:w="90" w:type="dxa"/>
              <w:bottom w:w="90" w:type="dxa"/>
              <w:end w:w="90" w:type="dxa"/>
            </w:tcMar>
          </w:tcPr>
          <w:p>
            <w:r>
              <w:rPr>
                <w:b/>
                <w:color w:val="FFFFFF"/>
                <w:sz w:val="15"/>
              </w:rPr>
              <w:t>Origin</w:t>
            </w:r>
          </w:p>
        </w:tc>
        <w:tc>
          <w:tcPr>
            <w:tcW w:type="dxa" w:w="1928"/>
            <w:shd w:fill="17324D"/>
            <w:vAlign w:val="center"/>
            <w:tcMar>
              <w:top w:w="90" w:type="dxa"/>
              <w:start w:w="90" w:type="dxa"/>
              <w:bottom w:w="90" w:type="dxa"/>
              <w:end w:w="90" w:type="dxa"/>
            </w:tcMar>
          </w:tcPr>
          <w:p>
            <w:r>
              <w:rPr>
                <w:b/>
                <w:color w:val="FFFFFF"/>
                <w:sz w:val="15"/>
              </w:rPr>
              <w:t>Example</w:t>
            </w:r>
          </w:p>
        </w:tc>
        <w:tc>
          <w:tcPr>
            <w:tcW w:type="dxa" w:w="2154"/>
            <w:shd w:fill="17324D"/>
            <w:vAlign w:val="center"/>
            <w:tcMar>
              <w:top w:w="90" w:type="dxa"/>
              <w:start w:w="90" w:type="dxa"/>
              <w:bottom w:w="90" w:type="dxa"/>
              <w:end w:w="90" w:type="dxa"/>
            </w:tcMar>
          </w:tcPr>
          <w:p>
            <w:r>
              <w:rPr>
                <w:b/>
                <w:color w:val="FFFFFF"/>
                <w:sz w:val="15"/>
              </w:rPr>
              <w:t>Output and energy</w:t>
            </w:r>
          </w:p>
        </w:tc>
        <w:tc>
          <w:tcPr>
            <w:tcW w:type="dxa" w:w="1984"/>
            <w:shd w:fill="17324D"/>
            <w:vAlign w:val="center"/>
            <w:tcMar>
              <w:top w:w="90" w:type="dxa"/>
              <w:start w:w="90" w:type="dxa"/>
              <w:bottom w:w="90" w:type="dxa"/>
              <w:end w:w="90" w:type="dxa"/>
            </w:tcMar>
          </w:tcPr>
          <w:p>
            <w:r>
              <w:rPr>
                <w:b/>
                <w:color w:val="FFFFFF"/>
                <w:sz w:val="15"/>
              </w:rPr>
              <w:t>Decision</w:t>
            </w:r>
          </w:p>
        </w:tc>
      </w:tr>
      <w:tr>
        <w:tc>
          <w:tcPr>
            <w:tcW w:type="dxa" w:w="1701"/>
            <w:vAlign w:val="top"/>
            <w:tcMar>
              <w:top w:w="90" w:type="dxa"/>
              <w:start w:w="90" w:type="dxa"/>
              <w:bottom w:w="90" w:type="dxa"/>
              <w:end w:w="90" w:type="dxa"/>
            </w:tcMar>
          </w:tcPr>
          <w:p>
            <w:pPr>
              <w:spacing w:after="20" w:line="240" w:lineRule="auto"/>
            </w:pPr>
            <w:r>
              <w:rPr>
                <w:color w:val="17324D"/>
                <w:sz w:val="15"/>
              </w:rPr>
              <w:t>GENAQ</w:t>
            </w:r>
          </w:p>
        </w:tc>
        <w:tc>
          <w:tcPr>
            <w:tcW w:type="dxa" w:w="1474"/>
            <w:vAlign w:val="top"/>
            <w:tcMar>
              <w:top w:w="90" w:type="dxa"/>
              <w:start w:w="90" w:type="dxa"/>
              <w:bottom w:w="90" w:type="dxa"/>
              <w:end w:w="90" w:type="dxa"/>
            </w:tcMar>
          </w:tcPr>
          <w:p>
            <w:pPr>
              <w:spacing w:after="20" w:line="240" w:lineRule="auto"/>
            </w:pPr>
            <w:r>
              <w:rPr>
                <w:color w:val="17324D"/>
                <w:sz w:val="15"/>
              </w:rPr>
              <w:t>Spain</w:t>
            </w:r>
          </w:p>
        </w:tc>
        <w:tc>
          <w:tcPr>
            <w:tcW w:type="dxa" w:w="1928"/>
            <w:vAlign w:val="top"/>
            <w:tcMar>
              <w:top w:w="90" w:type="dxa"/>
              <w:start w:w="90" w:type="dxa"/>
              <w:bottom w:w="90" w:type="dxa"/>
              <w:end w:w="90" w:type="dxa"/>
            </w:tcMar>
          </w:tcPr>
          <w:p>
            <w:pPr>
              <w:spacing w:after="20" w:line="240" w:lineRule="auto"/>
            </w:pPr>
            <w:r>
              <w:rPr>
                <w:color w:val="17324D"/>
                <w:sz w:val="15"/>
              </w:rPr>
              <w:t>Nimbus N500</w:t>
            </w:r>
          </w:p>
        </w:tc>
        <w:tc>
          <w:tcPr>
            <w:tcW w:type="dxa" w:w="2154"/>
            <w:vAlign w:val="top"/>
            <w:tcMar>
              <w:top w:w="90" w:type="dxa"/>
              <w:start w:w="90" w:type="dxa"/>
              <w:bottom w:w="90" w:type="dxa"/>
              <w:end w:w="90" w:type="dxa"/>
            </w:tcMar>
          </w:tcPr>
          <w:p>
            <w:pPr>
              <w:spacing w:after="20" w:line="240" w:lineRule="auto"/>
            </w:pPr>
            <w:r>
              <w:rPr>
                <w:color w:val="17324D"/>
                <w:sz w:val="15"/>
              </w:rPr>
              <w:t>506 L/day  0.24 kWh/L</w:t>
            </w:r>
          </w:p>
        </w:tc>
        <w:tc>
          <w:tcPr>
            <w:tcW w:type="dxa" w:w="1984"/>
            <w:vAlign w:val="top"/>
            <w:tcMar>
              <w:top w:w="90" w:type="dxa"/>
              <w:start w:w="90" w:type="dxa"/>
              <w:bottom w:w="90" w:type="dxa"/>
              <w:end w:w="90" w:type="dxa"/>
            </w:tcMar>
          </w:tcPr>
          <w:p>
            <w:pPr>
              <w:spacing w:after="20" w:line="240" w:lineRule="auto"/>
            </w:pPr>
            <w:r>
              <w:rPr>
                <w:color w:val="17324D"/>
                <w:sz w:val="15"/>
              </w:rPr>
              <w:t>EU-first emergency pilot</w:t>
            </w:r>
          </w:p>
        </w:tc>
      </w:tr>
      <w:tr>
        <w:tc>
          <w:tcPr>
            <w:tcW w:type="dxa" w:w="1701"/>
            <w:vAlign w:val="top"/>
            <w:tcMar>
              <w:top w:w="90" w:type="dxa"/>
              <w:start w:w="90" w:type="dxa"/>
              <w:bottom w:w="90" w:type="dxa"/>
              <w:end w:w="90" w:type="dxa"/>
            </w:tcMar>
            <w:shd w:fill="F2F4F5"/>
          </w:tcPr>
          <w:p>
            <w:pPr>
              <w:spacing w:after="20" w:line="240" w:lineRule="auto"/>
            </w:pPr>
            <w:r>
              <w:rPr>
                <w:color w:val="17324D"/>
                <w:sz w:val="15"/>
              </w:rPr>
              <w:t>GENAQ</w:t>
            </w:r>
          </w:p>
        </w:tc>
        <w:tc>
          <w:tcPr>
            <w:tcW w:type="dxa" w:w="1474"/>
            <w:vAlign w:val="top"/>
            <w:tcMar>
              <w:top w:w="90" w:type="dxa"/>
              <w:start w:w="90" w:type="dxa"/>
              <w:bottom w:w="90" w:type="dxa"/>
              <w:end w:w="90" w:type="dxa"/>
            </w:tcMar>
            <w:shd w:fill="F2F4F5"/>
          </w:tcPr>
          <w:p>
            <w:pPr>
              <w:spacing w:after="20" w:line="240" w:lineRule="auto"/>
            </w:pPr>
            <w:r>
              <w:rPr>
                <w:color w:val="17324D"/>
                <w:sz w:val="15"/>
              </w:rPr>
              <w:t>Spain</w:t>
            </w:r>
          </w:p>
        </w:tc>
        <w:tc>
          <w:tcPr>
            <w:tcW w:type="dxa" w:w="1928"/>
            <w:vAlign w:val="top"/>
            <w:tcMar>
              <w:top w:w="90" w:type="dxa"/>
              <w:start w:w="90" w:type="dxa"/>
              <w:bottom w:w="90" w:type="dxa"/>
              <w:end w:w="90" w:type="dxa"/>
            </w:tcMar>
            <w:shd w:fill="F2F4F5"/>
          </w:tcPr>
          <w:p>
            <w:pPr>
              <w:spacing w:after="20" w:line="240" w:lineRule="auto"/>
            </w:pPr>
            <w:r>
              <w:rPr>
                <w:color w:val="17324D"/>
                <w:sz w:val="15"/>
              </w:rPr>
              <w:t>Nimbus N4500</w:t>
            </w:r>
          </w:p>
        </w:tc>
        <w:tc>
          <w:tcPr>
            <w:tcW w:type="dxa" w:w="2154"/>
            <w:vAlign w:val="top"/>
            <w:tcMar>
              <w:top w:w="90" w:type="dxa"/>
              <w:start w:w="90" w:type="dxa"/>
              <w:bottom w:w="90" w:type="dxa"/>
              <w:end w:w="90" w:type="dxa"/>
            </w:tcMar>
            <w:shd w:fill="F2F4F5"/>
          </w:tcPr>
          <w:p>
            <w:pPr>
              <w:spacing w:after="20" w:line="240" w:lineRule="auto"/>
            </w:pPr>
            <w:r>
              <w:rPr>
                <w:color w:val="17324D"/>
                <w:sz w:val="15"/>
              </w:rPr>
              <w:t>4,445 L/day  0.22 kWh/L</w:t>
            </w:r>
          </w:p>
        </w:tc>
        <w:tc>
          <w:tcPr>
            <w:tcW w:type="dxa" w:w="1984"/>
            <w:vAlign w:val="top"/>
            <w:tcMar>
              <w:top w:w="90" w:type="dxa"/>
              <w:start w:w="90" w:type="dxa"/>
              <w:bottom w:w="90" w:type="dxa"/>
              <w:end w:w="90" w:type="dxa"/>
            </w:tcMar>
            <w:shd w:fill="F2F4F5"/>
          </w:tcPr>
          <w:p>
            <w:pPr>
              <w:spacing w:after="20" w:line="240" w:lineRule="auto"/>
            </w:pPr>
            <w:r>
              <w:rPr>
                <w:color w:val="17324D"/>
                <w:sz w:val="15"/>
              </w:rPr>
              <w:t>Not bulk due to energy</w:t>
            </w:r>
          </w:p>
        </w:tc>
      </w:tr>
      <w:tr>
        <w:tc>
          <w:tcPr>
            <w:tcW w:type="dxa" w:w="1701"/>
            <w:vAlign w:val="top"/>
            <w:tcMar>
              <w:top w:w="90" w:type="dxa"/>
              <w:start w:w="90" w:type="dxa"/>
              <w:bottom w:w="90" w:type="dxa"/>
              <w:end w:w="90" w:type="dxa"/>
            </w:tcMar>
          </w:tcPr>
          <w:p>
            <w:pPr>
              <w:spacing w:after="20" w:line="240" w:lineRule="auto"/>
            </w:pPr>
            <w:r>
              <w:rPr>
                <w:color w:val="17324D"/>
                <w:sz w:val="15"/>
              </w:rPr>
              <w:t>GENAQ</w:t>
            </w:r>
          </w:p>
        </w:tc>
        <w:tc>
          <w:tcPr>
            <w:tcW w:type="dxa" w:w="1474"/>
            <w:vAlign w:val="top"/>
            <w:tcMar>
              <w:top w:w="90" w:type="dxa"/>
              <w:start w:w="90" w:type="dxa"/>
              <w:bottom w:w="90" w:type="dxa"/>
              <w:end w:w="90" w:type="dxa"/>
            </w:tcMar>
          </w:tcPr>
          <w:p>
            <w:pPr>
              <w:spacing w:after="20" w:line="240" w:lineRule="auto"/>
            </w:pPr>
            <w:r>
              <w:rPr>
                <w:color w:val="17324D"/>
                <w:sz w:val="15"/>
              </w:rPr>
              <w:t>Spain</w:t>
            </w:r>
          </w:p>
        </w:tc>
        <w:tc>
          <w:tcPr>
            <w:tcW w:type="dxa" w:w="1928"/>
            <w:vAlign w:val="top"/>
            <w:tcMar>
              <w:top w:w="90" w:type="dxa"/>
              <w:start w:w="90" w:type="dxa"/>
              <w:bottom w:w="90" w:type="dxa"/>
              <w:end w:w="90" w:type="dxa"/>
            </w:tcMar>
          </w:tcPr>
          <w:p>
            <w:pPr>
              <w:spacing w:after="20" w:line="240" w:lineRule="auto"/>
            </w:pPr>
            <w:r>
              <w:rPr>
                <w:color w:val="17324D"/>
                <w:sz w:val="15"/>
              </w:rPr>
              <w:t>Cumulus C5000</w:t>
            </w:r>
          </w:p>
        </w:tc>
        <w:tc>
          <w:tcPr>
            <w:tcW w:type="dxa" w:w="2154"/>
            <w:vAlign w:val="top"/>
            <w:tcMar>
              <w:top w:w="90" w:type="dxa"/>
              <w:start w:w="90" w:type="dxa"/>
              <w:bottom w:w="90" w:type="dxa"/>
              <w:end w:w="90" w:type="dxa"/>
            </w:tcMar>
          </w:tcPr>
          <w:p>
            <w:pPr>
              <w:spacing w:after="20" w:line="240" w:lineRule="auto"/>
            </w:pPr>
            <w:r>
              <w:rPr>
                <w:color w:val="17324D"/>
                <w:sz w:val="15"/>
              </w:rPr>
              <w:t>5,091 L/day  0.26 kWh/L</w:t>
            </w:r>
          </w:p>
        </w:tc>
        <w:tc>
          <w:tcPr>
            <w:tcW w:type="dxa" w:w="1984"/>
            <w:vAlign w:val="top"/>
            <w:tcMar>
              <w:top w:w="90" w:type="dxa"/>
              <w:start w:w="90" w:type="dxa"/>
              <w:bottom w:w="90" w:type="dxa"/>
              <w:end w:w="90" w:type="dxa"/>
            </w:tcMar>
          </w:tcPr>
          <w:p>
            <w:pPr>
              <w:spacing w:after="20" w:line="240" w:lineRule="auto"/>
            </w:pPr>
            <w:r>
              <w:rPr>
                <w:color w:val="17324D"/>
                <w:sz w:val="15"/>
              </w:rPr>
              <w:t>Mobile emergency niche</w:t>
            </w:r>
          </w:p>
        </w:tc>
      </w:tr>
      <w:tr>
        <w:tc>
          <w:tcPr>
            <w:tcW w:type="dxa" w:w="1701"/>
            <w:vAlign w:val="top"/>
            <w:tcMar>
              <w:top w:w="90" w:type="dxa"/>
              <w:start w:w="90" w:type="dxa"/>
              <w:bottom w:w="90" w:type="dxa"/>
              <w:end w:w="90" w:type="dxa"/>
            </w:tcMar>
            <w:shd w:fill="F2F4F5"/>
          </w:tcPr>
          <w:p>
            <w:pPr>
              <w:spacing w:after="20" w:line="240" w:lineRule="auto"/>
            </w:pPr>
            <w:r>
              <w:rPr>
                <w:color w:val="17324D"/>
                <w:sz w:val="15"/>
              </w:rPr>
              <w:t>Watergen</w:t>
            </w:r>
          </w:p>
        </w:tc>
        <w:tc>
          <w:tcPr>
            <w:tcW w:type="dxa" w:w="1474"/>
            <w:vAlign w:val="top"/>
            <w:tcMar>
              <w:top w:w="90" w:type="dxa"/>
              <w:start w:w="90" w:type="dxa"/>
              <w:bottom w:w="90" w:type="dxa"/>
              <w:end w:w="90" w:type="dxa"/>
            </w:tcMar>
            <w:shd w:fill="F2F4F5"/>
          </w:tcPr>
          <w:p>
            <w:pPr>
              <w:spacing w:after="20" w:line="240" w:lineRule="auto"/>
            </w:pPr>
            <w:r>
              <w:rPr>
                <w:color w:val="17324D"/>
                <w:sz w:val="15"/>
              </w:rPr>
              <w:t>Israel</w:t>
            </w:r>
          </w:p>
        </w:tc>
        <w:tc>
          <w:tcPr>
            <w:tcW w:type="dxa" w:w="1928"/>
            <w:vAlign w:val="top"/>
            <w:tcMar>
              <w:top w:w="90" w:type="dxa"/>
              <w:start w:w="90" w:type="dxa"/>
              <w:bottom w:w="90" w:type="dxa"/>
              <w:end w:w="90" w:type="dxa"/>
            </w:tcMar>
            <w:shd w:fill="F2F4F5"/>
          </w:tcPr>
          <w:p>
            <w:pPr>
              <w:spacing w:after="20" w:line="240" w:lineRule="auto"/>
            </w:pPr>
            <w:r>
              <w:rPr>
                <w:color w:val="17324D"/>
                <w:sz w:val="15"/>
              </w:rPr>
              <w:t>GEN-M Pro and GEN-L</w:t>
            </w:r>
          </w:p>
        </w:tc>
        <w:tc>
          <w:tcPr>
            <w:tcW w:type="dxa" w:w="2154"/>
            <w:vAlign w:val="top"/>
            <w:tcMar>
              <w:top w:w="90" w:type="dxa"/>
              <w:start w:w="90" w:type="dxa"/>
              <w:bottom w:w="90" w:type="dxa"/>
              <w:end w:w="90" w:type="dxa"/>
            </w:tcMar>
            <w:shd w:fill="F2F4F5"/>
          </w:tcPr>
          <w:p>
            <w:pPr>
              <w:spacing w:after="20" w:line="240" w:lineRule="auto"/>
            </w:pPr>
            <w:r>
              <w:rPr>
                <w:color w:val="17324D"/>
                <w:sz w:val="15"/>
              </w:rPr>
              <w:t>Up to about 1,000 and 6,000 L/day vendor ratings</w:t>
            </w:r>
          </w:p>
        </w:tc>
        <w:tc>
          <w:tcPr>
            <w:tcW w:type="dxa" w:w="1984"/>
            <w:vAlign w:val="top"/>
            <w:tcMar>
              <w:top w:w="90" w:type="dxa"/>
              <w:start w:w="90" w:type="dxa"/>
              <w:bottom w:w="90" w:type="dxa"/>
              <w:end w:w="90" w:type="dxa"/>
            </w:tcMar>
            <w:shd w:fill="F2F4F5"/>
          </w:tcPr>
          <w:p>
            <w:pPr>
              <w:spacing w:after="20" w:line="240" w:lineRule="auto"/>
            </w:pPr>
            <w:r>
              <w:rPr>
                <w:color w:val="17324D"/>
                <w:sz w:val="15"/>
              </w:rPr>
              <w:t>Non-EU comparison  verify climate curve</w:t>
            </w:r>
          </w:p>
        </w:tc>
      </w:tr>
      <w:tr>
        <w:tc>
          <w:tcPr>
            <w:tcW w:type="dxa" w:w="1701"/>
            <w:vAlign w:val="top"/>
            <w:tcMar>
              <w:top w:w="90" w:type="dxa"/>
              <w:start w:w="90" w:type="dxa"/>
              <w:bottom w:w="90" w:type="dxa"/>
              <w:end w:w="90" w:type="dxa"/>
            </w:tcMar>
          </w:tcPr>
          <w:p>
            <w:pPr>
              <w:spacing w:after="20" w:line="240" w:lineRule="auto"/>
            </w:pPr>
            <w:r>
              <w:rPr>
                <w:color w:val="17324D"/>
                <w:sz w:val="15"/>
              </w:rPr>
              <w:t>Heaven Springs or FND</w:t>
            </w:r>
          </w:p>
        </w:tc>
        <w:tc>
          <w:tcPr>
            <w:tcW w:type="dxa" w:w="1474"/>
            <w:vAlign w:val="top"/>
            <w:tcMar>
              <w:top w:w="90" w:type="dxa"/>
              <w:start w:w="90" w:type="dxa"/>
              <w:bottom w:w="90" w:type="dxa"/>
              <w:end w:w="90" w:type="dxa"/>
            </w:tcMar>
          </w:tcPr>
          <w:p>
            <w:pPr>
              <w:spacing w:after="20" w:line="240" w:lineRule="auto"/>
            </w:pPr>
            <w:r>
              <w:rPr>
                <w:color w:val="17324D"/>
                <w:sz w:val="15"/>
              </w:rPr>
              <w:t>China</w:t>
            </w:r>
          </w:p>
        </w:tc>
        <w:tc>
          <w:tcPr>
            <w:tcW w:type="dxa" w:w="1928"/>
            <w:vAlign w:val="top"/>
            <w:tcMar>
              <w:top w:w="90" w:type="dxa"/>
              <w:start w:w="90" w:type="dxa"/>
              <w:bottom w:w="90" w:type="dxa"/>
              <w:end w:w="90" w:type="dxa"/>
            </w:tcMar>
          </w:tcPr>
          <w:p>
            <w:pPr>
              <w:spacing w:after="20" w:line="240" w:lineRule="auto"/>
            </w:pPr>
            <w:r>
              <w:rPr>
                <w:color w:val="17324D"/>
                <w:sz w:val="15"/>
              </w:rPr>
              <w:t>Industrial AWG</w:t>
            </w:r>
          </w:p>
        </w:tc>
        <w:tc>
          <w:tcPr>
            <w:tcW w:type="dxa" w:w="2154"/>
            <w:vAlign w:val="top"/>
            <w:tcMar>
              <w:top w:w="90" w:type="dxa"/>
              <w:start w:w="90" w:type="dxa"/>
              <w:bottom w:w="90" w:type="dxa"/>
              <w:end w:w="90" w:type="dxa"/>
            </w:tcMar>
          </w:tcPr>
          <w:p>
            <w:pPr>
              <w:spacing w:after="20" w:line="240" w:lineRule="auto"/>
            </w:pPr>
            <w:r>
              <w:rPr>
                <w:color w:val="17324D"/>
                <w:sz w:val="15"/>
              </w:rPr>
              <w:t>Vendor family around 500–5,000 L/day</w:t>
            </w:r>
          </w:p>
        </w:tc>
        <w:tc>
          <w:tcPr>
            <w:tcW w:type="dxa" w:w="1984"/>
            <w:vAlign w:val="top"/>
            <w:tcMar>
              <w:top w:w="90" w:type="dxa"/>
              <w:start w:w="90" w:type="dxa"/>
              <w:bottom w:w="90" w:type="dxa"/>
              <w:end w:w="90" w:type="dxa"/>
            </w:tcMar>
          </w:tcPr>
          <w:p>
            <w:pPr>
              <w:spacing w:after="20" w:line="240" w:lineRule="auto"/>
            </w:pPr>
            <w:r>
              <w:rPr>
                <w:color w:val="17324D"/>
                <w:sz w:val="15"/>
              </w:rPr>
              <w:t>China benchmark lane  full FAT and potable compliance</w:t>
            </w:r>
          </w:p>
        </w:tc>
      </w:tr>
      <w:tr>
        <w:tc>
          <w:tcPr>
            <w:tcW w:type="dxa" w:w="1701"/>
            <w:vAlign w:val="top"/>
            <w:tcMar>
              <w:top w:w="90" w:type="dxa"/>
              <w:start w:w="90" w:type="dxa"/>
              <w:bottom w:w="90" w:type="dxa"/>
              <w:end w:w="90" w:type="dxa"/>
            </w:tcMar>
            <w:shd w:fill="F2F4F5"/>
          </w:tcPr>
          <w:p>
            <w:pPr>
              <w:spacing w:after="20" w:line="240" w:lineRule="auto"/>
            </w:pPr>
            <w:r>
              <w:rPr>
                <w:color w:val="17324D"/>
                <w:sz w:val="15"/>
              </w:rPr>
              <w:t>SOURCE Hydropanel</w:t>
            </w:r>
          </w:p>
        </w:tc>
        <w:tc>
          <w:tcPr>
            <w:tcW w:type="dxa" w:w="1474"/>
            <w:vAlign w:val="top"/>
            <w:tcMar>
              <w:top w:w="90" w:type="dxa"/>
              <w:start w:w="90" w:type="dxa"/>
              <w:bottom w:w="90" w:type="dxa"/>
              <w:end w:w="90" w:type="dxa"/>
            </w:tcMar>
            <w:shd w:fill="F2F4F5"/>
          </w:tcPr>
          <w:p>
            <w:pPr>
              <w:spacing w:after="20" w:line="240" w:lineRule="auto"/>
            </w:pPr>
            <w:r>
              <w:rPr>
                <w:color w:val="17324D"/>
                <w:sz w:val="15"/>
              </w:rPr>
              <w:t>United States</w:t>
            </w:r>
          </w:p>
        </w:tc>
        <w:tc>
          <w:tcPr>
            <w:tcW w:type="dxa" w:w="1928"/>
            <w:vAlign w:val="top"/>
            <w:tcMar>
              <w:top w:w="90" w:type="dxa"/>
              <w:start w:w="90" w:type="dxa"/>
              <w:bottom w:w="90" w:type="dxa"/>
              <w:end w:w="90" w:type="dxa"/>
            </w:tcMar>
            <w:shd w:fill="F2F4F5"/>
          </w:tcPr>
          <w:p>
            <w:pPr>
              <w:spacing w:after="20" w:line="240" w:lineRule="auto"/>
            </w:pPr>
            <w:r>
              <w:rPr>
                <w:color w:val="17324D"/>
                <w:sz w:val="15"/>
              </w:rPr>
              <w:t>Self-contained solar panel</w:t>
            </w:r>
          </w:p>
        </w:tc>
        <w:tc>
          <w:tcPr>
            <w:tcW w:type="dxa" w:w="2154"/>
            <w:vAlign w:val="top"/>
            <w:tcMar>
              <w:top w:w="90" w:type="dxa"/>
              <w:start w:w="90" w:type="dxa"/>
              <w:bottom w:w="90" w:type="dxa"/>
              <w:end w:w="90" w:type="dxa"/>
            </w:tcMar>
            <w:shd w:fill="F2F4F5"/>
          </w:tcPr>
          <w:p>
            <w:pPr>
              <w:spacing w:after="20" w:line="240" w:lineRule="auto"/>
            </w:pPr>
            <w:r>
              <w:rPr>
                <w:color w:val="17324D"/>
                <w:sz w:val="15"/>
              </w:rPr>
              <w:t>A few litres/day class</w:t>
            </w:r>
          </w:p>
        </w:tc>
        <w:tc>
          <w:tcPr>
            <w:tcW w:type="dxa" w:w="1984"/>
            <w:vAlign w:val="top"/>
            <w:tcMar>
              <w:top w:w="90" w:type="dxa"/>
              <w:start w:w="90" w:type="dxa"/>
              <w:bottom w:w="90" w:type="dxa"/>
              <w:end w:w="90" w:type="dxa"/>
            </w:tcMar>
            <w:shd w:fill="F2F4F5"/>
          </w:tcPr>
          <w:p>
            <w:pPr>
              <w:spacing w:after="20" w:line="240" w:lineRule="auto"/>
            </w:pPr>
            <w:r>
              <w:rPr>
                <w:color w:val="17324D"/>
                <w:sz w:val="15"/>
              </w:rPr>
              <w:t>Remote point use  not municipal</w:t>
            </w:r>
          </w:p>
        </w:tc>
      </w:tr>
    </w:tbl>
    <w:p>
      <w:pPr>
        <w:spacing w:after="0"/>
      </w:pPr>
    </w:p>
    <w:p>
      <w:r>
        <w:t>At 0.22 kWh/L, producing 120 m³/day requires about 26,400 kWh/day. The RO-core comparison at 2.5 kWh/m³ is about 300 kWh/day, before common intake and finishing loads. Even allowing for different boundaries, AWG is not a rational bulk substitute when seawater is beside the site.</w:t>
      </w:r>
    </w:p>
    <w:p>
      <w:pPr>
        <w:pStyle w:val="Heading1"/>
      </w:pPr>
      <w:r>
        <w:t>REFLUX IT recovery architecture</w:t>
      </w:r>
    </w:p>
    <w:p>
      <w:r>
        <w:t>REFLUX IT should mean measured recirculation with a defined contaminant boundary. Every loop must state what is recovered, what accumulates and where the final reject goes. The objective is fewer imported kilowatt-hours, fewer litres of new feed, longer component life and useful co-products without compromising drinking-water safety.</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1361"/>
            <w:shd w:fill="17324D"/>
            <w:vAlign w:val="center"/>
            <w:tcMar>
              <w:top w:w="90" w:type="dxa"/>
              <w:start w:w="90" w:type="dxa"/>
              <w:bottom w:w="90" w:type="dxa"/>
              <w:end w:w="90" w:type="dxa"/>
            </w:tcMar>
          </w:tcPr>
          <w:p>
            <w:r>
              <w:rPr>
                <w:b/>
                <w:color w:val="FFFFFF"/>
                <w:sz w:val="14"/>
              </w:rPr>
              <w:t>Loop</w:t>
            </w:r>
          </w:p>
        </w:tc>
        <w:tc>
          <w:tcPr>
            <w:tcW w:type="dxa" w:w="1757"/>
            <w:shd w:fill="17324D"/>
            <w:vAlign w:val="center"/>
            <w:tcMar>
              <w:top w:w="90" w:type="dxa"/>
              <w:start w:w="90" w:type="dxa"/>
              <w:bottom w:w="90" w:type="dxa"/>
              <w:end w:w="90" w:type="dxa"/>
            </w:tcMar>
          </w:tcPr>
          <w:p>
            <w:r>
              <w:rPr>
                <w:b/>
                <w:color w:val="FFFFFF"/>
                <w:sz w:val="14"/>
              </w:rPr>
              <w:t>Capture</w:t>
            </w:r>
          </w:p>
        </w:tc>
        <w:tc>
          <w:tcPr>
            <w:tcW w:type="dxa" w:w="2381"/>
            <w:shd w:fill="17324D"/>
            <w:vAlign w:val="center"/>
            <w:tcMar>
              <w:top w:w="90" w:type="dxa"/>
              <w:start w:w="90" w:type="dxa"/>
              <w:bottom w:w="90" w:type="dxa"/>
              <w:end w:w="90" w:type="dxa"/>
            </w:tcMar>
          </w:tcPr>
          <w:p>
            <w:r>
              <w:rPr>
                <w:b/>
                <w:color w:val="FFFFFF"/>
                <w:sz w:val="14"/>
              </w:rPr>
              <w:t>Return path</w:t>
            </w:r>
          </w:p>
        </w:tc>
        <w:tc>
          <w:tcPr>
            <w:tcW w:type="dxa" w:w="2438"/>
            <w:shd w:fill="17324D"/>
            <w:vAlign w:val="center"/>
            <w:tcMar>
              <w:top w:w="90" w:type="dxa"/>
              <w:start w:w="90" w:type="dxa"/>
              <w:bottom w:w="90" w:type="dxa"/>
              <w:end w:w="90" w:type="dxa"/>
            </w:tcMar>
          </w:tcPr>
          <w:p>
            <w:r>
              <w:rPr>
                <w:b/>
                <w:color w:val="FFFFFF"/>
                <w:sz w:val="14"/>
              </w:rPr>
              <w:t>Control boundary</w:t>
            </w:r>
          </w:p>
        </w:tc>
        <w:tc>
          <w:tcPr>
            <w:tcW w:type="dxa" w:w="1247"/>
            <w:shd w:fill="17324D"/>
            <w:vAlign w:val="center"/>
            <w:tcMar>
              <w:top w:w="90" w:type="dxa"/>
              <w:start w:w="90" w:type="dxa"/>
              <w:bottom w:w="90" w:type="dxa"/>
              <w:end w:w="90" w:type="dxa"/>
            </w:tcMar>
          </w:tcPr>
          <w:p>
            <w:r>
              <w:rPr>
                <w:b/>
                <w:color w:val="FFFFFF"/>
                <w:sz w:val="14"/>
              </w:rPr>
              <w:t>Priority</w:t>
            </w:r>
          </w:p>
        </w:tc>
      </w:tr>
      <w:tr>
        <w:tc>
          <w:tcPr>
            <w:tcW w:type="dxa" w:w="1361"/>
            <w:vAlign w:val="top"/>
            <w:tcMar>
              <w:top w:w="90" w:type="dxa"/>
              <w:start w:w="90" w:type="dxa"/>
              <w:bottom w:w="90" w:type="dxa"/>
              <w:end w:w="90" w:type="dxa"/>
            </w:tcMar>
          </w:tcPr>
          <w:p>
            <w:pPr>
              <w:spacing w:after="20" w:line="240" w:lineRule="auto"/>
            </w:pPr>
            <w:r>
              <w:rPr>
                <w:color w:val="17324D"/>
                <w:sz w:val="14"/>
              </w:rPr>
              <w:t>Pressure reflux</w:t>
            </w:r>
          </w:p>
        </w:tc>
        <w:tc>
          <w:tcPr>
            <w:tcW w:type="dxa" w:w="1757"/>
            <w:vAlign w:val="top"/>
            <w:tcMar>
              <w:top w:w="90" w:type="dxa"/>
              <w:start w:w="90" w:type="dxa"/>
              <w:bottom w:w="90" w:type="dxa"/>
              <w:end w:w="90" w:type="dxa"/>
            </w:tcMar>
          </w:tcPr>
          <w:p>
            <w:pPr>
              <w:spacing w:after="20" w:line="240" w:lineRule="auto"/>
            </w:pPr>
            <w:r>
              <w:rPr>
                <w:color w:val="17324D"/>
                <w:sz w:val="14"/>
              </w:rPr>
              <w:t>Hydraulic pressure in RO brine</w:t>
            </w:r>
          </w:p>
        </w:tc>
        <w:tc>
          <w:tcPr>
            <w:tcW w:type="dxa" w:w="2381"/>
            <w:vAlign w:val="top"/>
            <w:tcMar>
              <w:top w:w="90" w:type="dxa"/>
              <w:start w:w="90" w:type="dxa"/>
              <w:bottom w:w="90" w:type="dxa"/>
              <w:end w:w="90" w:type="dxa"/>
            </w:tcMar>
          </w:tcPr>
          <w:p>
            <w:pPr>
              <w:spacing w:after="20" w:line="240" w:lineRule="auto"/>
            </w:pPr>
            <w:r>
              <w:rPr>
                <w:color w:val="17324D"/>
                <w:sz w:val="14"/>
              </w:rPr>
              <w:t>Isobaric pressure exchanger or Clark-type pump to incoming feed</w:t>
            </w:r>
          </w:p>
        </w:tc>
        <w:tc>
          <w:tcPr>
            <w:tcW w:type="dxa" w:w="2438"/>
            <w:vAlign w:val="top"/>
            <w:tcMar>
              <w:top w:w="90" w:type="dxa"/>
              <w:start w:w="90" w:type="dxa"/>
              <w:bottom w:w="90" w:type="dxa"/>
              <w:end w:w="90" w:type="dxa"/>
            </w:tcMar>
          </w:tcPr>
          <w:p>
            <w:pPr>
              <w:spacing w:after="20" w:line="240" w:lineRule="auto"/>
            </w:pPr>
            <w:r>
              <w:rPr>
                <w:color w:val="17324D"/>
                <w:sz w:val="14"/>
              </w:rPr>
              <w:t>No mixing claim beyond device specification  monitor SEC and leakage</w:t>
            </w:r>
          </w:p>
        </w:tc>
        <w:tc>
          <w:tcPr>
            <w:tcW w:type="dxa" w:w="1247"/>
            <w:vAlign w:val="top"/>
            <w:tcMar>
              <w:top w:w="90" w:type="dxa"/>
              <w:start w:w="90" w:type="dxa"/>
              <w:bottom w:w="90" w:type="dxa"/>
              <w:end w:w="90" w:type="dxa"/>
            </w:tcMar>
          </w:tcPr>
          <w:p>
            <w:pPr>
              <w:spacing w:after="20" w:line="240" w:lineRule="auto"/>
            </w:pPr>
            <w:r>
              <w:rPr>
                <w:color w:val="17324D"/>
                <w:sz w:val="14"/>
              </w:rPr>
              <w:t>Immediate</w:t>
            </w:r>
          </w:p>
        </w:tc>
      </w:tr>
      <w:tr>
        <w:tc>
          <w:tcPr>
            <w:tcW w:type="dxa" w:w="1361"/>
            <w:vAlign w:val="top"/>
            <w:tcMar>
              <w:top w:w="90" w:type="dxa"/>
              <w:start w:w="90" w:type="dxa"/>
              <w:bottom w:w="90" w:type="dxa"/>
              <w:end w:w="90" w:type="dxa"/>
            </w:tcMar>
            <w:shd w:fill="F2F4F5"/>
          </w:tcPr>
          <w:p>
            <w:pPr>
              <w:spacing w:after="20" w:line="240" w:lineRule="auto"/>
            </w:pPr>
            <w:r>
              <w:rPr>
                <w:color w:val="17324D"/>
                <w:sz w:val="14"/>
              </w:rPr>
              <w:t>Heat reflux</w:t>
            </w:r>
          </w:p>
        </w:tc>
        <w:tc>
          <w:tcPr>
            <w:tcW w:type="dxa" w:w="1757"/>
            <w:vAlign w:val="top"/>
            <w:tcMar>
              <w:top w:w="90" w:type="dxa"/>
              <w:start w:w="90" w:type="dxa"/>
              <w:bottom w:w="90" w:type="dxa"/>
              <w:end w:w="90" w:type="dxa"/>
            </w:tcMar>
            <w:shd w:fill="F2F4F5"/>
          </w:tcPr>
          <w:p>
            <w:pPr>
              <w:spacing w:after="20" w:line="240" w:lineRule="auto"/>
            </w:pPr>
            <w:r>
              <w:rPr>
                <w:color w:val="17324D"/>
                <w:sz w:val="14"/>
              </w:rPr>
              <w:t>RO motor heat  AWG condenser heat  solar PVT heat</w:t>
            </w:r>
          </w:p>
        </w:tc>
        <w:tc>
          <w:tcPr>
            <w:tcW w:type="dxa" w:w="2381"/>
            <w:vAlign w:val="top"/>
            <w:tcMar>
              <w:top w:w="90" w:type="dxa"/>
              <w:start w:w="90" w:type="dxa"/>
              <w:bottom w:w="90" w:type="dxa"/>
              <w:end w:w="90" w:type="dxa"/>
            </w:tcMar>
            <w:shd w:fill="F2F4F5"/>
          </w:tcPr>
          <w:p>
            <w:pPr>
              <w:spacing w:after="20" w:line="240" w:lineRule="auto"/>
            </w:pPr>
            <w:r>
              <w:rPr>
                <w:color w:val="17324D"/>
                <w:sz w:val="14"/>
              </w:rPr>
              <w:t>Feed preheat where useful  hot water  membrane-distillation side-stream</w:t>
            </w:r>
          </w:p>
        </w:tc>
        <w:tc>
          <w:tcPr>
            <w:tcW w:type="dxa" w:w="2438"/>
            <w:vAlign w:val="top"/>
            <w:tcMar>
              <w:top w:w="90" w:type="dxa"/>
              <w:start w:w="90" w:type="dxa"/>
              <w:bottom w:w="90" w:type="dxa"/>
              <w:end w:w="90" w:type="dxa"/>
            </w:tcMar>
            <w:shd w:fill="F2F4F5"/>
          </w:tcPr>
          <w:p>
            <w:pPr>
              <w:spacing w:after="20" w:line="240" w:lineRule="auto"/>
            </w:pPr>
            <w:r>
              <w:rPr>
                <w:color w:val="17324D"/>
                <w:sz w:val="14"/>
              </w:rPr>
              <w:t>Avoid heating RO feed beyond membrane design  legionella controls on warm water</w:t>
            </w:r>
          </w:p>
        </w:tc>
        <w:tc>
          <w:tcPr>
            <w:tcW w:type="dxa" w:w="1247"/>
            <w:vAlign w:val="top"/>
            <w:tcMar>
              <w:top w:w="90" w:type="dxa"/>
              <w:start w:w="90" w:type="dxa"/>
              <w:bottom w:w="90" w:type="dxa"/>
              <w:end w:w="90" w:type="dxa"/>
            </w:tcMar>
            <w:shd w:fill="F2F4F5"/>
          </w:tcPr>
          <w:p>
            <w:pPr>
              <w:spacing w:after="20" w:line="240" w:lineRule="auto"/>
            </w:pPr>
            <w:r>
              <w:rPr>
                <w:color w:val="17324D"/>
                <w:sz w:val="14"/>
              </w:rPr>
              <w:t>Pilot</w:t>
            </w:r>
          </w:p>
        </w:tc>
      </w:tr>
      <w:tr>
        <w:tc>
          <w:tcPr>
            <w:tcW w:type="dxa" w:w="1361"/>
            <w:vAlign w:val="top"/>
            <w:tcMar>
              <w:top w:w="90" w:type="dxa"/>
              <w:start w:w="90" w:type="dxa"/>
              <w:bottom w:w="90" w:type="dxa"/>
              <w:end w:w="90" w:type="dxa"/>
            </w:tcMar>
          </w:tcPr>
          <w:p>
            <w:pPr>
              <w:spacing w:after="20" w:line="240" w:lineRule="auto"/>
            </w:pPr>
            <w:r>
              <w:rPr>
                <w:color w:val="17324D"/>
                <w:sz w:val="14"/>
              </w:rPr>
              <w:t>Clean-water reflux</w:t>
            </w:r>
          </w:p>
        </w:tc>
        <w:tc>
          <w:tcPr>
            <w:tcW w:type="dxa" w:w="1757"/>
            <w:vAlign w:val="top"/>
            <w:tcMar>
              <w:top w:w="90" w:type="dxa"/>
              <w:start w:w="90" w:type="dxa"/>
              <w:bottom w:w="90" w:type="dxa"/>
              <w:end w:w="90" w:type="dxa"/>
            </w:tcMar>
          </w:tcPr>
          <w:p>
            <w:pPr>
              <w:spacing w:after="20" w:line="240" w:lineRule="auto"/>
            </w:pPr>
            <w:r>
              <w:rPr>
                <w:color w:val="17324D"/>
                <w:sz w:val="14"/>
              </w:rPr>
              <w:t>Final rinse  safe backwash supernatant  HVAC condensate</w:t>
            </w:r>
          </w:p>
        </w:tc>
        <w:tc>
          <w:tcPr>
            <w:tcW w:type="dxa" w:w="2381"/>
            <w:vAlign w:val="top"/>
            <w:tcMar>
              <w:top w:w="90" w:type="dxa"/>
              <w:start w:w="90" w:type="dxa"/>
              <w:bottom w:w="90" w:type="dxa"/>
              <w:end w:w="90" w:type="dxa"/>
            </w:tcMar>
          </w:tcPr>
          <w:p>
            <w:pPr>
              <w:spacing w:after="20" w:line="240" w:lineRule="auto"/>
            </w:pPr>
            <w:r>
              <w:rPr>
                <w:color w:val="17324D"/>
                <w:sz w:val="14"/>
              </w:rPr>
              <w:t>Earlier treatment stage or non-potable tank</w:t>
            </w:r>
          </w:p>
        </w:tc>
        <w:tc>
          <w:tcPr>
            <w:tcW w:type="dxa" w:w="2438"/>
            <w:vAlign w:val="top"/>
            <w:tcMar>
              <w:top w:w="90" w:type="dxa"/>
              <w:start w:w="90" w:type="dxa"/>
              <w:bottom w:w="90" w:type="dxa"/>
              <w:end w:w="90" w:type="dxa"/>
            </w:tcMar>
          </w:tcPr>
          <w:p>
            <w:pPr>
              <w:spacing w:after="20" w:line="240" w:lineRule="auto"/>
            </w:pPr>
            <w:r>
              <w:rPr>
                <w:color w:val="17324D"/>
                <w:sz w:val="14"/>
              </w:rPr>
              <w:t>Never return chemicals or pathogens without hazard review</w:t>
            </w:r>
          </w:p>
        </w:tc>
        <w:tc>
          <w:tcPr>
            <w:tcW w:type="dxa" w:w="1247"/>
            <w:vAlign w:val="top"/>
            <w:tcMar>
              <w:top w:w="90" w:type="dxa"/>
              <w:start w:w="90" w:type="dxa"/>
              <w:bottom w:w="90" w:type="dxa"/>
              <w:end w:w="90" w:type="dxa"/>
            </w:tcMar>
          </w:tcPr>
          <w:p>
            <w:pPr>
              <w:spacing w:after="20" w:line="240" w:lineRule="auto"/>
            </w:pPr>
            <w:r>
              <w:rPr>
                <w:color w:val="17324D"/>
                <w:sz w:val="14"/>
              </w:rPr>
              <w:t>Immediate after validation</w:t>
            </w:r>
          </w:p>
        </w:tc>
      </w:tr>
      <w:tr>
        <w:tc>
          <w:tcPr>
            <w:tcW w:type="dxa" w:w="1361"/>
            <w:vAlign w:val="top"/>
            <w:tcMar>
              <w:top w:w="90" w:type="dxa"/>
              <w:start w:w="90" w:type="dxa"/>
              <w:bottom w:w="90" w:type="dxa"/>
              <w:end w:w="90" w:type="dxa"/>
            </w:tcMar>
            <w:shd w:fill="F2F4F5"/>
          </w:tcPr>
          <w:p>
            <w:pPr>
              <w:spacing w:after="20" w:line="240" w:lineRule="auto"/>
            </w:pPr>
            <w:r>
              <w:rPr>
                <w:color w:val="17324D"/>
                <w:sz w:val="14"/>
              </w:rPr>
              <w:t>Rain fog dew merge</w:t>
            </w:r>
          </w:p>
        </w:tc>
        <w:tc>
          <w:tcPr>
            <w:tcW w:type="dxa" w:w="1757"/>
            <w:vAlign w:val="top"/>
            <w:tcMar>
              <w:top w:w="90" w:type="dxa"/>
              <w:start w:w="90" w:type="dxa"/>
              <w:bottom w:w="90" w:type="dxa"/>
              <w:end w:w="90" w:type="dxa"/>
            </w:tcMar>
            <w:shd w:fill="F2F4F5"/>
          </w:tcPr>
          <w:p>
            <w:pPr>
              <w:spacing w:after="20" w:line="240" w:lineRule="auto"/>
            </w:pPr>
            <w:r>
              <w:rPr>
                <w:color w:val="17324D"/>
                <w:sz w:val="14"/>
              </w:rPr>
              <w:t>Multiple low-energy raw sources</w:t>
            </w:r>
          </w:p>
        </w:tc>
        <w:tc>
          <w:tcPr>
            <w:tcW w:type="dxa" w:w="2381"/>
            <w:vAlign w:val="top"/>
            <w:tcMar>
              <w:top w:w="90" w:type="dxa"/>
              <w:start w:w="90" w:type="dxa"/>
              <w:bottom w:w="90" w:type="dxa"/>
              <w:end w:w="90" w:type="dxa"/>
            </w:tcMar>
            <w:shd w:fill="F2F4F5"/>
          </w:tcPr>
          <w:p>
            <w:pPr>
              <w:spacing w:after="20" w:line="240" w:lineRule="auto"/>
            </w:pPr>
            <w:r>
              <w:rPr>
                <w:color w:val="17324D"/>
                <w:sz w:val="14"/>
              </w:rPr>
              <w:t>Common equalisation then source-appropriate treatment</w:t>
            </w:r>
          </w:p>
        </w:tc>
        <w:tc>
          <w:tcPr>
            <w:tcW w:type="dxa" w:w="2438"/>
            <w:vAlign w:val="top"/>
            <w:tcMar>
              <w:top w:w="90" w:type="dxa"/>
              <w:start w:w="90" w:type="dxa"/>
              <w:bottom w:w="90" w:type="dxa"/>
              <w:end w:w="90" w:type="dxa"/>
            </w:tcMar>
            <w:shd w:fill="F2F4F5"/>
          </w:tcPr>
          <w:p>
            <w:pPr>
              <w:spacing w:after="20" w:line="240" w:lineRule="auto"/>
            </w:pPr>
            <w:r>
              <w:rPr>
                <w:color w:val="17324D"/>
                <w:sz w:val="14"/>
              </w:rPr>
              <w:t>Online conductivity and turbidity  isolate suspect source</w:t>
            </w:r>
          </w:p>
        </w:tc>
        <w:tc>
          <w:tcPr>
            <w:tcW w:type="dxa" w:w="1247"/>
            <w:vAlign w:val="top"/>
            <w:tcMar>
              <w:top w:w="90" w:type="dxa"/>
              <w:start w:w="90" w:type="dxa"/>
              <w:bottom w:w="90" w:type="dxa"/>
              <w:end w:w="90" w:type="dxa"/>
            </w:tcMar>
            <w:shd w:fill="F2F4F5"/>
          </w:tcPr>
          <w:p>
            <w:pPr>
              <w:spacing w:after="20" w:line="240" w:lineRule="auto"/>
            </w:pPr>
            <w:r>
              <w:rPr>
                <w:color w:val="17324D"/>
                <w:sz w:val="14"/>
              </w:rPr>
              <w:t>Immediate</w:t>
            </w:r>
          </w:p>
        </w:tc>
      </w:tr>
      <w:tr>
        <w:tc>
          <w:tcPr>
            <w:tcW w:type="dxa" w:w="1361"/>
            <w:vAlign w:val="top"/>
            <w:tcMar>
              <w:top w:w="90" w:type="dxa"/>
              <w:start w:w="90" w:type="dxa"/>
              <w:bottom w:w="90" w:type="dxa"/>
              <w:end w:w="90" w:type="dxa"/>
            </w:tcMar>
          </w:tcPr>
          <w:p>
            <w:pPr>
              <w:spacing w:after="20" w:line="240" w:lineRule="auto"/>
            </w:pPr>
            <w:r>
              <w:rPr>
                <w:color w:val="17324D"/>
                <w:sz w:val="14"/>
              </w:rPr>
              <w:t>Brine water reflux</w:t>
            </w:r>
          </w:p>
        </w:tc>
        <w:tc>
          <w:tcPr>
            <w:tcW w:type="dxa" w:w="1757"/>
            <w:vAlign w:val="top"/>
            <w:tcMar>
              <w:top w:w="90" w:type="dxa"/>
              <w:start w:w="90" w:type="dxa"/>
              <w:bottom w:w="90" w:type="dxa"/>
              <w:end w:w="90" w:type="dxa"/>
            </w:tcMar>
          </w:tcPr>
          <w:p>
            <w:pPr>
              <w:spacing w:after="20" w:line="240" w:lineRule="auto"/>
            </w:pPr>
            <w:r>
              <w:rPr>
                <w:color w:val="17324D"/>
                <w:sz w:val="14"/>
              </w:rPr>
              <w:t>Residual water in concentrate</w:t>
            </w:r>
          </w:p>
        </w:tc>
        <w:tc>
          <w:tcPr>
            <w:tcW w:type="dxa" w:w="2381"/>
            <w:vAlign w:val="top"/>
            <w:tcMar>
              <w:top w:w="90" w:type="dxa"/>
              <w:start w:w="90" w:type="dxa"/>
              <w:bottom w:w="90" w:type="dxa"/>
              <w:end w:w="90" w:type="dxa"/>
            </w:tcMar>
          </w:tcPr>
          <w:p>
            <w:pPr>
              <w:spacing w:after="20" w:line="240" w:lineRule="auto"/>
            </w:pPr>
            <w:r>
              <w:rPr>
                <w:color w:val="17324D"/>
                <w:sz w:val="14"/>
              </w:rPr>
              <w:t>Second-pass RO or membrane distillation</w:t>
            </w:r>
          </w:p>
        </w:tc>
        <w:tc>
          <w:tcPr>
            <w:tcW w:type="dxa" w:w="2438"/>
            <w:vAlign w:val="top"/>
            <w:tcMar>
              <w:top w:w="90" w:type="dxa"/>
              <w:start w:w="90" w:type="dxa"/>
              <w:bottom w:w="90" w:type="dxa"/>
              <w:end w:w="90" w:type="dxa"/>
            </w:tcMar>
          </w:tcPr>
          <w:p>
            <w:pPr>
              <w:spacing w:after="20" w:line="240" w:lineRule="auto"/>
            </w:pPr>
            <w:r>
              <w:rPr>
                <w:color w:val="17324D"/>
                <w:sz w:val="14"/>
              </w:rPr>
              <w:t>Scaling and osmotic pressure increase each cycle  fixed maximum concentration</w:t>
            </w:r>
          </w:p>
        </w:tc>
        <w:tc>
          <w:tcPr>
            <w:tcW w:type="dxa" w:w="1247"/>
            <w:vAlign w:val="top"/>
            <w:tcMar>
              <w:top w:w="90" w:type="dxa"/>
              <w:start w:w="90" w:type="dxa"/>
              <w:bottom w:w="90" w:type="dxa"/>
              <w:end w:w="90" w:type="dxa"/>
            </w:tcMar>
          </w:tcPr>
          <w:p>
            <w:pPr>
              <w:spacing w:after="20" w:line="240" w:lineRule="auto"/>
            </w:pPr>
            <w:r>
              <w:rPr>
                <w:color w:val="17324D"/>
                <w:sz w:val="14"/>
              </w:rPr>
              <w:t>Pilot only</w:t>
            </w:r>
          </w:p>
        </w:tc>
      </w:tr>
      <w:tr>
        <w:tc>
          <w:tcPr>
            <w:tcW w:type="dxa" w:w="1361"/>
            <w:vAlign w:val="top"/>
            <w:tcMar>
              <w:top w:w="90" w:type="dxa"/>
              <w:start w:w="90" w:type="dxa"/>
              <w:bottom w:w="90" w:type="dxa"/>
              <w:end w:w="90" w:type="dxa"/>
            </w:tcMar>
            <w:shd w:fill="F2F4F5"/>
          </w:tcPr>
          <w:p>
            <w:pPr>
              <w:spacing w:after="20" w:line="240" w:lineRule="auto"/>
            </w:pPr>
            <w:r>
              <w:rPr>
                <w:color w:val="17324D"/>
                <w:sz w:val="14"/>
              </w:rPr>
              <w:t>Mineral reflux</w:t>
            </w:r>
          </w:p>
        </w:tc>
        <w:tc>
          <w:tcPr>
            <w:tcW w:type="dxa" w:w="1757"/>
            <w:vAlign w:val="top"/>
            <w:tcMar>
              <w:top w:w="90" w:type="dxa"/>
              <w:start w:w="90" w:type="dxa"/>
              <w:bottom w:w="90" w:type="dxa"/>
              <w:end w:w="90" w:type="dxa"/>
            </w:tcMar>
            <w:shd w:fill="F2F4F5"/>
          </w:tcPr>
          <w:p>
            <w:pPr>
              <w:spacing w:after="20" w:line="240" w:lineRule="auto"/>
            </w:pPr>
            <w:r>
              <w:rPr>
                <w:color w:val="17324D"/>
                <w:sz w:val="14"/>
              </w:rPr>
              <w:t>Salt-rich concentrate</w:t>
            </w:r>
          </w:p>
        </w:tc>
        <w:tc>
          <w:tcPr>
            <w:tcW w:type="dxa" w:w="2381"/>
            <w:vAlign w:val="top"/>
            <w:tcMar>
              <w:top w:w="90" w:type="dxa"/>
              <w:start w:w="90" w:type="dxa"/>
              <w:bottom w:w="90" w:type="dxa"/>
              <w:end w:w="90" w:type="dxa"/>
            </w:tcMar>
            <w:shd w:fill="F2F4F5"/>
          </w:tcPr>
          <w:p>
            <w:pPr>
              <w:spacing w:after="20" w:line="240" w:lineRule="auto"/>
            </w:pPr>
            <w:r>
              <w:rPr>
                <w:color w:val="17324D"/>
                <w:sz w:val="14"/>
              </w:rPr>
              <w:t>Crystallisation or sale/use after analysis</w:t>
            </w:r>
          </w:p>
        </w:tc>
        <w:tc>
          <w:tcPr>
            <w:tcW w:type="dxa" w:w="2438"/>
            <w:vAlign w:val="top"/>
            <w:tcMar>
              <w:top w:w="90" w:type="dxa"/>
              <w:start w:w="90" w:type="dxa"/>
              <w:bottom w:w="90" w:type="dxa"/>
              <w:end w:w="90" w:type="dxa"/>
            </w:tcMar>
            <w:shd w:fill="F2F4F5"/>
          </w:tcPr>
          <w:p>
            <w:pPr>
              <w:spacing w:after="20" w:line="240" w:lineRule="auto"/>
            </w:pPr>
            <w:r>
              <w:rPr>
                <w:color w:val="17324D"/>
                <w:sz w:val="14"/>
              </w:rPr>
              <w:t>Heavy metals  antiscalant and market quality  no food claim without certification</w:t>
            </w:r>
          </w:p>
        </w:tc>
        <w:tc>
          <w:tcPr>
            <w:tcW w:type="dxa" w:w="1247"/>
            <w:vAlign w:val="top"/>
            <w:tcMar>
              <w:top w:w="90" w:type="dxa"/>
              <w:start w:w="90" w:type="dxa"/>
              <w:bottom w:w="90" w:type="dxa"/>
              <w:end w:w="90" w:type="dxa"/>
            </w:tcMar>
            <w:shd w:fill="F2F4F5"/>
          </w:tcPr>
          <w:p>
            <w:pPr>
              <w:spacing w:after="20" w:line="240" w:lineRule="auto"/>
            </w:pPr>
            <w:r>
              <w:rPr>
                <w:color w:val="17324D"/>
                <w:sz w:val="14"/>
              </w:rPr>
              <w:t>Research</w:t>
            </w:r>
          </w:p>
        </w:tc>
      </w:tr>
      <w:tr>
        <w:tc>
          <w:tcPr>
            <w:tcW w:type="dxa" w:w="1361"/>
            <w:vAlign w:val="top"/>
            <w:tcMar>
              <w:top w:w="90" w:type="dxa"/>
              <w:start w:w="90" w:type="dxa"/>
              <w:bottom w:w="90" w:type="dxa"/>
              <w:end w:w="90" w:type="dxa"/>
            </w:tcMar>
          </w:tcPr>
          <w:p>
            <w:pPr>
              <w:spacing w:after="20" w:line="240" w:lineRule="auto"/>
            </w:pPr>
            <w:r>
              <w:rPr>
                <w:color w:val="17324D"/>
                <w:sz w:val="14"/>
              </w:rPr>
              <w:t>Storage reflux</w:t>
            </w:r>
          </w:p>
        </w:tc>
        <w:tc>
          <w:tcPr>
            <w:tcW w:type="dxa" w:w="1757"/>
            <w:vAlign w:val="top"/>
            <w:tcMar>
              <w:top w:w="90" w:type="dxa"/>
              <w:start w:w="90" w:type="dxa"/>
              <w:bottom w:w="90" w:type="dxa"/>
              <w:end w:w="90" w:type="dxa"/>
            </w:tcMar>
          </w:tcPr>
          <w:p>
            <w:pPr>
              <w:spacing w:after="20" w:line="240" w:lineRule="auto"/>
            </w:pPr>
            <w:r>
              <w:rPr>
                <w:color w:val="17324D"/>
                <w:sz w:val="14"/>
              </w:rPr>
              <w:t>Daytime solar surplus as treated water</w:t>
            </w:r>
          </w:p>
        </w:tc>
        <w:tc>
          <w:tcPr>
            <w:tcW w:type="dxa" w:w="2381"/>
            <w:vAlign w:val="top"/>
            <w:tcMar>
              <w:top w:w="90" w:type="dxa"/>
              <w:start w:w="90" w:type="dxa"/>
              <w:bottom w:w="90" w:type="dxa"/>
              <w:end w:w="90" w:type="dxa"/>
            </w:tcMar>
          </w:tcPr>
          <w:p>
            <w:pPr>
              <w:spacing w:after="20" w:line="240" w:lineRule="auto"/>
            </w:pPr>
            <w:r>
              <w:rPr>
                <w:color w:val="17324D"/>
                <w:sz w:val="14"/>
              </w:rPr>
              <w:t>Elevated or pressure-managed tanks feed night demand</w:t>
            </w:r>
          </w:p>
        </w:tc>
        <w:tc>
          <w:tcPr>
            <w:tcW w:type="dxa" w:w="2438"/>
            <w:vAlign w:val="top"/>
            <w:tcMar>
              <w:top w:w="90" w:type="dxa"/>
              <w:start w:w="90" w:type="dxa"/>
              <w:bottom w:w="90" w:type="dxa"/>
              <w:end w:w="90" w:type="dxa"/>
            </w:tcMar>
          </w:tcPr>
          <w:p>
            <w:pPr>
              <w:spacing w:after="20" w:line="240" w:lineRule="auto"/>
            </w:pPr>
            <w:r>
              <w:rPr>
                <w:color w:val="17324D"/>
                <w:sz w:val="14"/>
              </w:rPr>
              <w:t>Maintain disinfectant residual and turnover</w:t>
            </w:r>
          </w:p>
        </w:tc>
        <w:tc>
          <w:tcPr>
            <w:tcW w:type="dxa" w:w="1247"/>
            <w:vAlign w:val="top"/>
            <w:tcMar>
              <w:top w:w="90" w:type="dxa"/>
              <w:start w:w="90" w:type="dxa"/>
              <w:bottom w:w="90" w:type="dxa"/>
              <w:end w:w="90" w:type="dxa"/>
            </w:tcMar>
          </w:tcPr>
          <w:p>
            <w:pPr>
              <w:spacing w:after="20" w:line="240" w:lineRule="auto"/>
            </w:pPr>
            <w:r>
              <w:rPr>
                <w:color w:val="17324D"/>
                <w:sz w:val="14"/>
              </w:rPr>
              <w:t>Immediate</w:t>
            </w:r>
          </w:p>
        </w:tc>
      </w:tr>
      <w:tr>
        <w:tc>
          <w:tcPr>
            <w:tcW w:type="dxa" w:w="1361"/>
            <w:vAlign w:val="top"/>
            <w:tcMar>
              <w:top w:w="90" w:type="dxa"/>
              <w:start w:w="90" w:type="dxa"/>
              <w:bottom w:w="90" w:type="dxa"/>
              <w:end w:w="90" w:type="dxa"/>
            </w:tcMar>
            <w:shd w:fill="F2F4F5"/>
          </w:tcPr>
          <w:p>
            <w:pPr>
              <w:spacing w:after="20" w:line="240" w:lineRule="auto"/>
            </w:pPr>
            <w:r>
              <w:rPr>
                <w:color w:val="17324D"/>
                <w:sz w:val="14"/>
              </w:rPr>
              <w:t>Material reflux</w:t>
            </w:r>
          </w:p>
        </w:tc>
        <w:tc>
          <w:tcPr>
            <w:tcW w:type="dxa" w:w="1757"/>
            <w:vAlign w:val="top"/>
            <w:tcMar>
              <w:top w:w="90" w:type="dxa"/>
              <w:start w:w="90" w:type="dxa"/>
              <w:bottom w:w="90" w:type="dxa"/>
              <w:end w:w="90" w:type="dxa"/>
            </w:tcMar>
            <w:shd w:fill="F2F4F5"/>
          </w:tcPr>
          <w:p>
            <w:pPr>
              <w:spacing w:after="20" w:line="240" w:lineRule="auto"/>
            </w:pPr>
            <w:r>
              <w:rPr>
                <w:color w:val="17324D"/>
                <w:sz w:val="14"/>
              </w:rPr>
              <w:t>Local clay shell  repairable steel  replaceable mesh</w:t>
            </w:r>
          </w:p>
        </w:tc>
        <w:tc>
          <w:tcPr>
            <w:tcW w:type="dxa" w:w="2381"/>
            <w:vAlign w:val="top"/>
            <w:tcMar>
              <w:top w:w="90" w:type="dxa"/>
              <w:start w:w="90" w:type="dxa"/>
              <w:bottom w:w="90" w:type="dxa"/>
              <w:end w:w="90" w:type="dxa"/>
            </w:tcMar>
            <w:shd w:fill="F2F4F5"/>
          </w:tcPr>
          <w:p>
            <w:pPr>
              <w:spacing w:after="20" w:line="240" w:lineRule="auto"/>
            </w:pPr>
            <w:r>
              <w:rPr>
                <w:color w:val="17324D"/>
                <w:sz w:val="14"/>
              </w:rPr>
              <w:t>Repair and reuse programmes</w:t>
            </w:r>
          </w:p>
        </w:tc>
        <w:tc>
          <w:tcPr>
            <w:tcW w:type="dxa" w:w="2438"/>
            <w:vAlign w:val="top"/>
            <w:tcMar>
              <w:top w:w="90" w:type="dxa"/>
              <w:start w:w="90" w:type="dxa"/>
              <w:bottom w:w="90" w:type="dxa"/>
              <w:end w:w="90" w:type="dxa"/>
            </w:tcMar>
            <w:shd w:fill="F2F4F5"/>
          </w:tcPr>
          <w:p>
            <w:pPr>
              <w:spacing w:after="20" w:line="240" w:lineRule="auto"/>
            </w:pPr>
            <w:r>
              <w:rPr>
                <w:color w:val="17324D"/>
                <w:sz w:val="14"/>
              </w:rPr>
              <w:t>Potable-contact parts remain compliant</w:t>
            </w:r>
          </w:p>
        </w:tc>
        <w:tc>
          <w:tcPr>
            <w:tcW w:type="dxa" w:w="1247"/>
            <w:vAlign w:val="top"/>
            <w:tcMar>
              <w:top w:w="90" w:type="dxa"/>
              <w:start w:w="90" w:type="dxa"/>
              <w:bottom w:w="90" w:type="dxa"/>
              <w:end w:w="90" w:type="dxa"/>
            </w:tcMar>
            <w:shd w:fill="F2F4F5"/>
          </w:tcPr>
          <w:p>
            <w:pPr>
              <w:spacing w:after="20" w:line="240" w:lineRule="auto"/>
            </w:pPr>
            <w:r>
              <w:rPr>
                <w:color w:val="17324D"/>
                <w:sz w:val="14"/>
              </w:rPr>
              <w:t>Immediate</w:t>
            </w:r>
          </w:p>
        </w:tc>
      </w:tr>
    </w:tbl>
    <w:p>
      <w:pPr>
        <w:spacing w:after="0"/>
      </w:pPr>
    </w:p>
    <w:tbl>
      <w:tblPr>
        <w:tblW w:type="auto" w:w="0"/>
        <w:jc w:val="center"/>
        <w:tblLayout w:type="fixed"/>
        <w:tblLook w:firstColumn="1" w:firstRow="1" w:lastColumn="0" w:lastRow="0" w:noHBand="0" w:noVBand="1" w:val="04A0"/>
      </w:tblPr>
      <w:tblGrid>
        <w:gridCol w:w="159"/>
        <w:gridCol w:w="9184"/>
      </w:tblGrid>
      <w:tr>
        <w:trPr>
          <w:cantSplit/>
        </w:trPr>
        <w:tc>
          <w:tcPr>
            <w:tcW w:type="dxa" w:w="5185"/>
            <w:shd w:fill="B94A48"/>
          </w:tcPr>
          <w:p>
            <w:r/>
          </w:p>
        </w:tc>
        <w:tc>
          <w:tcPr>
            <w:tcW w:type="dxa" w:w="5185"/>
            <w:shd w:fill="EEF5F7"/>
            <w:tcMar>
              <w:top w:w="130" w:type="dxa"/>
              <w:start w:w="180" w:type="dxa"/>
              <w:bottom w:w="130" w:type="dxa"/>
              <w:end w:w="180" w:type="dxa"/>
            </w:tcMar>
          </w:tcPr>
          <w:p>
            <w:pPr>
              <w:spacing w:after="40"/>
            </w:pPr>
            <w:r>
              <w:rPr>
                <w:b/>
                <w:color w:val="B94A48"/>
                <w:sz w:val="20"/>
              </w:rPr>
              <w:t>The non-negotiable limit</w:t>
            </w:r>
          </w:p>
          <w:p>
            <w:pPr>
              <w:spacing w:after="0"/>
            </w:pPr>
            <w:r>
              <w:rPr>
                <w:color w:val="17324D"/>
                <w:sz w:val="18"/>
              </w:rPr>
              <w:t>A closed brine loop is not perpetual water reuse. Salt, boron, antiscalant and trace contaminants accumulate while osmotic pressure rises. The system needs a licensed terminal pathway: a designed marine diffuser, a validated salt or mineral product, evaporation or a true zero-liquid-discharge train. Energy recovery alone is not water recovery.</w:t>
            </w:r>
          </w:p>
        </w:tc>
      </w:tr>
    </w:tbl>
    <w:p>
      <w:pPr>
        <w:spacing w:after="0"/>
      </w:pPr>
    </w:p>
    <w:p>
      <w:pPr>
        <w:pStyle w:val="Heading2"/>
      </w:pPr>
      <w:r>
        <w:t>Practical process train</w:t>
      </w:r>
    </w:p>
    <w:tbl>
      <w:tblPr>
        <w:tblStyle w:val="TableGrid"/>
        <w:tblW w:type="auto" w:w="0"/>
        <w:jc w:val="center"/>
        <w:tblLayout w:type="fixed"/>
        <w:tblLook w:firstColumn="1" w:firstRow="1" w:lastColumn="0" w:lastRow="0" w:noHBand="0" w:noVBand="1" w:val="04A0"/>
      </w:tblPr>
      <w:tblGrid>
        <w:gridCol w:w="3457"/>
        <w:gridCol w:w="3457"/>
        <w:gridCol w:w="3457"/>
      </w:tblGrid>
      <w:tr>
        <w:trPr>
          <w:tblHeader w:val="true"/>
        </w:trPr>
        <w:tc>
          <w:tcPr>
            <w:tcW w:type="dxa" w:w="1701"/>
            <w:shd w:fill="17324D"/>
            <w:vAlign w:val="center"/>
            <w:tcMar>
              <w:top w:w="90" w:type="dxa"/>
              <w:start w:w="90" w:type="dxa"/>
              <w:bottom w:w="90" w:type="dxa"/>
              <w:end w:w="90" w:type="dxa"/>
            </w:tcMar>
          </w:tcPr>
          <w:p>
            <w:r>
              <w:rPr>
                <w:b/>
                <w:color w:val="FFFFFF"/>
                <w:sz w:val="16"/>
              </w:rPr>
              <w:t>Stage</w:t>
            </w:r>
          </w:p>
        </w:tc>
        <w:tc>
          <w:tcPr>
            <w:tcW w:type="dxa" w:w="4082"/>
            <w:shd w:fill="17324D"/>
            <w:vAlign w:val="center"/>
            <w:tcMar>
              <w:top w:w="90" w:type="dxa"/>
              <w:start w:w="90" w:type="dxa"/>
              <w:bottom w:w="90" w:type="dxa"/>
              <w:end w:w="90" w:type="dxa"/>
            </w:tcMar>
          </w:tcPr>
          <w:p>
            <w:r>
              <w:rPr>
                <w:b/>
                <w:color w:val="FFFFFF"/>
                <w:sz w:val="16"/>
              </w:rPr>
              <w:t>Equipment</w:t>
            </w:r>
          </w:p>
        </w:tc>
        <w:tc>
          <w:tcPr>
            <w:tcW w:type="dxa" w:w="3458"/>
            <w:shd w:fill="17324D"/>
            <w:vAlign w:val="center"/>
            <w:tcMar>
              <w:top w:w="90" w:type="dxa"/>
              <w:start w:w="90" w:type="dxa"/>
              <w:bottom w:w="90" w:type="dxa"/>
              <w:end w:w="90" w:type="dxa"/>
            </w:tcMar>
          </w:tcPr>
          <w:p>
            <w:r>
              <w:rPr>
                <w:b/>
                <w:color w:val="FFFFFF"/>
                <w:sz w:val="16"/>
              </w:rPr>
              <w:t>Recovered output</w:t>
            </w:r>
          </w:p>
        </w:tc>
      </w:tr>
      <w:tr>
        <w:tc>
          <w:tcPr>
            <w:tcW w:type="dxa" w:w="1701"/>
            <w:vAlign w:val="top"/>
            <w:tcMar>
              <w:top w:w="90" w:type="dxa"/>
              <w:start w:w="90" w:type="dxa"/>
              <w:bottom w:w="90" w:type="dxa"/>
              <w:end w:w="90" w:type="dxa"/>
            </w:tcMar>
          </w:tcPr>
          <w:p>
            <w:pPr>
              <w:spacing w:after="20" w:line="240" w:lineRule="auto"/>
            </w:pPr>
            <w:r>
              <w:rPr>
                <w:color w:val="17324D"/>
                <w:sz w:val="16"/>
              </w:rPr>
              <w:t>Capture</w:t>
            </w:r>
          </w:p>
        </w:tc>
        <w:tc>
          <w:tcPr>
            <w:tcW w:type="dxa" w:w="4082"/>
            <w:vAlign w:val="top"/>
            <w:tcMar>
              <w:top w:w="90" w:type="dxa"/>
              <w:start w:w="90" w:type="dxa"/>
              <w:bottom w:w="90" w:type="dxa"/>
              <w:end w:w="90" w:type="dxa"/>
            </w:tcMar>
          </w:tcPr>
          <w:p>
            <w:pPr>
              <w:spacing w:after="20" w:line="240" w:lineRule="auto"/>
            </w:pPr>
            <w:r>
              <w:rPr>
                <w:color w:val="17324D"/>
                <w:sz w:val="16"/>
              </w:rPr>
              <w:t>Rain roofs  fog mesh  seawater intake</w:t>
            </w:r>
          </w:p>
        </w:tc>
        <w:tc>
          <w:tcPr>
            <w:tcW w:type="dxa" w:w="3458"/>
            <w:vAlign w:val="top"/>
            <w:tcMar>
              <w:top w:w="90" w:type="dxa"/>
              <w:start w:w="90" w:type="dxa"/>
              <w:bottom w:w="90" w:type="dxa"/>
              <w:end w:w="90" w:type="dxa"/>
            </w:tcMar>
          </w:tcPr>
          <w:p>
            <w:pPr>
              <w:spacing w:after="20" w:line="240" w:lineRule="auto"/>
            </w:pPr>
            <w:r>
              <w:rPr>
                <w:color w:val="17324D"/>
                <w:sz w:val="16"/>
              </w:rPr>
              <w:t>Gravity-fed raw water where terrain permits</w:t>
            </w:r>
          </w:p>
        </w:tc>
      </w:tr>
      <w:tr>
        <w:tc>
          <w:tcPr>
            <w:tcW w:type="dxa" w:w="1701"/>
            <w:vAlign w:val="top"/>
            <w:tcMar>
              <w:top w:w="90" w:type="dxa"/>
              <w:start w:w="90" w:type="dxa"/>
              <w:bottom w:w="90" w:type="dxa"/>
              <w:end w:w="90" w:type="dxa"/>
            </w:tcMar>
            <w:shd w:fill="F2F4F5"/>
          </w:tcPr>
          <w:p>
            <w:pPr>
              <w:spacing w:after="20" w:line="240" w:lineRule="auto"/>
            </w:pPr>
            <w:r>
              <w:rPr>
                <w:color w:val="17324D"/>
                <w:sz w:val="16"/>
              </w:rPr>
              <w:t>Pretreatment</w:t>
            </w:r>
          </w:p>
        </w:tc>
        <w:tc>
          <w:tcPr>
            <w:tcW w:type="dxa" w:w="4082"/>
            <w:vAlign w:val="top"/>
            <w:tcMar>
              <w:top w:w="90" w:type="dxa"/>
              <w:start w:w="90" w:type="dxa"/>
              <w:bottom w:w="90" w:type="dxa"/>
              <w:end w:w="90" w:type="dxa"/>
            </w:tcMar>
            <w:shd w:fill="F2F4F5"/>
          </w:tcPr>
          <w:p>
            <w:pPr>
              <w:spacing w:after="20" w:line="240" w:lineRule="auto"/>
            </w:pPr>
            <w:r>
              <w:rPr>
                <w:color w:val="17324D"/>
                <w:sz w:val="16"/>
              </w:rPr>
              <w:t>Screens  settling or flotation  media or UF  dosing</w:t>
            </w:r>
          </w:p>
        </w:tc>
        <w:tc>
          <w:tcPr>
            <w:tcW w:type="dxa" w:w="3458"/>
            <w:vAlign w:val="top"/>
            <w:tcMar>
              <w:top w:w="90" w:type="dxa"/>
              <w:start w:w="90" w:type="dxa"/>
              <w:bottom w:w="90" w:type="dxa"/>
              <w:end w:w="90" w:type="dxa"/>
            </w:tcMar>
            <w:shd w:fill="F2F4F5"/>
          </w:tcPr>
          <w:p>
            <w:pPr>
              <w:spacing w:after="20" w:line="240" w:lineRule="auto"/>
            </w:pPr>
            <w:r>
              <w:rPr>
                <w:color w:val="17324D"/>
                <w:sz w:val="16"/>
              </w:rPr>
              <w:t>Backwash supernatant only if validated for return</w:t>
            </w:r>
          </w:p>
        </w:tc>
      </w:tr>
      <w:tr>
        <w:tc>
          <w:tcPr>
            <w:tcW w:type="dxa" w:w="1701"/>
            <w:vAlign w:val="top"/>
            <w:tcMar>
              <w:top w:w="90" w:type="dxa"/>
              <w:start w:w="90" w:type="dxa"/>
              <w:bottom w:w="90" w:type="dxa"/>
              <w:end w:w="90" w:type="dxa"/>
            </w:tcMar>
          </w:tcPr>
          <w:p>
            <w:pPr>
              <w:spacing w:after="20" w:line="240" w:lineRule="auto"/>
            </w:pPr>
            <w:r>
              <w:rPr>
                <w:color w:val="17324D"/>
                <w:sz w:val="16"/>
              </w:rPr>
              <w:t>Primary separation</w:t>
            </w:r>
          </w:p>
        </w:tc>
        <w:tc>
          <w:tcPr>
            <w:tcW w:type="dxa" w:w="4082"/>
            <w:vAlign w:val="top"/>
            <w:tcMar>
              <w:top w:w="90" w:type="dxa"/>
              <w:start w:w="90" w:type="dxa"/>
              <w:bottom w:w="90" w:type="dxa"/>
              <w:end w:w="90" w:type="dxa"/>
            </w:tcMar>
          </w:tcPr>
          <w:p>
            <w:pPr>
              <w:spacing w:after="20" w:line="240" w:lineRule="auto"/>
            </w:pPr>
            <w:r>
              <w:rPr>
                <w:color w:val="17324D"/>
                <w:sz w:val="16"/>
              </w:rPr>
              <w:t>SWRO with isobaric ERD</w:t>
            </w:r>
          </w:p>
        </w:tc>
        <w:tc>
          <w:tcPr>
            <w:tcW w:type="dxa" w:w="3458"/>
            <w:vAlign w:val="top"/>
            <w:tcMar>
              <w:top w:w="90" w:type="dxa"/>
              <w:start w:w="90" w:type="dxa"/>
              <w:bottom w:w="90" w:type="dxa"/>
              <w:end w:w="90" w:type="dxa"/>
            </w:tcMar>
          </w:tcPr>
          <w:p>
            <w:pPr>
              <w:spacing w:after="20" w:line="240" w:lineRule="auto"/>
            </w:pPr>
            <w:r>
              <w:rPr>
                <w:color w:val="17324D"/>
                <w:sz w:val="16"/>
              </w:rPr>
              <w:t>Brine pressure returned to feed</w:t>
            </w:r>
          </w:p>
        </w:tc>
      </w:tr>
      <w:tr>
        <w:tc>
          <w:tcPr>
            <w:tcW w:type="dxa" w:w="1701"/>
            <w:vAlign w:val="top"/>
            <w:tcMar>
              <w:top w:w="90" w:type="dxa"/>
              <w:start w:w="90" w:type="dxa"/>
              <w:bottom w:w="90" w:type="dxa"/>
              <w:end w:w="90" w:type="dxa"/>
            </w:tcMar>
            <w:shd w:fill="F2F4F5"/>
          </w:tcPr>
          <w:p>
            <w:pPr>
              <w:spacing w:after="20" w:line="240" w:lineRule="auto"/>
            </w:pPr>
            <w:r>
              <w:rPr>
                <w:color w:val="17324D"/>
                <w:sz w:val="16"/>
              </w:rPr>
              <w:t>Product finish</w:t>
            </w:r>
          </w:p>
        </w:tc>
        <w:tc>
          <w:tcPr>
            <w:tcW w:type="dxa" w:w="4082"/>
            <w:vAlign w:val="top"/>
            <w:tcMar>
              <w:top w:w="90" w:type="dxa"/>
              <w:start w:w="90" w:type="dxa"/>
              <w:bottom w:w="90" w:type="dxa"/>
              <w:end w:w="90" w:type="dxa"/>
            </w:tcMar>
            <w:shd w:fill="F2F4F5"/>
          </w:tcPr>
          <w:p>
            <w:pPr>
              <w:spacing w:after="20" w:line="240" w:lineRule="auto"/>
            </w:pPr>
            <w:r>
              <w:rPr>
                <w:color w:val="17324D"/>
                <w:sz w:val="16"/>
              </w:rPr>
              <w:t>Calcite or controlled remineralisation  disinfection</w:t>
            </w:r>
          </w:p>
        </w:tc>
        <w:tc>
          <w:tcPr>
            <w:tcW w:type="dxa" w:w="3458"/>
            <w:vAlign w:val="top"/>
            <w:tcMar>
              <w:top w:w="90" w:type="dxa"/>
              <w:start w:w="90" w:type="dxa"/>
              <w:bottom w:w="90" w:type="dxa"/>
              <w:end w:w="90" w:type="dxa"/>
            </w:tcMar>
            <w:shd w:fill="F2F4F5"/>
          </w:tcPr>
          <w:p>
            <w:pPr>
              <w:spacing w:after="20" w:line="240" w:lineRule="auto"/>
            </w:pPr>
            <w:r>
              <w:rPr>
                <w:color w:val="17324D"/>
                <w:sz w:val="16"/>
              </w:rPr>
              <w:t>Stable potable water</w:t>
            </w:r>
          </w:p>
        </w:tc>
      </w:tr>
      <w:tr>
        <w:tc>
          <w:tcPr>
            <w:tcW w:type="dxa" w:w="1701"/>
            <w:vAlign w:val="top"/>
            <w:tcMar>
              <w:top w:w="90" w:type="dxa"/>
              <w:start w:w="90" w:type="dxa"/>
              <w:bottom w:w="90" w:type="dxa"/>
              <w:end w:w="90" w:type="dxa"/>
            </w:tcMar>
          </w:tcPr>
          <w:p>
            <w:pPr>
              <w:spacing w:after="20" w:line="240" w:lineRule="auto"/>
            </w:pPr>
            <w:r>
              <w:rPr>
                <w:color w:val="17324D"/>
                <w:sz w:val="16"/>
              </w:rPr>
              <w:t>Storage</w:t>
            </w:r>
          </w:p>
        </w:tc>
        <w:tc>
          <w:tcPr>
            <w:tcW w:type="dxa" w:w="4082"/>
            <w:vAlign w:val="top"/>
            <w:tcMar>
              <w:top w:w="90" w:type="dxa"/>
              <w:start w:w="90" w:type="dxa"/>
              <w:bottom w:w="90" w:type="dxa"/>
              <w:end w:w="90" w:type="dxa"/>
            </w:tcMar>
          </w:tcPr>
          <w:p>
            <w:pPr>
              <w:spacing w:after="20" w:line="240" w:lineRule="auto"/>
            </w:pPr>
            <w:r>
              <w:rPr>
                <w:color w:val="17324D"/>
                <w:sz w:val="16"/>
              </w:rPr>
              <w:t>Split buried or anchored tanks</w:t>
            </w:r>
          </w:p>
        </w:tc>
        <w:tc>
          <w:tcPr>
            <w:tcW w:type="dxa" w:w="3458"/>
            <w:vAlign w:val="top"/>
            <w:tcMar>
              <w:top w:w="90" w:type="dxa"/>
              <w:start w:w="90" w:type="dxa"/>
              <w:bottom w:w="90" w:type="dxa"/>
              <w:end w:w="90" w:type="dxa"/>
            </w:tcMar>
          </w:tcPr>
          <w:p>
            <w:pPr>
              <w:spacing w:after="20" w:line="240" w:lineRule="auto"/>
            </w:pPr>
            <w:r>
              <w:rPr>
                <w:color w:val="17324D"/>
                <w:sz w:val="16"/>
              </w:rPr>
              <w:t>Energy stored as water  gravity delivery</w:t>
            </w:r>
          </w:p>
        </w:tc>
      </w:tr>
      <w:tr>
        <w:tc>
          <w:tcPr>
            <w:tcW w:type="dxa" w:w="1701"/>
            <w:vAlign w:val="top"/>
            <w:tcMar>
              <w:top w:w="90" w:type="dxa"/>
              <w:start w:w="90" w:type="dxa"/>
              <w:bottom w:w="90" w:type="dxa"/>
              <w:end w:w="90" w:type="dxa"/>
            </w:tcMar>
            <w:shd w:fill="F2F4F5"/>
          </w:tcPr>
          <w:p>
            <w:pPr>
              <w:spacing w:after="20" w:line="240" w:lineRule="auto"/>
            </w:pPr>
            <w:r>
              <w:rPr>
                <w:color w:val="17324D"/>
                <w:sz w:val="16"/>
              </w:rPr>
              <w:t>Concentrate side-stream</w:t>
            </w:r>
          </w:p>
        </w:tc>
        <w:tc>
          <w:tcPr>
            <w:tcW w:type="dxa" w:w="4082"/>
            <w:vAlign w:val="top"/>
            <w:tcMar>
              <w:top w:w="90" w:type="dxa"/>
              <w:start w:w="90" w:type="dxa"/>
              <w:bottom w:w="90" w:type="dxa"/>
              <w:end w:w="90" w:type="dxa"/>
            </w:tcMar>
            <w:shd w:fill="F2F4F5"/>
          </w:tcPr>
          <w:p>
            <w:pPr>
              <w:spacing w:after="20" w:line="240" w:lineRule="auto"/>
            </w:pPr>
            <w:r>
              <w:rPr>
                <w:color w:val="17324D"/>
                <w:sz w:val="16"/>
              </w:rPr>
              <w:t>Optional MD or crystallisation pilot</w:t>
            </w:r>
          </w:p>
        </w:tc>
        <w:tc>
          <w:tcPr>
            <w:tcW w:type="dxa" w:w="3458"/>
            <w:vAlign w:val="top"/>
            <w:tcMar>
              <w:top w:w="90" w:type="dxa"/>
              <w:start w:w="90" w:type="dxa"/>
              <w:bottom w:w="90" w:type="dxa"/>
              <w:end w:w="90" w:type="dxa"/>
            </w:tcMar>
            <w:shd w:fill="F2F4F5"/>
          </w:tcPr>
          <w:p>
            <w:pPr>
              <w:spacing w:after="20" w:line="240" w:lineRule="auto"/>
            </w:pPr>
            <w:r>
              <w:rPr>
                <w:color w:val="17324D"/>
                <w:sz w:val="16"/>
              </w:rPr>
              <w:t>Additional water  salt or mineral sample  data</w:t>
            </w:r>
          </w:p>
        </w:tc>
      </w:tr>
    </w:tbl>
    <w:p>
      <w:pPr>
        <w:spacing w:after="0"/>
      </w:pPr>
    </w:p>
    <w:p>
      <w:pPr>
        <w:pStyle w:val="Heading1"/>
      </w:pPr>
      <w:r>
        <w:t>EU first supplier strategy</w:t>
      </w:r>
    </w:p>
    <w:p>
      <w:r>
        <w:t>An EU-first result can be achieved without an origin-only exclusion. Score whole-life performance that matters in Guadeloupe: potable compliance, independently witnessed output, energy at the stated seawater condition, cyclone design, repair time, local training, spare parts held in the EU or Caribbean, warranty response and transparent end-of-life handling. If public money is involved, have the contracting authority confirm the applicable French and EU procurement route. The European Commission notes that lifecycle-cost methods and tenderer data requirements should be disclosed in the procurement documents. [7]</w:t>
      </w:r>
    </w:p>
    <w:tbl>
      <w:tblPr>
        <w:tblStyle w:val="TableGrid"/>
        <w:tblW w:type="auto" w:w="0"/>
        <w:jc w:val="center"/>
        <w:tblLayout w:type="fixed"/>
        <w:tblLook w:firstColumn="1" w:firstRow="1" w:lastColumn="0" w:lastRow="0" w:noHBand="0" w:noVBand="1" w:val="04A0"/>
      </w:tblPr>
      <w:tblGrid>
        <w:gridCol w:w="3457"/>
        <w:gridCol w:w="3457"/>
        <w:gridCol w:w="3457"/>
      </w:tblGrid>
      <w:tr>
        <w:trPr>
          <w:tblHeader w:val="true"/>
        </w:trPr>
        <w:tc>
          <w:tcPr>
            <w:tcW w:type="dxa" w:w="3175"/>
            <w:shd w:fill="17324D"/>
            <w:vAlign w:val="center"/>
            <w:tcMar>
              <w:top w:w="90" w:type="dxa"/>
              <w:start w:w="90" w:type="dxa"/>
              <w:bottom w:w="90" w:type="dxa"/>
              <w:end w:w="90" w:type="dxa"/>
            </w:tcMar>
          </w:tcPr>
          <w:p>
            <w:r>
              <w:rPr>
                <w:b/>
                <w:color w:val="FFFFFF"/>
                <w:sz w:val="16"/>
              </w:rPr>
              <w:t>Evaluation criterion</w:t>
            </w:r>
          </w:p>
        </w:tc>
        <w:tc>
          <w:tcPr>
            <w:tcW w:type="dxa" w:w="1134"/>
            <w:shd w:fill="17324D"/>
            <w:vAlign w:val="center"/>
            <w:tcMar>
              <w:top w:w="90" w:type="dxa"/>
              <w:start w:w="90" w:type="dxa"/>
              <w:bottom w:w="90" w:type="dxa"/>
              <w:end w:w="90" w:type="dxa"/>
            </w:tcMar>
          </w:tcPr>
          <w:p>
            <w:r>
              <w:rPr>
                <w:b/>
                <w:color w:val="FFFFFF"/>
                <w:sz w:val="16"/>
              </w:rPr>
              <w:t>Weight</w:t>
            </w:r>
          </w:p>
        </w:tc>
        <w:tc>
          <w:tcPr>
            <w:tcW w:type="dxa" w:w="4932"/>
            <w:shd w:fill="17324D"/>
            <w:vAlign w:val="center"/>
            <w:tcMar>
              <w:top w:w="90" w:type="dxa"/>
              <w:start w:w="90" w:type="dxa"/>
              <w:bottom w:w="90" w:type="dxa"/>
              <w:end w:w="90" w:type="dxa"/>
            </w:tcMar>
          </w:tcPr>
          <w:p>
            <w:r>
              <w:rPr>
                <w:b/>
                <w:color w:val="FFFFFF"/>
                <w:sz w:val="16"/>
              </w:rPr>
              <w:t>Evidence required</w:t>
            </w:r>
          </w:p>
        </w:tc>
      </w:tr>
      <w:tr>
        <w:tc>
          <w:tcPr>
            <w:tcW w:type="dxa" w:w="3175"/>
            <w:vAlign w:val="top"/>
            <w:tcMar>
              <w:top w:w="90" w:type="dxa"/>
              <w:start w:w="90" w:type="dxa"/>
              <w:bottom w:w="90" w:type="dxa"/>
              <w:end w:w="90" w:type="dxa"/>
            </w:tcMar>
          </w:tcPr>
          <w:p>
            <w:pPr>
              <w:spacing w:after="20" w:line="240" w:lineRule="auto"/>
            </w:pPr>
            <w:r>
              <w:rPr>
                <w:color w:val="17324D"/>
                <w:sz w:val="16"/>
              </w:rPr>
              <w:t>Potable water and materials compliance</w:t>
            </w:r>
          </w:p>
        </w:tc>
        <w:tc>
          <w:tcPr>
            <w:tcW w:type="dxa" w:w="1134"/>
            <w:vAlign w:val="top"/>
            <w:tcMar>
              <w:top w:w="90" w:type="dxa"/>
              <w:start w:w="90" w:type="dxa"/>
              <w:bottom w:w="90" w:type="dxa"/>
              <w:end w:w="90" w:type="dxa"/>
            </w:tcMar>
          </w:tcPr>
          <w:p>
            <w:pPr>
              <w:spacing w:after="20" w:line="240" w:lineRule="auto"/>
            </w:pPr>
            <w:r>
              <w:rPr>
                <w:color w:val="17324D"/>
                <w:sz w:val="16"/>
              </w:rPr>
              <w:t>25</w:t>
            </w:r>
          </w:p>
        </w:tc>
        <w:tc>
          <w:tcPr>
            <w:tcW w:type="dxa" w:w="4932"/>
            <w:vAlign w:val="top"/>
            <w:tcMar>
              <w:top w:w="90" w:type="dxa"/>
              <w:start w:w="90" w:type="dxa"/>
              <w:bottom w:w="90" w:type="dxa"/>
              <w:end w:w="90" w:type="dxa"/>
            </w:tcMar>
          </w:tcPr>
          <w:p>
            <w:pPr>
              <w:spacing w:after="20" w:line="240" w:lineRule="auto"/>
            </w:pPr>
            <w:r>
              <w:rPr>
                <w:color w:val="17324D"/>
                <w:sz w:val="16"/>
              </w:rPr>
              <w:t>EU drinking-water basis  ACS or equivalent potable-contact dossier  lab plan</w:t>
            </w:r>
          </w:p>
        </w:tc>
      </w:tr>
      <w:tr>
        <w:tc>
          <w:tcPr>
            <w:tcW w:type="dxa" w:w="3175"/>
            <w:vAlign w:val="top"/>
            <w:tcMar>
              <w:top w:w="90" w:type="dxa"/>
              <w:start w:w="90" w:type="dxa"/>
              <w:bottom w:w="90" w:type="dxa"/>
              <w:end w:w="90" w:type="dxa"/>
            </w:tcMar>
            <w:shd w:fill="F2F4F5"/>
          </w:tcPr>
          <w:p>
            <w:pPr>
              <w:spacing w:after="20" w:line="240" w:lineRule="auto"/>
            </w:pPr>
            <w:r>
              <w:rPr>
                <w:color w:val="17324D"/>
                <w:sz w:val="16"/>
              </w:rPr>
              <w:t>Guaranteed output under Guadeloupe conditions</w:t>
            </w:r>
          </w:p>
        </w:tc>
        <w:tc>
          <w:tcPr>
            <w:tcW w:type="dxa" w:w="1134"/>
            <w:vAlign w:val="top"/>
            <w:tcMar>
              <w:top w:w="90" w:type="dxa"/>
              <w:start w:w="90" w:type="dxa"/>
              <w:bottom w:w="90" w:type="dxa"/>
              <w:end w:w="90" w:type="dxa"/>
            </w:tcMar>
            <w:shd w:fill="F2F4F5"/>
          </w:tcPr>
          <w:p>
            <w:pPr>
              <w:spacing w:after="20" w:line="240" w:lineRule="auto"/>
            </w:pPr>
            <w:r>
              <w:rPr>
                <w:color w:val="17324D"/>
                <w:sz w:val="16"/>
              </w:rPr>
              <w:t>20</w:t>
            </w:r>
          </w:p>
        </w:tc>
        <w:tc>
          <w:tcPr>
            <w:tcW w:type="dxa" w:w="4932"/>
            <w:vAlign w:val="top"/>
            <w:tcMar>
              <w:top w:w="90" w:type="dxa"/>
              <w:start w:w="90" w:type="dxa"/>
              <w:bottom w:w="90" w:type="dxa"/>
              <w:end w:w="90" w:type="dxa"/>
            </w:tcMar>
            <w:shd w:fill="F2F4F5"/>
          </w:tcPr>
          <w:p>
            <w:pPr>
              <w:spacing w:after="20" w:line="240" w:lineRule="auto"/>
            </w:pPr>
            <w:r>
              <w:rPr>
                <w:color w:val="17324D"/>
                <w:sz w:val="16"/>
              </w:rPr>
              <w:t>35–40 g/L  warm seawater  site solar profile  turndown and availability</w:t>
            </w:r>
          </w:p>
        </w:tc>
      </w:tr>
      <w:tr>
        <w:tc>
          <w:tcPr>
            <w:tcW w:type="dxa" w:w="3175"/>
            <w:vAlign w:val="top"/>
            <w:tcMar>
              <w:top w:w="90" w:type="dxa"/>
              <w:start w:w="90" w:type="dxa"/>
              <w:bottom w:w="90" w:type="dxa"/>
              <w:end w:w="90" w:type="dxa"/>
            </w:tcMar>
          </w:tcPr>
          <w:p>
            <w:pPr>
              <w:spacing w:after="20" w:line="240" w:lineRule="auto"/>
            </w:pPr>
            <w:r>
              <w:rPr>
                <w:color w:val="17324D"/>
                <w:sz w:val="16"/>
              </w:rPr>
              <w:t>Whole-plant energy and REFLUX recovery</w:t>
            </w:r>
          </w:p>
        </w:tc>
        <w:tc>
          <w:tcPr>
            <w:tcW w:type="dxa" w:w="1134"/>
            <w:vAlign w:val="top"/>
            <w:tcMar>
              <w:top w:w="90" w:type="dxa"/>
              <w:start w:w="90" w:type="dxa"/>
              <w:bottom w:w="90" w:type="dxa"/>
              <w:end w:w="90" w:type="dxa"/>
            </w:tcMar>
          </w:tcPr>
          <w:p>
            <w:pPr>
              <w:spacing w:after="20" w:line="240" w:lineRule="auto"/>
            </w:pPr>
            <w:r>
              <w:rPr>
                <w:color w:val="17324D"/>
                <w:sz w:val="16"/>
              </w:rPr>
              <w:t>15</w:t>
            </w:r>
          </w:p>
        </w:tc>
        <w:tc>
          <w:tcPr>
            <w:tcW w:type="dxa" w:w="4932"/>
            <w:vAlign w:val="top"/>
            <w:tcMar>
              <w:top w:w="90" w:type="dxa"/>
              <w:start w:w="90" w:type="dxa"/>
              <w:bottom w:w="90" w:type="dxa"/>
              <w:end w:w="90" w:type="dxa"/>
            </w:tcMar>
          </w:tcPr>
          <w:p>
            <w:pPr>
              <w:spacing w:after="20" w:line="240" w:lineRule="auto"/>
            </w:pPr>
            <w:r>
              <w:rPr>
                <w:color w:val="17324D"/>
                <w:sz w:val="16"/>
              </w:rPr>
              <w:t>kWh/m³ including auxiliaries  ERD efficiency  measured acceptance test</w:t>
            </w:r>
          </w:p>
        </w:tc>
      </w:tr>
      <w:tr>
        <w:tc>
          <w:tcPr>
            <w:tcW w:type="dxa" w:w="3175"/>
            <w:vAlign w:val="top"/>
            <w:tcMar>
              <w:top w:w="90" w:type="dxa"/>
              <w:start w:w="90" w:type="dxa"/>
              <w:bottom w:w="90" w:type="dxa"/>
              <w:end w:w="90" w:type="dxa"/>
            </w:tcMar>
            <w:shd w:fill="F2F4F5"/>
          </w:tcPr>
          <w:p>
            <w:pPr>
              <w:spacing w:after="20" w:line="240" w:lineRule="auto"/>
            </w:pPr>
            <w:r>
              <w:rPr>
                <w:color w:val="17324D"/>
                <w:sz w:val="16"/>
              </w:rPr>
              <w:t>Cyclone and corrosion resilience</w:t>
            </w:r>
          </w:p>
        </w:tc>
        <w:tc>
          <w:tcPr>
            <w:tcW w:type="dxa" w:w="1134"/>
            <w:vAlign w:val="top"/>
            <w:tcMar>
              <w:top w:w="90" w:type="dxa"/>
              <w:start w:w="90" w:type="dxa"/>
              <w:bottom w:w="90" w:type="dxa"/>
              <w:end w:w="90" w:type="dxa"/>
            </w:tcMar>
            <w:shd w:fill="F2F4F5"/>
          </w:tcPr>
          <w:p>
            <w:pPr>
              <w:spacing w:after="20" w:line="240" w:lineRule="auto"/>
            </w:pPr>
            <w:r>
              <w:rPr>
                <w:color w:val="17324D"/>
                <w:sz w:val="16"/>
              </w:rPr>
              <w:t>15</w:t>
            </w:r>
          </w:p>
        </w:tc>
        <w:tc>
          <w:tcPr>
            <w:tcW w:type="dxa" w:w="4932"/>
            <w:vAlign w:val="top"/>
            <w:tcMar>
              <w:top w:w="90" w:type="dxa"/>
              <w:start w:w="90" w:type="dxa"/>
              <w:bottom w:w="90" w:type="dxa"/>
              <w:end w:w="90" w:type="dxa"/>
            </w:tcMar>
            <w:shd w:fill="F2F4F5"/>
          </w:tcPr>
          <w:p>
            <w:pPr>
              <w:spacing w:after="20" w:line="240" w:lineRule="auto"/>
            </w:pPr>
            <w:r>
              <w:rPr>
                <w:color w:val="17324D"/>
                <w:sz w:val="16"/>
              </w:rPr>
              <w:t>Structural calculations  anchoring  marine coatings  safe shutdown procedure</w:t>
            </w:r>
          </w:p>
        </w:tc>
      </w:tr>
      <w:tr>
        <w:tc>
          <w:tcPr>
            <w:tcW w:type="dxa" w:w="3175"/>
            <w:vAlign w:val="top"/>
            <w:tcMar>
              <w:top w:w="90" w:type="dxa"/>
              <w:start w:w="90" w:type="dxa"/>
              <w:bottom w:w="90" w:type="dxa"/>
              <w:end w:w="90" w:type="dxa"/>
            </w:tcMar>
          </w:tcPr>
          <w:p>
            <w:pPr>
              <w:spacing w:after="20" w:line="240" w:lineRule="auto"/>
            </w:pPr>
            <w:r>
              <w:rPr>
                <w:color w:val="17324D"/>
                <w:sz w:val="16"/>
              </w:rPr>
              <w:t>Service  spares and training</w:t>
            </w:r>
          </w:p>
        </w:tc>
        <w:tc>
          <w:tcPr>
            <w:tcW w:type="dxa" w:w="1134"/>
            <w:vAlign w:val="top"/>
            <w:tcMar>
              <w:top w:w="90" w:type="dxa"/>
              <w:start w:w="90" w:type="dxa"/>
              <w:bottom w:w="90" w:type="dxa"/>
              <w:end w:w="90" w:type="dxa"/>
            </w:tcMar>
          </w:tcPr>
          <w:p>
            <w:pPr>
              <w:spacing w:after="20" w:line="240" w:lineRule="auto"/>
            </w:pPr>
            <w:r>
              <w:rPr>
                <w:color w:val="17324D"/>
                <w:sz w:val="16"/>
              </w:rPr>
              <w:t>10</w:t>
            </w:r>
          </w:p>
        </w:tc>
        <w:tc>
          <w:tcPr>
            <w:tcW w:type="dxa" w:w="4932"/>
            <w:vAlign w:val="top"/>
            <w:tcMar>
              <w:top w:w="90" w:type="dxa"/>
              <w:start w:w="90" w:type="dxa"/>
              <w:bottom w:w="90" w:type="dxa"/>
              <w:end w:w="90" w:type="dxa"/>
            </w:tcMar>
          </w:tcPr>
          <w:p>
            <w:pPr>
              <w:spacing w:after="20" w:line="240" w:lineRule="auto"/>
            </w:pPr>
            <w:r>
              <w:rPr>
                <w:color w:val="17324D"/>
                <w:sz w:val="16"/>
              </w:rPr>
              <w:t>Response time  EU or Caribbean stock  French manuals  operator course</w:t>
            </w:r>
          </w:p>
        </w:tc>
      </w:tr>
      <w:tr>
        <w:tc>
          <w:tcPr>
            <w:tcW w:type="dxa" w:w="3175"/>
            <w:vAlign w:val="top"/>
            <w:tcMar>
              <w:top w:w="90" w:type="dxa"/>
              <w:start w:w="90" w:type="dxa"/>
              <w:bottom w:w="90" w:type="dxa"/>
              <w:end w:w="90" w:type="dxa"/>
            </w:tcMar>
            <w:shd w:fill="F2F4F5"/>
          </w:tcPr>
          <w:p>
            <w:pPr>
              <w:spacing w:after="20" w:line="240" w:lineRule="auto"/>
            </w:pPr>
            <w:r>
              <w:rPr>
                <w:color w:val="17324D"/>
                <w:sz w:val="16"/>
              </w:rPr>
              <w:t>Lifecycle cost</w:t>
            </w:r>
          </w:p>
        </w:tc>
        <w:tc>
          <w:tcPr>
            <w:tcW w:type="dxa" w:w="1134"/>
            <w:vAlign w:val="top"/>
            <w:tcMar>
              <w:top w:w="90" w:type="dxa"/>
              <w:start w:w="90" w:type="dxa"/>
              <w:bottom w:w="90" w:type="dxa"/>
              <w:end w:w="90" w:type="dxa"/>
            </w:tcMar>
            <w:shd w:fill="F2F4F5"/>
          </w:tcPr>
          <w:p>
            <w:pPr>
              <w:spacing w:after="20" w:line="240" w:lineRule="auto"/>
            </w:pPr>
            <w:r>
              <w:rPr>
                <w:color w:val="17324D"/>
                <w:sz w:val="16"/>
              </w:rPr>
              <w:t>10</w:t>
            </w:r>
          </w:p>
        </w:tc>
        <w:tc>
          <w:tcPr>
            <w:tcW w:type="dxa" w:w="4932"/>
            <w:vAlign w:val="top"/>
            <w:tcMar>
              <w:top w:w="90" w:type="dxa"/>
              <w:start w:w="90" w:type="dxa"/>
              <w:bottom w:w="90" w:type="dxa"/>
              <w:end w:w="90" w:type="dxa"/>
            </w:tcMar>
            <w:shd w:fill="F2F4F5"/>
          </w:tcPr>
          <w:p>
            <w:pPr>
              <w:spacing w:after="20" w:line="240" w:lineRule="auto"/>
            </w:pPr>
            <w:r>
              <w:rPr>
                <w:color w:val="17324D"/>
                <w:sz w:val="16"/>
              </w:rPr>
              <w:t>20-year NPV assumptions disclosed  chemicals  membranes  energy  disposal</w:t>
            </w:r>
          </w:p>
        </w:tc>
      </w:tr>
      <w:tr>
        <w:tc>
          <w:tcPr>
            <w:tcW w:type="dxa" w:w="3175"/>
            <w:vAlign w:val="top"/>
            <w:tcMar>
              <w:top w:w="90" w:type="dxa"/>
              <w:start w:w="90" w:type="dxa"/>
              <w:bottom w:w="90" w:type="dxa"/>
              <w:end w:w="90" w:type="dxa"/>
            </w:tcMar>
          </w:tcPr>
          <w:p>
            <w:pPr>
              <w:spacing w:after="20" w:line="240" w:lineRule="auto"/>
            </w:pPr>
            <w:r>
              <w:rPr>
                <w:color w:val="17324D"/>
                <w:sz w:val="16"/>
              </w:rPr>
              <w:t>Circularity and local value</w:t>
            </w:r>
          </w:p>
        </w:tc>
        <w:tc>
          <w:tcPr>
            <w:tcW w:type="dxa" w:w="1134"/>
            <w:vAlign w:val="top"/>
            <w:tcMar>
              <w:top w:w="90" w:type="dxa"/>
              <w:start w:w="90" w:type="dxa"/>
              <w:bottom w:w="90" w:type="dxa"/>
              <w:end w:w="90" w:type="dxa"/>
            </w:tcMar>
          </w:tcPr>
          <w:p>
            <w:pPr>
              <w:spacing w:after="20" w:line="240" w:lineRule="auto"/>
            </w:pPr>
            <w:r>
              <w:rPr>
                <w:color w:val="17324D"/>
                <w:sz w:val="16"/>
              </w:rPr>
              <w:t>5</w:t>
            </w:r>
          </w:p>
        </w:tc>
        <w:tc>
          <w:tcPr>
            <w:tcW w:type="dxa" w:w="4932"/>
            <w:vAlign w:val="top"/>
            <w:tcMar>
              <w:top w:w="90" w:type="dxa"/>
              <w:start w:w="90" w:type="dxa"/>
              <w:bottom w:w="90" w:type="dxa"/>
              <w:end w:w="90" w:type="dxa"/>
            </w:tcMar>
          </w:tcPr>
          <w:p>
            <w:pPr>
              <w:spacing w:after="20" w:line="240" w:lineRule="auto"/>
            </w:pPr>
            <w:r>
              <w:rPr>
                <w:color w:val="17324D"/>
                <w:sz w:val="16"/>
              </w:rPr>
              <w:t>Repairability  local fabrication share  take-back and material recovery</w:t>
            </w:r>
          </w:p>
        </w:tc>
      </w:tr>
    </w:tbl>
    <w:p>
      <w:pPr>
        <w:spacing w:after="0"/>
      </w:pPr>
    </w:p>
    <w:p>
      <w:pPr>
        <w:pStyle w:val="Heading2"/>
      </w:pPr>
      <w:r>
        <w:t>Current buy and quote matrix</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701"/>
            <w:shd w:fill="17324D"/>
            <w:vAlign w:val="center"/>
            <w:tcMar>
              <w:top w:w="90" w:type="dxa"/>
              <w:start w:w="90" w:type="dxa"/>
              <w:bottom w:w="90" w:type="dxa"/>
              <w:end w:w="90" w:type="dxa"/>
            </w:tcMar>
          </w:tcPr>
          <w:p>
            <w:r>
              <w:rPr>
                <w:b/>
                <w:color w:val="FFFFFF"/>
                <w:sz w:val="13"/>
              </w:rPr>
              <w:t>Need</w:t>
            </w:r>
          </w:p>
        </w:tc>
        <w:tc>
          <w:tcPr>
            <w:tcW w:type="dxa" w:w="2891"/>
            <w:shd w:fill="17324D"/>
            <w:vAlign w:val="center"/>
            <w:tcMar>
              <w:top w:w="90" w:type="dxa"/>
              <w:start w:w="90" w:type="dxa"/>
              <w:bottom w:w="90" w:type="dxa"/>
              <w:end w:w="90" w:type="dxa"/>
            </w:tcMar>
          </w:tcPr>
          <w:p>
            <w:r>
              <w:rPr>
                <w:b/>
                <w:color w:val="FFFFFF"/>
                <w:sz w:val="13"/>
              </w:rPr>
              <w:t>EU or local lead</w:t>
            </w:r>
          </w:p>
        </w:tc>
        <w:tc>
          <w:tcPr>
            <w:tcW w:type="dxa" w:w="2438"/>
            <w:shd w:fill="17324D"/>
            <w:vAlign w:val="center"/>
            <w:tcMar>
              <w:top w:w="90" w:type="dxa"/>
              <w:start w:w="90" w:type="dxa"/>
              <w:bottom w:w="90" w:type="dxa"/>
              <w:end w:w="90" w:type="dxa"/>
            </w:tcMar>
          </w:tcPr>
          <w:p>
            <w:r>
              <w:rPr>
                <w:b/>
                <w:color w:val="FFFFFF"/>
                <w:sz w:val="13"/>
              </w:rPr>
              <w:t>Non-EU comparison</w:t>
            </w:r>
          </w:p>
        </w:tc>
        <w:tc>
          <w:tcPr>
            <w:tcW w:type="dxa" w:w="2211"/>
            <w:shd w:fill="17324D"/>
            <w:vAlign w:val="center"/>
            <w:tcMar>
              <w:top w:w="90" w:type="dxa"/>
              <w:start w:w="90" w:type="dxa"/>
              <w:bottom w:w="90" w:type="dxa"/>
              <w:end w:w="90" w:type="dxa"/>
            </w:tcMar>
          </w:tcPr>
          <w:p>
            <w:r>
              <w:rPr>
                <w:b/>
                <w:color w:val="FFFFFF"/>
                <w:sz w:val="13"/>
              </w:rPr>
              <w:t>Procurement action</w:t>
            </w:r>
          </w:p>
        </w:tc>
      </w:tr>
      <w:tr>
        <w:tc>
          <w:tcPr>
            <w:tcW w:type="dxa" w:w="1701"/>
            <w:vAlign w:val="top"/>
            <w:tcMar>
              <w:top w:w="90" w:type="dxa"/>
              <w:start w:w="90" w:type="dxa"/>
              <w:bottom w:w="90" w:type="dxa"/>
              <w:end w:w="90" w:type="dxa"/>
            </w:tcMar>
          </w:tcPr>
          <w:p>
            <w:pPr>
              <w:spacing w:after="20" w:line="240" w:lineRule="auto"/>
            </w:pPr>
            <w:r>
              <w:rPr>
                <w:color w:val="17324D"/>
                <w:sz w:val="13"/>
              </w:rPr>
              <w:t>Rain storage</w:t>
            </w:r>
          </w:p>
        </w:tc>
        <w:tc>
          <w:tcPr>
            <w:tcW w:type="dxa" w:w="2891"/>
            <w:vAlign w:val="top"/>
            <w:tcMar>
              <w:top w:w="90" w:type="dxa"/>
              <w:start w:w="90" w:type="dxa"/>
              <w:bottom w:w="90" w:type="dxa"/>
              <w:end w:w="90" w:type="dxa"/>
            </w:tcMar>
          </w:tcPr>
          <w:p>
            <w:pPr>
              <w:spacing w:after="20" w:line="240" w:lineRule="auto"/>
            </w:pPr>
            <w:r>
              <w:rPr>
                <w:color w:val="17324D"/>
                <w:sz w:val="13"/>
              </w:rPr>
              <w:t>PROCAP  Bèl Lapli  Soley K'raïb  PAK971  GRAF</w:t>
            </w:r>
          </w:p>
        </w:tc>
        <w:tc>
          <w:tcPr>
            <w:tcW w:type="dxa" w:w="2438"/>
            <w:vAlign w:val="top"/>
            <w:tcMar>
              <w:top w:w="90" w:type="dxa"/>
              <w:start w:w="90" w:type="dxa"/>
              <w:bottom w:w="90" w:type="dxa"/>
              <w:end w:w="90" w:type="dxa"/>
            </w:tcMar>
          </w:tcPr>
          <w:p>
            <w:pPr>
              <w:spacing w:after="20" w:line="240" w:lineRule="auto"/>
            </w:pPr>
            <w:r>
              <w:rPr>
                <w:color w:val="17324D"/>
                <w:sz w:val="13"/>
              </w:rPr>
              <w:t>Chinese tanks only if freight and ACS-equivalent dossier justify</w:t>
            </w:r>
          </w:p>
        </w:tc>
        <w:tc>
          <w:tcPr>
            <w:tcW w:type="dxa" w:w="2211"/>
            <w:vAlign w:val="top"/>
            <w:tcMar>
              <w:top w:w="90" w:type="dxa"/>
              <w:start w:w="90" w:type="dxa"/>
              <w:bottom w:w="90" w:type="dxa"/>
              <w:end w:w="90" w:type="dxa"/>
            </w:tcMar>
          </w:tcPr>
          <w:p>
            <w:pPr>
              <w:spacing w:after="20" w:line="240" w:lineRule="auto"/>
            </w:pPr>
            <w:r>
              <w:rPr>
                <w:color w:val="17324D"/>
                <w:sz w:val="13"/>
              </w:rPr>
              <w:t>Buy locally after civil and potable-use check</w:t>
            </w:r>
          </w:p>
        </w:tc>
      </w:tr>
      <w:tr>
        <w:tc>
          <w:tcPr>
            <w:tcW w:type="dxa" w:w="1701"/>
            <w:vAlign w:val="top"/>
            <w:tcMar>
              <w:top w:w="90" w:type="dxa"/>
              <w:start w:w="90" w:type="dxa"/>
              <w:bottom w:w="90" w:type="dxa"/>
              <w:end w:w="90" w:type="dxa"/>
            </w:tcMar>
            <w:shd w:fill="F2F4F5"/>
          </w:tcPr>
          <w:p>
            <w:pPr>
              <w:spacing w:after="20" w:line="240" w:lineRule="auto"/>
            </w:pPr>
            <w:r>
              <w:rPr>
                <w:color w:val="17324D"/>
                <w:sz w:val="13"/>
              </w:rPr>
              <w:t>Fog pilot</w:t>
            </w:r>
          </w:p>
        </w:tc>
        <w:tc>
          <w:tcPr>
            <w:tcW w:type="dxa" w:w="2891"/>
            <w:vAlign w:val="top"/>
            <w:tcMar>
              <w:top w:w="90" w:type="dxa"/>
              <w:start w:w="90" w:type="dxa"/>
              <w:bottom w:w="90" w:type="dxa"/>
              <w:end w:w="90" w:type="dxa"/>
            </w:tcMar>
            <w:shd w:fill="F2F4F5"/>
          </w:tcPr>
          <w:p>
            <w:pPr>
              <w:spacing w:after="20" w:line="240" w:lineRule="auto"/>
            </w:pPr>
            <w:r>
              <w:rPr>
                <w:color w:val="17324D"/>
                <w:sz w:val="13"/>
              </w:rPr>
              <w:t>CloudFisher Germany  KnitMesh UK  local SFC fabrication</w:t>
            </w:r>
          </w:p>
        </w:tc>
        <w:tc>
          <w:tcPr>
            <w:tcW w:type="dxa" w:w="2438"/>
            <w:vAlign w:val="top"/>
            <w:tcMar>
              <w:top w:w="90" w:type="dxa"/>
              <w:start w:w="90" w:type="dxa"/>
              <w:bottom w:w="90" w:type="dxa"/>
              <w:end w:w="90" w:type="dxa"/>
            </w:tcMar>
            <w:shd w:fill="F2F4F5"/>
          </w:tcPr>
          <w:p>
            <w:pPr>
              <w:spacing w:after="20" w:line="240" w:lineRule="auto"/>
            </w:pPr>
            <w:r>
              <w:rPr>
                <w:color w:val="17324D"/>
                <w:sz w:val="13"/>
              </w:rPr>
              <w:t>FogQuest Canada and Chile mesh</w:t>
            </w:r>
          </w:p>
        </w:tc>
        <w:tc>
          <w:tcPr>
            <w:tcW w:type="dxa" w:w="2211"/>
            <w:vAlign w:val="top"/>
            <w:tcMar>
              <w:top w:w="90" w:type="dxa"/>
              <w:start w:w="90" w:type="dxa"/>
              <w:bottom w:w="90" w:type="dxa"/>
              <w:end w:w="90" w:type="dxa"/>
            </w:tcMar>
            <w:shd w:fill="F2F4F5"/>
          </w:tcPr>
          <w:p>
            <w:pPr>
              <w:spacing w:after="20" w:line="240" w:lineRule="auto"/>
            </w:pPr>
            <w:r>
              <w:rPr>
                <w:color w:val="17324D"/>
                <w:sz w:val="13"/>
              </w:rPr>
              <w:t>Buy six standard collectors  not a production field yet</w:t>
            </w:r>
          </w:p>
        </w:tc>
      </w:tr>
      <w:tr>
        <w:tc>
          <w:tcPr>
            <w:tcW w:type="dxa" w:w="1701"/>
            <w:vAlign w:val="top"/>
            <w:tcMar>
              <w:top w:w="90" w:type="dxa"/>
              <w:start w:w="90" w:type="dxa"/>
              <w:bottom w:w="90" w:type="dxa"/>
              <w:end w:w="90" w:type="dxa"/>
            </w:tcMar>
          </w:tcPr>
          <w:p>
            <w:pPr>
              <w:spacing w:after="20" w:line="240" w:lineRule="auto"/>
            </w:pPr>
            <w:r>
              <w:rPr>
                <w:color w:val="17324D"/>
                <w:sz w:val="13"/>
              </w:rPr>
              <w:t>Passive solar still</w:t>
            </w:r>
          </w:p>
        </w:tc>
        <w:tc>
          <w:tcPr>
            <w:tcW w:type="dxa" w:w="2891"/>
            <w:vAlign w:val="top"/>
            <w:tcMar>
              <w:top w:w="90" w:type="dxa"/>
              <w:start w:w="90" w:type="dxa"/>
              <w:bottom w:w="90" w:type="dxa"/>
              <w:end w:w="90" w:type="dxa"/>
            </w:tcMar>
          </w:tcPr>
          <w:p>
            <w:pPr>
              <w:spacing w:after="20" w:line="240" w:lineRule="auto"/>
            </w:pPr>
            <w:r>
              <w:rPr>
                <w:color w:val="17324D"/>
                <w:sz w:val="13"/>
              </w:rPr>
              <w:t>GWS-1 Guadeloupe build</w:t>
            </w:r>
          </w:p>
        </w:tc>
        <w:tc>
          <w:tcPr>
            <w:tcW w:type="dxa" w:w="2438"/>
            <w:vAlign w:val="top"/>
            <w:tcMar>
              <w:top w:w="90" w:type="dxa"/>
              <w:start w:w="90" w:type="dxa"/>
              <w:bottom w:w="90" w:type="dxa"/>
              <w:end w:w="90" w:type="dxa"/>
            </w:tcMar>
          </w:tcPr>
          <w:p>
            <w:pPr>
              <w:spacing w:after="20" w:line="240" w:lineRule="auto"/>
            </w:pPr>
            <w:r>
              <w:rPr>
                <w:color w:val="17324D"/>
                <w:sz w:val="13"/>
              </w:rPr>
              <w:t>Carocell Australia benchmark</w:t>
            </w:r>
          </w:p>
        </w:tc>
        <w:tc>
          <w:tcPr>
            <w:tcW w:type="dxa" w:w="2211"/>
            <w:vAlign w:val="top"/>
            <w:tcMar>
              <w:top w:w="90" w:type="dxa"/>
              <w:start w:w="90" w:type="dxa"/>
              <w:bottom w:w="90" w:type="dxa"/>
              <w:end w:w="90" w:type="dxa"/>
            </w:tcMar>
          </w:tcPr>
          <w:p>
            <w:pPr>
              <w:spacing w:after="20" w:line="240" w:lineRule="auto"/>
            </w:pPr>
            <w:r>
              <w:rPr>
                <w:color w:val="17324D"/>
                <w:sz w:val="13"/>
              </w:rPr>
              <w:t>Build twelve GWS-1 and buy one comparator</w:t>
            </w:r>
          </w:p>
        </w:tc>
      </w:tr>
      <w:tr>
        <w:tc>
          <w:tcPr>
            <w:tcW w:type="dxa" w:w="1701"/>
            <w:vAlign w:val="top"/>
            <w:tcMar>
              <w:top w:w="90" w:type="dxa"/>
              <w:start w:w="90" w:type="dxa"/>
              <w:bottom w:w="90" w:type="dxa"/>
              <w:end w:w="90" w:type="dxa"/>
            </w:tcMar>
            <w:shd w:fill="F2F4F5"/>
          </w:tcPr>
          <w:p>
            <w:pPr>
              <w:spacing w:after="20" w:line="240" w:lineRule="auto"/>
            </w:pPr>
            <w:r>
              <w:rPr>
                <w:color w:val="17324D"/>
                <w:sz w:val="13"/>
              </w:rPr>
              <w:t>Manual emergency RO</w:t>
            </w:r>
          </w:p>
        </w:tc>
        <w:tc>
          <w:tcPr>
            <w:tcW w:type="dxa" w:w="2891"/>
            <w:vAlign w:val="top"/>
            <w:tcMar>
              <w:top w:w="90" w:type="dxa"/>
              <w:start w:w="90" w:type="dxa"/>
              <w:bottom w:w="90" w:type="dxa"/>
              <w:end w:w="90" w:type="dxa"/>
            </w:tcMar>
            <w:shd w:fill="F2F4F5"/>
          </w:tcPr>
          <w:p>
            <w:pPr>
              <w:spacing w:after="20" w:line="240" w:lineRule="auto"/>
            </w:pPr>
            <w:r>
              <w:rPr>
                <w:color w:val="17324D"/>
                <w:sz w:val="13"/>
              </w:rPr>
              <w:t>Katadyn Switzerland</w:t>
            </w:r>
          </w:p>
        </w:tc>
        <w:tc>
          <w:tcPr>
            <w:tcW w:type="dxa" w:w="2438"/>
            <w:vAlign w:val="top"/>
            <w:tcMar>
              <w:top w:w="90" w:type="dxa"/>
              <w:start w:w="90" w:type="dxa"/>
              <w:bottom w:w="90" w:type="dxa"/>
              <w:end w:w="90" w:type="dxa"/>
            </w:tcMar>
            <w:shd w:fill="F2F4F5"/>
          </w:tcPr>
          <w:p>
            <w:pPr>
              <w:spacing w:after="20" w:line="240" w:lineRule="auto"/>
            </w:pPr>
            <w:r>
              <w:rPr>
                <w:color w:val="17324D"/>
                <w:sz w:val="13"/>
              </w:rPr>
              <w:t>Other marine units only after service and parts check</w:t>
            </w:r>
          </w:p>
        </w:tc>
        <w:tc>
          <w:tcPr>
            <w:tcW w:type="dxa" w:w="2211"/>
            <w:vAlign w:val="top"/>
            <w:tcMar>
              <w:top w:w="90" w:type="dxa"/>
              <w:start w:w="90" w:type="dxa"/>
              <w:bottom w:w="90" w:type="dxa"/>
              <w:end w:w="90" w:type="dxa"/>
            </w:tcMar>
            <w:shd w:fill="F2F4F5"/>
          </w:tcPr>
          <w:p>
            <w:pPr>
              <w:spacing w:after="20" w:line="240" w:lineRule="auto"/>
            </w:pPr>
            <w:r>
              <w:rPr>
                <w:color w:val="17324D"/>
                <w:sz w:val="13"/>
              </w:rPr>
              <w:t>Buy for clinics  shelters and response teams</w:t>
            </w:r>
          </w:p>
        </w:tc>
      </w:tr>
      <w:tr>
        <w:tc>
          <w:tcPr>
            <w:tcW w:type="dxa" w:w="1701"/>
            <w:vAlign w:val="top"/>
            <w:tcMar>
              <w:top w:w="90" w:type="dxa"/>
              <w:start w:w="90" w:type="dxa"/>
              <w:bottom w:w="90" w:type="dxa"/>
              <w:end w:w="90" w:type="dxa"/>
            </w:tcMar>
          </w:tcPr>
          <w:p>
            <w:pPr>
              <w:spacing w:after="20" w:line="240" w:lineRule="auto"/>
            </w:pPr>
            <w:r>
              <w:rPr>
                <w:color w:val="17324D"/>
                <w:sz w:val="13"/>
              </w:rPr>
              <w:t>Small solar DC RO</w:t>
            </w:r>
          </w:p>
        </w:tc>
        <w:tc>
          <w:tcPr>
            <w:tcW w:type="dxa" w:w="2891"/>
            <w:vAlign w:val="top"/>
            <w:tcMar>
              <w:top w:w="90" w:type="dxa"/>
              <w:start w:w="90" w:type="dxa"/>
              <w:bottom w:w="90" w:type="dxa"/>
              <w:end w:w="90" w:type="dxa"/>
            </w:tcMar>
          </w:tcPr>
          <w:p>
            <w:pPr>
              <w:spacing w:after="20" w:line="240" w:lineRule="auto"/>
            </w:pPr>
            <w:r>
              <w:rPr>
                <w:color w:val="17324D"/>
                <w:sz w:val="13"/>
              </w:rPr>
              <w:t>No stronger EU low-power household comparator identified</w:t>
            </w:r>
          </w:p>
        </w:tc>
        <w:tc>
          <w:tcPr>
            <w:tcW w:type="dxa" w:w="2438"/>
            <w:vAlign w:val="top"/>
            <w:tcMar>
              <w:top w:w="90" w:type="dxa"/>
              <w:start w:w="90" w:type="dxa"/>
              <w:bottom w:w="90" w:type="dxa"/>
              <w:end w:w="90" w:type="dxa"/>
            </w:tcMar>
          </w:tcPr>
          <w:p>
            <w:pPr>
              <w:spacing w:after="20" w:line="240" w:lineRule="auto"/>
            </w:pPr>
            <w:r>
              <w:rPr>
                <w:color w:val="17324D"/>
                <w:sz w:val="13"/>
              </w:rPr>
              <w:t>Spectra USA</w:t>
            </w:r>
          </w:p>
        </w:tc>
        <w:tc>
          <w:tcPr>
            <w:tcW w:type="dxa" w:w="2211"/>
            <w:vAlign w:val="top"/>
            <w:tcMar>
              <w:top w:w="90" w:type="dxa"/>
              <w:start w:w="90" w:type="dxa"/>
              <w:bottom w:w="90" w:type="dxa"/>
              <w:end w:w="90" w:type="dxa"/>
            </w:tcMar>
          </w:tcPr>
          <w:p>
            <w:pPr>
              <w:spacing w:after="20" w:line="240" w:lineRule="auto"/>
            </w:pPr>
            <w:r>
              <w:rPr>
                <w:color w:val="17324D"/>
                <w:sz w:val="13"/>
              </w:rPr>
              <w:t>Buy one field unit and retain full spares</w:t>
            </w:r>
          </w:p>
        </w:tc>
      </w:tr>
      <w:tr>
        <w:tc>
          <w:tcPr>
            <w:tcW w:type="dxa" w:w="1701"/>
            <w:vAlign w:val="top"/>
            <w:tcMar>
              <w:top w:w="90" w:type="dxa"/>
              <w:start w:w="90" w:type="dxa"/>
              <w:bottom w:w="90" w:type="dxa"/>
              <w:end w:w="90" w:type="dxa"/>
            </w:tcMar>
            <w:shd w:fill="F2F4F5"/>
          </w:tcPr>
          <w:p>
            <w:pPr>
              <w:spacing w:after="20" w:line="240" w:lineRule="auto"/>
            </w:pPr>
            <w:r>
              <w:rPr>
                <w:color w:val="17324D"/>
                <w:sz w:val="13"/>
              </w:rPr>
              <w:t>120 m³/day solar SWRO</w:t>
            </w:r>
          </w:p>
        </w:tc>
        <w:tc>
          <w:tcPr>
            <w:tcW w:type="dxa" w:w="2891"/>
            <w:vAlign w:val="top"/>
            <w:tcMar>
              <w:top w:w="90" w:type="dxa"/>
              <w:start w:w="90" w:type="dxa"/>
              <w:bottom w:w="90" w:type="dxa"/>
              <w:end w:w="90" w:type="dxa"/>
            </w:tcMar>
            <w:shd w:fill="F2F4F5"/>
          </w:tcPr>
          <w:p>
            <w:pPr>
              <w:spacing w:after="20" w:line="240" w:lineRule="auto"/>
            </w:pPr>
            <w:r>
              <w:rPr>
                <w:color w:val="17324D"/>
                <w:sz w:val="13"/>
              </w:rPr>
              <w:t>OSMOSUN France lead  Elemental Netherlands  Solar Water Solutions Finland  B and P Italy</w:t>
            </w:r>
          </w:p>
        </w:tc>
        <w:tc>
          <w:tcPr>
            <w:tcW w:type="dxa" w:w="2438"/>
            <w:vAlign w:val="top"/>
            <w:tcMar>
              <w:top w:w="90" w:type="dxa"/>
              <w:start w:w="90" w:type="dxa"/>
              <w:bottom w:w="90" w:type="dxa"/>
              <w:end w:w="90" w:type="dxa"/>
            </w:tcMar>
            <w:shd w:fill="F2F4F5"/>
          </w:tcPr>
          <w:p>
            <w:pPr>
              <w:spacing w:after="20" w:line="240" w:lineRule="auto"/>
            </w:pPr>
            <w:r>
              <w:rPr>
                <w:color w:val="17324D"/>
                <w:sz w:val="13"/>
              </w:rPr>
              <w:t>FHNED  Wangyang  Hexing China</w:t>
            </w:r>
          </w:p>
        </w:tc>
        <w:tc>
          <w:tcPr>
            <w:tcW w:type="dxa" w:w="2211"/>
            <w:vAlign w:val="top"/>
            <w:tcMar>
              <w:top w:w="90" w:type="dxa"/>
              <w:start w:w="90" w:type="dxa"/>
              <w:bottom w:w="90" w:type="dxa"/>
              <w:end w:w="90" w:type="dxa"/>
            </w:tcMar>
            <w:shd w:fill="F2F4F5"/>
          </w:tcPr>
          <w:p>
            <w:pPr>
              <w:spacing w:after="20" w:line="240" w:lineRule="auto"/>
            </w:pPr>
            <w:r>
              <w:rPr>
                <w:color w:val="17324D"/>
                <w:sz w:val="13"/>
              </w:rPr>
              <w:t>Two-stage tender with witnessed FAT and lifecycle scoring</w:t>
            </w:r>
          </w:p>
        </w:tc>
      </w:tr>
      <w:tr>
        <w:tc>
          <w:tcPr>
            <w:tcW w:type="dxa" w:w="1701"/>
            <w:vAlign w:val="top"/>
            <w:tcMar>
              <w:top w:w="90" w:type="dxa"/>
              <w:start w:w="90" w:type="dxa"/>
              <w:bottom w:w="90" w:type="dxa"/>
              <w:end w:w="90" w:type="dxa"/>
            </w:tcMar>
          </w:tcPr>
          <w:p>
            <w:pPr>
              <w:spacing w:after="20" w:line="240" w:lineRule="auto"/>
            </w:pPr>
            <w:r>
              <w:rPr>
                <w:color w:val="17324D"/>
                <w:sz w:val="13"/>
              </w:rPr>
              <w:t>AWG emergency</w:t>
            </w:r>
          </w:p>
        </w:tc>
        <w:tc>
          <w:tcPr>
            <w:tcW w:type="dxa" w:w="2891"/>
            <w:vAlign w:val="top"/>
            <w:tcMar>
              <w:top w:w="90" w:type="dxa"/>
              <w:start w:w="90" w:type="dxa"/>
              <w:bottom w:w="90" w:type="dxa"/>
              <w:end w:w="90" w:type="dxa"/>
            </w:tcMar>
          </w:tcPr>
          <w:p>
            <w:pPr>
              <w:spacing w:after="20" w:line="240" w:lineRule="auto"/>
            </w:pPr>
            <w:r>
              <w:rPr>
                <w:color w:val="17324D"/>
                <w:sz w:val="13"/>
              </w:rPr>
              <w:t>GENAQ Spain</w:t>
            </w:r>
          </w:p>
        </w:tc>
        <w:tc>
          <w:tcPr>
            <w:tcW w:type="dxa" w:w="2438"/>
            <w:vAlign w:val="top"/>
            <w:tcMar>
              <w:top w:w="90" w:type="dxa"/>
              <w:start w:w="90" w:type="dxa"/>
              <w:bottom w:w="90" w:type="dxa"/>
              <w:end w:w="90" w:type="dxa"/>
            </w:tcMar>
          </w:tcPr>
          <w:p>
            <w:pPr>
              <w:spacing w:after="20" w:line="240" w:lineRule="auto"/>
            </w:pPr>
            <w:r>
              <w:rPr>
                <w:color w:val="17324D"/>
                <w:sz w:val="13"/>
              </w:rPr>
              <w:t>Watergen Israel  FND or Heaven Springs China</w:t>
            </w:r>
          </w:p>
        </w:tc>
        <w:tc>
          <w:tcPr>
            <w:tcW w:type="dxa" w:w="2211"/>
            <w:vAlign w:val="top"/>
            <w:tcMar>
              <w:top w:w="90" w:type="dxa"/>
              <w:start w:w="90" w:type="dxa"/>
              <w:bottom w:w="90" w:type="dxa"/>
              <w:end w:w="90" w:type="dxa"/>
            </w:tcMar>
          </w:tcPr>
          <w:p>
            <w:pPr>
              <w:spacing w:after="20" w:line="240" w:lineRule="auto"/>
            </w:pPr>
            <w:r>
              <w:rPr>
                <w:color w:val="17324D"/>
                <w:sz w:val="13"/>
              </w:rPr>
              <w:t>Pilot only if a specific resilient use case exists</w:t>
            </w:r>
          </w:p>
        </w:tc>
      </w:tr>
      <w:tr>
        <w:tc>
          <w:tcPr>
            <w:tcW w:type="dxa" w:w="1701"/>
            <w:vAlign w:val="top"/>
            <w:tcMar>
              <w:top w:w="90" w:type="dxa"/>
              <w:start w:w="90" w:type="dxa"/>
              <w:bottom w:w="90" w:type="dxa"/>
              <w:end w:w="90" w:type="dxa"/>
            </w:tcMar>
            <w:shd w:fill="F2F4F5"/>
          </w:tcPr>
          <w:p>
            <w:pPr>
              <w:spacing w:after="20" w:line="240" w:lineRule="auto"/>
            </w:pPr>
            <w:r>
              <w:rPr>
                <w:color w:val="17324D"/>
                <w:sz w:val="13"/>
              </w:rPr>
              <w:t>Brine recovery pilot</w:t>
            </w:r>
          </w:p>
        </w:tc>
        <w:tc>
          <w:tcPr>
            <w:tcW w:type="dxa" w:w="2891"/>
            <w:vAlign w:val="top"/>
            <w:tcMar>
              <w:top w:w="90" w:type="dxa"/>
              <w:start w:w="90" w:type="dxa"/>
              <w:bottom w:w="90" w:type="dxa"/>
              <w:end w:w="90" w:type="dxa"/>
            </w:tcMar>
            <w:shd w:fill="F2F4F5"/>
          </w:tcPr>
          <w:p>
            <w:pPr>
              <w:spacing w:after="20" w:line="240" w:lineRule="auto"/>
            </w:pPr>
            <w:r>
              <w:rPr>
                <w:color w:val="17324D"/>
                <w:sz w:val="13"/>
              </w:rPr>
              <w:t>RN Solutions Netherlands  memsys Germany  Salinity Solutions UK for suitable feed</w:t>
            </w:r>
          </w:p>
        </w:tc>
        <w:tc>
          <w:tcPr>
            <w:tcW w:type="dxa" w:w="2438"/>
            <w:vAlign w:val="top"/>
            <w:tcMar>
              <w:top w:w="90" w:type="dxa"/>
              <w:start w:w="90" w:type="dxa"/>
              <w:bottom w:w="90" w:type="dxa"/>
              <w:end w:w="90" w:type="dxa"/>
            </w:tcMar>
            <w:shd w:fill="F2F4F5"/>
          </w:tcPr>
          <w:p>
            <w:pPr>
              <w:spacing w:after="20" w:line="240" w:lineRule="auto"/>
            </w:pPr>
            <w:r>
              <w:rPr>
                <w:color w:val="17324D"/>
                <w:sz w:val="13"/>
              </w:rPr>
              <w:t>Chinese MD or crystalliser only after references and lab test</w:t>
            </w:r>
          </w:p>
        </w:tc>
        <w:tc>
          <w:tcPr>
            <w:tcW w:type="dxa" w:w="2211"/>
            <w:vAlign w:val="top"/>
            <w:tcMar>
              <w:top w:w="90" w:type="dxa"/>
              <w:start w:w="90" w:type="dxa"/>
              <w:bottom w:w="90" w:type="dxa"/>
              <w:end w:w="90" w:type="dxa"/>
            </w:tcMar>
            <w:shd w:fill="F2F4F5"/>
          </w:tcPr>
          <w:p>
            <w:pPr>
              <w:spacing w:after="20" w:line="240" w:lineRule="auto"/>
            </w:pPr>
            <w:r>
              <w:rPr>
                <w:color w:val="17324D"/>
                <w:sz w:val="13"/>
              </w:rPr>
              <w:t>Treat as R&amp;D side-stream  not a prerequisite for water supply</w:t>
            </w:r>
          </w:p>
        </w:tc>
      </w:tr>
    </w:tbl>
    <w:p>
      <w:pPr>
        <w:spacing w:after="0"/>
      </w:pPr>
    </w:p>
    <w:p>
      <w:pPr>
        <w:pStyle w:val="Heading2"/>
      </w:pPr>
      <w:r>
        <w:t>Budget anchors not quotations</w:t>
      </w:r>
    </w:p>
    <w:tbl>
      <w:tblPr>
        <w:tblStyle w:val="TableGrid"/>
        <w:tblW w:type="auto" w:w="0"/>
        <w:jc w:val="center"/>
        <w:tblLayout w:type="fixed"/>
        <w:tblLook w:firstColumn="1" w:firstRow="1" w:lastColumn="0" w:lastRow="0" w:noHBand="0" w:noVBand="1" w:val="04A0"/>
      </w:tblPr>
      <w:tblGrid>
        <w:gridCol w:w="3457"/>
        <w:gridCol w:w="3457"/>
        <w:gridCol w:w="3457"/>
      </w:tblGrid>
      <w:tr>
        <w:trPr>
          <w:tblHeader w:val="true"/>
        </w:trPr>
        <w:tc>
          <w:tcPr>
            <w:tcW w:type="dxa" w:w="2438"/>
            <w:shd w:fill="17324D"/>
            <w:vAlign w:val="center"/>
            <w:tcMar>
              <w:top w:w="90" w:type="dxa"/>
              <w:start w:w="90" w:type="dxa"/>
              <w:bottom w:w="90" w:type="dxa"/>
              <w:end w:w="90" w:type="dxa"/>
            </w:tcMar>
          </w:tcPr>
          <w:p>
            <w:r>
              <w:rPr>
                <w:b/>
                <w:color w:val="FFFFFF"/>
                <w:sz w:val="15"/>
              </w:rPr>
              <w:t>Item</w:t>
            </w:r>
          </w:p>
        </w:tc>
        <w:tc>
          <w:tcPr>
            <w:tcW w:type="dxa" w:w="2438"/>
            <w:shd w:fill="17324D"/>
            <w:vAlign w:val="center"/>
            <w:tcMar>
              <w:top w:w="90" w:type="dxa"/>
              <w:start w:w="90" w:type="dxa"/>
              <w:bottom w:w="90" w:type="dxa"/>
              <w:end w:w="90" w:type="dxa"/>
            </w:tcMar>
          </w:tcPr>
          <w:p>
            <w:r>
              <w:rPr>
                <w:b/>
                <w:color w:val="FFFFFF"/>
                <w:sz w:val="15"/>
              </w:rPr>
              <w:t>Published screening figure</w:t>
            </w:r>
          </w:p>
        </w:tc>
        <w:tc>
          <w:tcPr>
            <w:tcW w:type="dxa" w:w="4365"/>
            <w:shd w:fill="17324D"/>
            <w:vAlign w:val="center"/>
            <w:tcMar>
              <w:top w:w="90" w:type="dxa"/>
              <w:start w:w="90" w:type="dxa"/>
              <w:bottom w:w="90" w:type="dxa"/>
              <w:end w:w="90" w:type="dxa"/>
            </w:tcMar>
          </w:tcPr>
          <w:p>
            <w:r>
              <w:rPr>
                <w:b/>
                <w:color w:val="FFFFFF"/>
                <w:sz w:val="15"/>
              </w:rPr>
              <w:t>How to use it</w:t>
            </w:r>
          </w:p>
        </w:tc>
      </w:tr>
      <w:tr>
        <w:tc>
          <w:tcPr>
            <w:tcW w:type="dxa" w:w="2438"/>
            <w:vAlign w:val="top"/>
            <w:tcMar>
              <w:top w:w="90" w:type="dxa"/>
              <w:start w:w="90" w:type="dxa"/>
              <w:bottom w:w="90" w:type="dxa"/>
              <w:end w:w="90" w:type="dxa"/>
            </w:tcMar>
          </w:tcPr>
          <w:p>
            <w:pPr>
              <w:spacing w:after="20" w:line="240" w:lineRule="auto"/>
            </w:pPr>
            <w:r>
              <w:rPr>
                <w:color w:val="17324D"/>
                <w:sz w:val="15"/>
              </w:rPr>
              <w:t>FogQuest standard test collector</w:t>
            </w:r>
          </w:p>
        </w:tc>
        <w:tc>
          <w:tcPr>
            <w:tcW w:type="dxa" w:w="2438"/>
            <w:vAlign w:val="top"/>
            <w:tcMar>
              <w:top w:w="90" w:type="dxa"/>
              <w:start w:w="90" w:type="dxa"/>
              <w:bottom w:w="90" w:type="dxa"/>
              <w:end w:w="90" w:type="dxa"/>
            </w:tcMar>
          </w:tcPr>
          <w:p>
            <w:pPr>
              <w:spacing w:after="20" w:line="240" w:lineRule="auto"/>
            </w:pPr>
            <w:r>
              <w:rPr>
                <w:color w:val="17324D"/>
                <w:sz w:val="15"/>
              </w:rPr>
              <w:t>US $75–200 each to build</w:t>
            </w:r>
          </w:p>
        </w:tc>
        <w:tc>
          <w:tcPr>
            <w:tcW w:type="dxa" w:w="4365"/>
            <w:vAlign w:val="top"/>
            <w:tcMar>
              <w:top w:w="90" w:type="dxa"/>
              <w:start w:w="90" w:type="dxa"/>
              <w:bottom w:w="90" w:type="dxa"/>
              <w:end w:w="90" w:type="dxa"/>
            </w:tcMar>
          </w:tcPr>
          <w:p>
            <w:pPr>
              <w:spacing w:after="20" w:line="240" w:lineRule="auto"/>
            </w:pPr>
            <w:r>
              <w:rPr>
                <w:color w:val="17324D"/>
                <w:sz w:val="15"/>
              </w:rPr>
              <w:t>Legacy public budget basis  confirm current mesh  labour  freight and expert siting</w:t>
            </w:r>
          </w:p>
        </w:tc>
      </w:tr>
      <w:tr>
        <w:tc>
          <w:tcPr>
            <w:tcW w:type="dxa" w:w="2438"/>
            <w:vAlign w:val="top"/>
            <w:tcMar>
              <w:top w:w="90" w:type="dxa"/>
              <w:start w:w="90" w:type="dxa"/>
              <w:bottom w:w="90" w:type="dxa"/>
              <w:end w:w="90" w:type="dxa"/>
            </w:tcMar>
            <w:shd w:fill="F2F4F5"/>
          </w:tcPr>
          <w:p>
            <w:pPr>
              <w:spacing w:after="20" w:line="240" w:lineRule="auto"/>
            </w:pPr>
            <w:r>
              <w:rPr>
                <w:color w:val="17324D"/>
                <w:sz w:val="15"/>
              </w:rPr>
              <w:t>FogQuest 40 m² large collector</w:t>
            </w:r>
          </w:p>
        </w:tc>
        <w:tc>
          <w:tcPr>
            <w:tcW w:type="dxa" w:w="2438"/>
            <w:vAlign w:val="top"/>
            <w:tcMar>
              <w:top w:w="90" w:type="dxa"/>
              <w:start w:w="90" w:type="dxa"/>
              <w:bottom w:w="90" w:type="dxa"/>
              <w:end w:w="90" w:type="dxa"/>
            </w:tcMar>
            <w:shd w:fill="F2F4F5"/>
          </w:tcPr>
          <w:p>
            <w:pPr>
              <w:spacing w:after="20" w:line="240" w:lineRule="auto"/>
            </w:pPr>
            <w:r>
              <w:rPr>
                <w:color w:val="17324D"/>
                <w:sz w:val="15"/>
              </w:rPr>
              <w:t>US $1,000–1,500 each  about 10-year life stated</w:t>
            </w:r>
          </w:p>
        </w:tc>
        <w:tc>
          <w:tcPr>
            <w:tcW w:type="dxa" w:w="4365"/>
            <w:vAlign w:val="top"/>
            <w:tcMar>
              <w:top w:w="90" w:type="dxa"/>
              <w:start w:w="90" w:type="dxa"/>
              <w:bottom w:w="90" w:type="dxa"/>
              <w:end w:w="90" w:type="dxa"/>
            </w:tcMar>
            <w:shd w:fill="F2F4F5"/>
          </w:tcPr>
          <w:p>
            <w:pPr>
              <w:spacing w:after="20" w:line="240" w:lineRule="auto"/>
            </w:pPr>
            <w:r>
              <w:rPr>
                <w:color w:val="17324D"/>
                <w:sz w:val="15"/>
              </w:rPr>
              <w:t>Legacy public budget basis  excludes cyclone adaptation  tanks and treatment</w:t>
            </w:r>
          </w:p>
        </w:tc>
      </w:tr>
      <w:tr>
        <w:tc>
          <w:tcPr>
            <w:tcW w:type="dxa" w:w="2438"/>
            <w:vAlign w:val="top"/>
            <w:tcMar>
              <w:top w:w="90" w:type="dxa"/>
              <w:start w:w="90" w:type="dxa"/>
              <w:bottom w:w="90" w:type="dxa"/>
              <w:end w:w="90" w:type="dxa"/>
            </w:tcMar>
          </w:tcPr>
          <w:p>
            <w:pPr>
              <w:spacing w:after="20" w:line="240" w:lineRule="auto"/>
            </w:pPr>
            <w:r>
              <w:rPr>
                <w:color w:val="17324D"/>
                <w:sz w:val="15"/>
              </w:rPr>
              <w:t>Elemental 5,000–11,000 L/day project</w:t>
            </w:r>
          </w:p>
        </w:tc>
        <w:tc>
          <w:tcPr>
            <w:tcW w:type="dxa" w:w="2438"/>
            <w:vAlign w:val="top"/>
            <w:tcMar>
              <w:top w:w="90" w:type="dxa"/>
              <w:start w:w="90" w:type="dxa"/>
              <w:bottom w:w="90" w:type="dxa"/>
              <w:end w:w="90" w:type="dxa"/>
            </w:tcMar>
          </w:tcPr>
          <w:p>
            <w:pPr>
              <w:spacing w:after="20" w:line="240" w:lineRule="auto"/>
            </w:pPr>
            <w:r>
              <w:rPr>
                <w:color w:val="17324D"/>
                <w:sz w:val="15"/>
              </w:rPr>
              <w:t>About €40,000–€70,000 indicative</w:t>
            </w:r>
          </w:p>
        </w:tc>
        <w:tc>
          <w:tcPr>
            <w:tcW w:type="dxa" w:w="4365"/>
            <w:vAlign w:val="top"/>
            <w:tcMar>
              <w:top w:w="90" w:type="dxa"/>
              <w:start w:w="90" w:type="dxa"/>
              <w:bottom w:w="90" w:type="dxa"/>
              <w:end w:w="90" w:type="dxa"/>
            </w:tcMar>
          </w:tcPr>
          <w:p>
            <w:pPr>
              <w:spacing w:after="20" w:line="240" w:lineRule="auto"/>
            </w:pPr>
            <w:r>
              <w:rPr>
                <w:color w:val="17324D"/>
                <w:sz w:val="15"/>
              </w:rPr>
              <w:t>2026 online screening range  confirm complete Guadeloupe scope</w:t>
            </w:r>
          </w:p>
        </w:tc>
      </w:tr>
      <w:tr>
        <w:tc>
          <w:tcPr>
            <w:tcW w:type="dxa" w:w="2438"/>
            <w:vAlign w:val="top"/>
            <w:tcMar>
              <w:top w:w="90" w:type="dxa"/>
              <w:start w:w="90" w:type="dxa"/>
              <w:bottom w:w="90" w:type="dxa"/>
              <w:end w:w="90" w:type="dxa"/>
            </w:tcMar>
            <w:shd w:fill="F2F4F5"/>
          </w:tcPr>
          <w:p>
            <w:pPr>
              <w:spacing w:after="20" w:line="240" w:lineRule="auto"/>
            </w:pPr>
            <w:r>
              <w:rPr>
                <w:color w:val="17324D"/>
                <w:sz w:val="15"/>
              </w:rPr>
              <w:t>Elemental 20,000–40,000 L/day project</w:t>
            </w:r>
          </w:p>
        </w:tc>
        <w:tc>
          <w:tcPr>
            <w:tcW w:type="dxa" w:w="2438"/>
            <w:vAlign w:val="top"/>
            <w:tcMar>
              <w:top w:w="90" w:type="dxa"/>
              <w:start w:w="90" w:type="dxa"/>
              <w:bottom w:w="90" w:type="dxa"/>
              <w:end w:w="90" w:type="dxa"/>
            </w:tcMar>
            <w:shd w:fill="F2F4F5"/>
          </w:tcPr>
          <w:p>
            <w:pPr>
              <w:spacing w:after="20" w:line="240" w:lineRule="auto"/>
            </w:pPr>
            <w:r>
              <w:rPr>
                <w:color w:val="17324D"/>
                <w:sz w:val="15"/>
              </w:rPr>
              <w:t>About €100,000–€120,000 indicative</w:t>
            </w:r>
          </w:p>
        </w:tc>
        <w:tc>
          <w:tcPr>
            <w:tcW w:type="dxa" w:w="4365"/>
            <w:vAlign w:val="top"/>
            <w:tcMar>
              <w:top w:w="90" w:type="dxa"/>
              <w:start w:w="90" w:type="dxa"/>
              <w:bottom w:w="90" w:type="dxa"/>
              <w:end w:w="90" w:type="dxa"/>
            </w:tcMar>
            <w:shd w:fill="F2F4F5"/>
          </w:tcPr>
          <w:p>
            <w:pPr>
              <w:spacing w:after="20" w:line="240" w:lineRule="auto"/>
            </w:pPr>
            <w:r>
              <w:rPr>
                <w:color w:val="17324D"/>
                <w:sz w:val="15"/>
              </w:rPr>
              <w:t>Use only to sanity-check bids  not an award price</w:t>
            </w:r>
          </w:p>
        </w:tc>
      </w:tr>
      <w:tr>
        <w:tc>
          <w:tcPr>
            <w:tcW w:type="dxa" w:w="2438"/>
            <w:vAlign w:val="top"/>
            <w:tcMar>
              <w:top w:w="90" w:type="dxa"/>
              <w:start w:w="90" w:type="dxa"/>
              <w:bottom w:w="90" w:type="dxa"/>
              <w:end w:w="90" w:type="dxa"/>
            </w:tcMar>
          </w:tcPr>
          <w:p>
            <w:pPr>
              <w:spacing w:after="20" w:line="240" w:lineRule="auto"/>
            </w:pPr>
            <w:r>
              <w:rPr>
                <w:color w:val="17324D"/>
                <w:sz w:val="15"/>
              </w:rPr>
              <w:t>Elemental 50,000–100,000 L/day project</w:t>
            </w:r>
          </w:p>
        </w:tc>
        <w:tc>
          <w:tcPr>
            <w:tcW w:type="dxa" w:w="2438"/>
            <w:vAlign w:val="top"/>
            <w:tcMar>
              <w:top w:w="90" w:type="dxa"/>
              <w:start w:w="90" w:type="dxa"/>
              <w:bottom w:w="90" w:type="dxa"/>
              <w:end w:w="90" w:type="dxa"/>
            </w:tcMar>
          </w:tcPr>
          <w:p>
            <w:pPr>
              <w:spacing w:after="20" w:line="240" w:lineRule="auto"/>
            </w:pPr>
            <w:r>
              <w:rPr>
                <w:color w:val="17324D"/>
                <w:sz w:val="15"/>
              </w:rPr>
              <w:t>About €190,000–€450,000 indicative</w:t>
            </w:r>
          </w:p>
        </w:tc>
        <w:tc>
          <w:tcPr>
            <w:tcW w:type="dxa" w:w="4365"/>
            <w:vAlign w:val="top"/>
            <w:tcMar>
              <w:top w:w="90" w:type="dxa"/>
              <w:start w:w="90" w:type="dxa"/>
              <w:bottom w:w="90" w:type="dxa"/>
              <w:end w:w="90" w:type="dxa"/>
            </w:tcMar>
          </w:tcPr>
          <w:p>
            <w:pPr>
              <w:spacing w:after="20" w:line="240" w:lineRule="auto"/>
            </w:pPr>
            <w:r>
              <w:rPr>
                <w:color w:val="17324D"/>
                <w:sz w:val="15"/>
              </w:rPr>
              <w:t>Wide site-dependent band  120 m³/day plus N+1 and storage will be higher</w:t>
            </w:r>
          </w:p>
        </w:tc>
      </w:tr>
      <w:tr>
        <w:tc>
          <w:tcPr>
            <w:tcW w:type="dxa" w:w="2438"/>
            <w:vAlign w:val="top"/>
            <w:tcMar>
              <w:top w:w="90" w:type="dxa"/>
              <w:start w:w="90" w:type="dxa"/>
              <w:bottom w:w="90" w:type="dxa"/>
              <w:end w:w="90" w:type="dxa"/>
            </w:tcMar>
            <w:shd w:fill="F2F4F5"/>
          </w:tcPr>
          <w:p>
            <w:pPr>
              <w:spacing w:after="20" w:line="240" w:lineRule="auto"/>
            </w:pPr>
            <w:r>
              <w:rPr>
                <w:color w:val="17324D"/>
                <w:sz w:val="15"/>
              </w:rPr>
              <w:t>GRAF Carat XL 10,000 L tank</w:t>
            </w:r>
          </w:p>
        </w:tc>
        <w:tc>
          <w:tcPr>
            <w:tcW w:type="dxa" w:w="2438"/>
            <w:vAlign w:val="top"/>
            <w:tcMar>
              <w:top w:w="90" w:type="dxa"/>
              <w:start w:w="90" w:type="dxa"/>
              <w:bottom w:w="90" w:type="dxa"/>
              <w:end w:w="90" w:type="dxa"/>
            </w:tcMar>
            <w:shd w:fill="F2F4F5"/>
          </w:tcPr>
          <w:p>
            <w:pPr>
              <w:spacing w:after="20" w:line="240" w:lineRule="auto"/>
            </w:pPr>
            <w:r>
              <w:rPr>
                <w:color w:val="17324D"/>
                <w:sz w:val="15"/>
              </w:rPr>
              <w:t>French listing around €6,002 TTC</w:t>
            </w:r>
          </w:p>
        </w:tc>
        <w:tc>
          <w:tcPr>
            <w:tcW w:type="dxa" w:w="4365"/>
            <w:vAlign w:val="top"/>
            <w:tcMar>
              <w:top w:w="90" w:type="dxa"/>
              <w:start w:w="90" w:type="dxa"/>
              <w:bottom w:w="90" w:type="dxa"/>
              <w:end w:w="90" w:type="dxa"/>
            </w:tcMar>
            <w:shd w:fill="F2F4F5"/>
          </w:tcPr>
          <w:p>
            <w:pPr>
              <w:spacing w:after="20" w:line="240" w:lineRule="auto"/>
            </w:pPr>
            <w:r>
              <w:rPr>
                <w:color w:val="17324D"/>
                <w:sz w:val="15"/>
              </w:rPr>
              <w:t>Tank only benchmark  Guadeloupe freight  excavation  anchoring  pipework and treatment extra</w:t>
            </w:r>
          </w:p>
        </w:tc>
      </w:tr>
    </w:tbl>
    <w:p>
      <w:pPr>
        <w:spacing w:after="0"/>
      </w:pPr>
    </w:p>
    <w:p>
      <w:pPr>
        <w:pStyle w:val="Heading2"/>
      </w:pPr>
      <w:r>
        <w:t>China comparison lane</w:t>
      </w:r>
    </w:p>
    <w:p>
      <w:r>
        <w:t>China has deep capability in membranes, pressure vessels, pumps, desalination integration, solar equipment and atmospheric water generation. Including it strengthens the competition. The fair approach is the same pass-fail gate for every origin, with extra document and service checks where the supplier lacks an established EU support chain.</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814"/>
            <w:shd w:fill="17324D"/>
            <w:vAlign w:val="center"/>
            <w:tcMar>
              <w:top w:w="90" w:type="dxa"/>
              <w:start w:w="90" w:type="dxa"/>
              <w:bottom w:w="90" w:type="dxa"/>
              <w:end w:w="90" w:type="dxa"/>
            </w:tcMar>
          </w:tcPr>
          <w:p>
            <w:r>
              <w:rPr>
                <w:b/>
                <w:color w:val="FFFFFF"/>
                <w:sz w:val="13"/>
              </w:rPr>
              <w:t>Chinese supplier</w:t>
            </w:r>
          </w:p>
        </w:tc>
        <w:tc>
          <w:tcPr>
            <w:tcW w:type="dxa" w:w="2381"/>
            <w:shd w:fill="17324D"/>
            <w:vAlign w:val="center"/>
            <w:tcMar>
              <w:top w:w="90" w:type="dxa"/>
              <w:start w:w="90" w:type="dxa"/>
              <w:bottom w:w="90" w:type="dxa"/>
              <w:end w:w="90" w:type="dxa"/>
            </w:tcMar>
          </w:tcPr>
          <w:p>
            <w:r>
              <w:rPr>
                <w:b/>
                <w:color w:val="FFFFFF"/>
                <w:sz w:val="13"/>
              </w:rPr>
              <w:t>Visible offer</w:t>
            </w:r>
          </w:p>
        </w:tc>
        <w:tc>
          <w:tcPr>
            <w:tcW w:type="dxa" w:w="1984"/>
            <w:shd w:fill="17324D"/>
            <w:vAlign w:val="center"/>
            <w:tcMar>
              <w:top w:w="90" w:type="dxa"/>
              <w:start w:w="90" w:type="dxa"/>
              <w:bottom w:w="90" w:type="dxa"/>
              <w:end w:w="90" w:type="dxa"/>
            </w:tcMar>
          </w:tcPr>
          <w:p>
            <w:r>
              <w:rPr>
                <w:b/>
                <w:color w:val="FFFFFF"/>
                <w:sz w:val="13"/>
              </w:rPr>
              <w:t>Why compare</w:t>
            </w:r>
          </w:p>
        </w:tc>
        <w:tc>
          <w:tcPr>
            <w:tcW w:type="dxa" w:w="3061"/>
            <w:shd w:fill="17324D"/>
            <w:vAlign w:val="center"/>
            <w:tcMar>
              <w:top w:w="90" w:type="dxa"/>
              <w:start w:w="90" w:type="dxa"/>
              <w:bottom w:w="90" w:type="dxa"/>
              <w:end w:w="90" w:type="dxa"/>
            </w:tcMar>
          </w:tcPr>
          <w:p>
            <w:r>
              <w:rPr>
                <w:b/>
                <w:color w:val="FFFFFF"/>
                <w:sz w:val="13"/>
              </w:rPr>
              <w:t>Mandatory gate before award</w:t>
            </w:r>
          </w:p>
        </w:tc>
      </w:tr>
      <w:tr>
        <w:tc>
          <w:tcPr>
            <w:tcW w:type="dxa" w:w="1814"/>
            <w:vAlign w:val="top"/>
            <w:tcMar>
              <w:top w:w="90" w:type="dxa"/>
              <w:start w:w="90" w:type="dxa"/>
              <w:bottom w:w="90" w:type="dxa"/>
              <w:end w:w="90" w:type="dxa"/>
            </w:tcMar>
          </w:tcPr>
          <w:p>
            <w:pPr>
              <w:spacing w:after="20" w:line="240" w:lineRule="auto"/>
            </w:pPr>
            <w:r>
              <w:rPr>
                <w:color w:val="17324D"/>
                <w:sz w:val="13"/>
              </w:rPr>
              <w:t>FHNED  Jiangsu Fenghai</w:t>
            </w:r>
          </w:p>
        </w:tc>
        <w:tc>
          <w:tcPr>
            <w:tcW w:type="dxa" w:w="2381"/>
            <w:vAlign w:val="top"/>
            <w:tcMar>
              <w:top w:w="90" w:type="dxa"/>
              <w:start w:w="90" w:type="dxa"/>
              <w:bottom w:w="90" w:type="dxa"/>
              <w:end w:w="90" w:type="dxa"/>
            </w:tcMar>
          </w:tcPr>
          <w:p>
            <w:pPr>
              <w:spacing w:after="20" w:line="240" w:lineRule="auto"/>
            </w:pPr>
            <w:r>
              <w:rPr>
                <w:color w:val="17324D"/>
                <w:sz w:val="13"/>
              </w:rPr>
              <w:t>5  15  25  50  100 and 144 m³/day SWRO listings  including new-energy container models</w:t>
            </w:r>
          </w:p>
        </w:tc>
        <w:tc>
          <w:tcPr>
            <w:tcW w:type="dxa" w:w="1984"/>
            <w:vAlign w:val="top"/>
            <w:tcMar>
              <w:top w:w="90" w:type="dxa"/>
              <w:start w:w="90" w:type="dxa"/>
              <w:bottom w:w="90" w:type="dxa"/>
              <w:end w:w="90" w:type="dxa"/>
            </w:tcMar>
          </w:tcPr>
          <w:p>
            <w:pPr>
              <w:spacing w:after="20" w:line="240" w:lineRule="auto"/>
            </w:pPr>
            <w:r>
              <w:rPr>
                <w:color w:val="17324D"/>
                <w:sz w:val="13"/>
              </w:rPr>
              <w:t>Direct size match around the project target</w:t>
            </w:r>
          </w:p>
        </w:tc>
        <w:tc>
          <w:tcPr>
            <w:tcW w:type="dxa" w:w="3061"/>
            <w:vAlign w:val="top"/>
            <w:tcMar>
              <w:top w:w="90" w:type="dxa"/>
              <w:start w:w="90" w:type="dxa"/>
              <w:bottom w:w="90" w:type="dxa"/>
              <w:end w:w="90" w:type="dxa"/>
            </w:tcMar>
          </w:tcPr>
          <w:p>
            <w:pPr>
              <w:spacing w:after="20" w:line="240" w:lineRule="auto"/>
            </w:pPr>
            <w:r>
              <w:rPr>
                <w:color w:val="17324D"/>
                <w:sz w:val="13"/>
              </w:rPr>
              <w:t>Third-party FAT  full bill of materials  CE dossier  potable-contact declarations  35 g/L performance  EU spares and commissioning partner</w:t>
            </w:r>
          </w:p>
        </w:tc>
      </w:tr>
      <w:tr>
        <w:tc>
          <w:tcPr>
            <w:tcW w:type="dxa" w:w="1814"/>
            <w:vAlign w:val="top"/>
            <w:tcMar>
              <w:top w:w="90" w:type="dxa"/>
              <w:start w:w="90" w:type="dxa"/>
              <w:bottom w:w="90" w:type="dxa"/>
              <w:end w:w="90" w:type="dxa"/>
            </w:tcMar>
            <w:shd w:fill="F2F4F5"/>
          </w:tcPr>
          <w:p>
            <w:pPr>
              <w:spacing w:after="20" w:line="240" w:lineRule="auto"/>
            </w:pPr>
            <w:r>
              <w:rPr>
                <w:color w:val="17324D"/>
                <w:sz w:val="13"/>
              </w:rPr>
              <w:t>Zhuhai Wangyang</w:t>
            </w:r>
          </w:p>
        </w:tc>
        <w:tc>
          <w:tcPr>
            <w:tcW w:type="dxa" w:w="2381"/>
            <w:vAlign w:val="top"/>
            <w:tcMar>
              <w:top w:w="90" w:type="dxa"/>
              <w:start w:w="90" w:type="dxa"/>
              <w:bottom w:w="90" w:type="dxa"/>
              <w:end w:w="90" w:type="dxa"/>
            </w:tcMar>
            <w:shd w:fill="F2F4F5"/>
          </w:tcPr>
          <w:p>
            <w:pPr>
              <w:spacing w:after="20" w:line="240" w:lineRule="auto"/>
            </w:pPr>
            <w:r>
              <w:rPr>
                <w:color w:val="17324D"/>
                <w:sz w:val="13"/>
              </w:rPr>
              <w:t>Container SWRO examples around 65  144  500 and 720 t/day  optional ERD</w:t>
            </w:r>
          </w:p>
        </w:tc>
        <w:tc>
          <w:tcPr>
            <w:tcW w:type="dxa" w:w="1984"/>
            <w:vAlign w:val="top"/>
            <w:tcMar>
              <w:top w:w="90" w:type="dxa"/>
              <w:start w:w="90" w:type="dxa"/>
              <w:bottom w:w="90" w:type="dxa"/>
              <w:end w:w="90" w:type="dxa"/>
            </w:tcMar>
            <w:shd w:fill="F2F4F5"/>
          </w:tcPr>
          <w:p>
            <w:pPr>
              <w:spacing w:after="20" w:line="240" w:lineRule="auto"/>
            </w:pPr>
            <w:r>
              <w:rPr>
                <w:color w:val="17324D"/>
                <w:sz w:val="13"/>
              </w:rPr>
              <w:t>Broad maritime track record claim</w:t>
            </w:r>
          </w:p>
        </w:tc>
        <w:tc>
          <w:tcPr>
            <w:tcW w:type="dxa" w:w="3061"/>
            <w:vAlign w:val="top"/>
            <w:tcMar>
              <w:top w:w="90" w:type="dxa"/>
              <w:start w:w="90" w:type="dxa"/>
              <w:bottom w:w="90" w:type="dxa"/>
              <w:end w:w="90" w:type="dxa"/>
            </w:tcMar>
            <w:shd w:fill="F2F4F5"/>
          </w:tcPr>
          <w:p>
            <w:pPr>
              <w:spacing w:after="20" w:line="240" w:lineRule="auto"/>
            </w:pPr>
            <w:r>
              <w:rPr>
                <w:color w:val="17324D"/>
                <w:sz w:val="13"/>
              </w:rPr>
              <w:t>Guaranteed whole-plant SEC  boron and chloride  reference calls  cyber and controls documentation</w:t>
            </w:r>
          </w:p>
        </w:tc>
      </w:tr>
      <w:tr>
        <w:tc>
          <w:tcPr>
            <w:tcW w:type="dxa" w:w="1814"/>
            <w:vAlign w:val="top"/>
            <w:tcMar>
              <w:top w:w="90" w:type="dxa"/>
              <w:start w:w="90" w:type="dxa"/>
              <w:bottom w:w="90" w:type="dxa"/>
              <w:end w:w="90" w:type="dxa"/>
            </w:tcMar>
          </w:tcPr>
          <w:p>
            <w:pPr>
              <w:spacing w:after="20" w:line="240" w:lineRule="auto"/>
            </w:pPr>
            <w:r>
              <w:rPr>
                <w:color w:val="17324D"/>
                <w:sz w:val="13"/>
              </w:rPr>
              <w:t>Hexing</w:t>
            </w:r>
          </w:p>
        </w:tc>
        <w:tc>
          <w:tcPr>
            <w:tcW w:type="dxa" w:w="2381"/>
            <w:vAlign w:val="top"/>
            <w:tcMar>
              <w:top w:w="90" w:type="dxa"/>
              <w:start w:w="90" w:type="dxa"/>
              <w:bottom w:w="90" w:type="dxa"/>
              <w:end w:w="90" w:type="dxa"/>
            </w:tcMar>
          </w:tcPr>
          <w:p>
            <w:pPr>
              <w:spacing w:after="20" w:line="240" w:lineRule="auto"/>
            </w:pPr>
            <w:r>
              <w:rPr>
                <w:color w:val="17324D"/>
                <w:sz w:val="13"/>
              </w:rPr>
              <w:t>Factory-integrated container SWRO with solar and storage compatibility</w:t>
            </w:r>
          </w:p>
        </w:tc>
        <w:tc>
          <w:tcPr>
            <w:tcW w:type="dxa" w:w="1984"/>
            <w:vAlign w:val="top"/>
            <w:tcMar>
              <w:top w:w="90" w:type="dxa"/>
              <w:start w:w="90" w:type="dxa"/>
              <w:bottom w:w="90" w:type="dxa"/>
              <w:end w:w="90" w:type="dxa"/>
            </w:tcMar>
          </w:tcPr>
          <w:p>
            <w:pPr>
              <w:spacing w:after="20" w:line="240" w:lineRule="auto"/>
            </w:pPr>
            <w:r>
              <w:rPr>
                <w:color w:val="17324D"/>
                <w:sz w:val="13"/>
              </w:rPr>
              <w:t>Potential fast deployment</w:t>
            </w:r>
          </w:p>
        </w:tc>
        <w:tc>
          <w:tcPr>
            <w:tcW w:type="dxa" w:w="3061"/>
            <w:vAlign w:val="top"/>
            <w:tcMar>
              <w:top w:w="90" w:type="dxa"/>
              <w:start w:w="90" w:type="dxa"/>
              <w:bottom w:w="90" w:type="dxa"/>
              <w:end w:w="90" w:type="dxa"/>
            </w:tcMar>
          </w:tcPr>
          <w:p>
            <w:pPr>
              <w:spacing w:after="20" w:line="240" w:lineRule="auto"/>
            </w:pPr>
            <w:r>
              <w:rPr>
                <w:color w:val="17324D"/>
                <w:sz w:val="13"/>
              </w:rPr>
              <w:t>Clarify whether PV  batteries  intake  post-treatment and brine outfall are included</w:t>
            </w:r>
          </w:p>
        </w:tc>
      </w:tr>
      <w:tr>
        <w:tc>
          <w:tcPr>
            <w:tcW w:type="dxa" w:w="1814"/>
            <w:vAlign w:val="top"/>
            <w:tcMar>
              <w:top w:w="90" w:type="dxa"/>
              <w:start w:w="90" w:type="dxa"/>
              <w:bottom w:w="90" w:type="dxa"/>
              <w:end w:w="90" w:type="dxa"/>
            </w:tcMar>
            <w:shd w:fill="F2F4F5"/>
          </w:tcPr>
          <w:p>
            <w:pPr>
              <w:spacing w:after="20" w:line="240" w:lineRule="auto"/>
            </w:pPr>
            <w:r>
              <w:rPr>
                <w:color w:val="17324D"/>
                <w:sz w:val="13"/>
              </w:rPr>
              <w:t>Snowate</w:t>
            </w:r>
          </w:p>
        </w:tc>
        <w:tc>
          <w:tcPr>
            <w:tcW w:type="dxa" w:w="2381"/>
            <w:vAlign w:val="top"/>
            <w:tcMar>
              <w:top w:w="90" w:type="dxa"/>
              <w:start w:w="90" w:type="dxa"/>
              <w:bottom w:w="90" w:type="dxa"/>
              <w:end w:w="90" w:type="dxa"/>
            </w:tcMar>
            <w:shd w:fill="F2F4F5"/>
          </w:tcPr>
          <w:p>
            <w:pPr>
              <w:spacing w:after="20" w:line="240" w:lineRule="auto"/>
            </w:pPr>
            <w:r>
              <w:rPr>
                <w:color w:val="17324D"/>
                <w:sz w:val="13"/>
              </w:rPr>
              <w:t>iERD pressure exchanger and water-treatment components</w:t>
            </w:r>
          </w:p>
        </w:tc>
        <w:tc>
          <w:tcPr>
            <w:tcW w:type="dxa" w:w="1984"/>
            <w:vAlign w:val="top"/>
            <w:tcMar>
              <w:top w:w="90" w:type="dxa"/>
              <w:start w:w="90" w:type="dxa"/>
              <w:bottom w:w="90" w:type="dxa"/>
              <w:end w:w="90" w:type="dxa"/>
            </w:tcMar>
            <w:shd w:fill="F2F4F5"/>
          </w:tcPr>
          <w:p>
            <w:pPr>
              <w:spacing w:after="20" w:line="240" w:lineRule="auto"/>
            </w:pPr>
            <w:r>
              <w:rPr>
                <w:color w:val="17324D"/>
                <w:sz w:val="13"/>
              </w:rPr>
              <w:t>Component-level cost and technology benchmark</w:t>
            </w:r>
          </w:p>
        </w:tc>
        <w:tc>
          <w:tcPr>
            <w:tcW w:type="dxa" w:w="3061"/>
            <w:vAlign w:val="top"/>
            <w:tcMar>
              <w:top w:w="90" w:type="dxa"/>
              <w:start w:w="90" w:type="dxa"/>
              <w:bottom w:w="90" w:type="dxa"/>
              <w:end w:w="90" w:type="dxa"/>
            </w:tcMar>
            <w:shd w:fill="F2F4F5"/>
          </w:tcPr>
          <w:p>
            <w:pPr>
              <w:spacing w:after="20" w:line="240" w:lineRule="auto"/>
            </w:pPr>
            <w:r>
              <w:rPr>
                <w:color w:val="17324D"/>
                <w:sz w:val="13"/>
              </w:rPr>
              <w:t>Independent efficiency curve  seawater materials  endurance test  leakage and warranty</w:t>
            </w:r>
          </w:p>
        </w:tc>
      </w:tr>
      <w:tr>
        <w:tc>
          <w:tcPr>
            <w:tcW w:type="dxa" w:w="1814"/>
            <w:vAlign w:val="top"/>
            <w:tcMar>
              <w:top w:w="90" w:type="dxa"/>
              <w:start w:w="90" w:type="dxa"/>
              <w:bottom w:w="90" w:type="dxa"/>
              <w:end w:w="90" w:type="dxa"/>
            </w:tcMar>
          </w:tcPr>
          <w:p>
            <w:pPr>
              <w:spacing w:after="20" w:line="240" w:lineRule="auto"/>
            </w:pPr>
            <w:r>
              <w:rPr>
                <w:color w:val="17324D"/>
                <w:sz w:val="13"/>
              </w:rPr>
              <w:t>FND or Heaven Springs</w:t>
            </w:r>
          </w:p>
        </w:tc>
        <w:tc>
          <w:tcPr>
            <w:tcW w:type="dxa" w:w="2381"/>
            <w:vAlign w:val="top"/>
            <w:tcMar>
              <w:top w:w="90" w:type="dxa"/>
              <w:start w:w="90" w:type="dxa"/>
              <w:bottom w:w="90" w:type="dxa"/>
              <w:end w:w="90" w:type="dxa"/>
            </w:tcMar>
          </w:tcPr>
          <w:p>
            <w:pPr>
              <w:spacing w:after="20" w:line="240" w:lineRule="auto"/>
            </w:pPr>
            <w:r>
              <w:rPr>
                <w:color w:val="17324D"/>
                <w:sz w:val="13"/>
              </w:rPr>
              <w:t>Atmospheric water generators up to several thousand L/day</w:t>
            </w:r>
          </w:p>
        </w:tc>
        <w:tc>
          <w:tcPr>
            <w:tcW w:type="dxa" w:w="1984"/>
            <w:vAlign w:val="top"/>
            <w:tcMar>
              <w:top w:w="90" w:type="dxa"/>
              <w:start w:w="90" w:type="dxa"/>
              <w:bottom w:w="90" w:type="dxa"/>
              <w:end w:w="90" w:type="dxa"/>
            </w:tcMar>
          </w:tcPr>
          <w:p>
            <w:pPr>
              <w:spacing w:after="20" w:line="240" w:lineRule="auto"/>
            </w:pPr>
            <w:r>
              <w:rPr>
                <w:color w:val="17324D"/>
                <w:sz w:val="13"/>
              </w:rPr>
              <w:t>Useful AWG price-performance comparison</w:t>
            </w:r>
          </w:p>
        </w:tc>
        <w:tc>
          <w:tcPr>
            <w:tcW w:type="dxa" w:w="3061"/>
            <w:vAlign w:val="top"/>
            <w:tcMar>
              <w:top w:w="90" w:type="dxa"/>
              <w:start w:w="90" w:type="dxa"/>
              <w:bottom w:w="90" w:type="dxa"/>
              <w:end w:w="90" w:type="dxa"/>
            </w:tcMar>
          </w:tcPr>
          <w:p>
            <w:pPr>
              <w:spacing w:after="20" w:line="240" w:lineRule="auto"/>
            </w:pPr>
            <w:r>
              <w:rPr>
                <w:color w:val="17324D"/>
                <w:sz w:val="13"/>
              </w:rPr>
              <w:t>Output curve at Guadeloupe temperature and RH  kWh/L  noise  refrigerant  sanitation and EU potable compliance</w:t>
            </w:r>
          </w:p>
        </w:tc>
      </w:tr>
    </w:tbl>
    <w:p>
      <w:pPr>
        <w:spacing w:after="0"/>
      </w:pPr>
    </w:p>
    <w:p>
      <w:pPr>
        <w:pStyle w:val="Heading2"/>
      </w:pPr>
      <w:r>
        <w:t>Factory acceptance test essentials</w:t>
      </w:r>
    </w:p>
    <w:p>
      <w:pPr>
        <w:pStyle w:val="ListBullet"/>
        <w:spacing w:after="60"/>
        <w:ind w:left="312" w:hanging="170"/>
      </w:pPr>
      <w:r>
        <w:rPr>
          <w:color w:val="17324D"/>
          <w:sz w:val="19"/>
        </w:rPr>
        <w:t>Witness 72 continuous hours at agreed feed salinity, temperature and fouling index; do not accept a freshwater recirculation demonstration.</w:t>
      </w:r>
    </w:p>
    <w:p>
      <w:pPr>
        <w:pStyle w:val="ListBullet"/>
        <w:spacing w:after="60"/>
        <w:ind w:left="312" w:hanging="170"/>
      </w:pPr>
      <w:r>
        <w:rPr>
          <w:color w:val="17324D"/>
          <w:sz w:val="19"/>
        </w:rPr>
        <w:t>Record product flow, salt rejection, boron where applicable, recovery, pressure, chemical use, noise and whole-plant kWh/m³.</w:t>
      </w:r>
    </w:p>
    <w:p>
      <w:pPr>
        <w:pStyle w:val="ListBullet"/>
        <w:spacing w:after="60"/>
        <w:ind w:left="312" w:hanging="170"/>
      </w:pPr>
      <w:r>
        <w:rPr>
          <w:color w:val="17324D"/>
          <w:sz w:val="19"/>
        </w:rPr>
        <w:t>Verify every major component serial number against the approved bill of materials and retain PLC source backup and passwords.</w:t>
      </w:r>
    </w:p>
    <w:p>
      <w:pPr>
        <w:pStyle w:val="ListBullet"/>
        <w:spacing w:after="60"/>
        <w:ind w:left="312" w:hanging="170"/>
      </w:pPr>
      <w:r>
        <w:rPr>
          <w:color w:val="17324D"/>
          <w:sz w:val="19"/>
        </w:rPr>
        <w:t>Take accredited laboratory samples and define rejection and liquidated-damages thresholds in the contract.</w:t>
      </w:r>
    </w:p>
    <w:p>
      <w:pPr>
        <w:pStyle w:val="ListBullet"/>
        <w:spacing w:after="60"/>
        <w:ind w:left="312" w:hanging="170"/>
      </w:pPr>
      <w:r>
        <w:rPr>
          <w:color w:val="17324D"/>
          <w:sz w:val="19"/>
        </w:rPr>
        <w:t>Ship commissioning spares, two years of critical consumables, French maintenance instructions and operator training with the plant.</w:t>
      </w:r>
    </w:p>
    <w:p>
      <w:pPr>
        <w:pStyle w:val="ListBullet"/>
        <w:spacing w:after="60"/>
        <w:ind w:left="312" w:hanging="170"/>
      </w:pPr>
      <w:r>
        <w:rPr>
          <w:color w:val="17324D"/>
          <w:sz w:val="19"/>
        </w:rPr>
        <w:t>Hold final payment until site acceptance under Guadeloupe feed and solar conditions.</w:t>
      </w:r>
    </w:p>
    <w:p>
      <w:pPr>
        <w:pStyle w:val="Heading1"/>
      </w:pPr>
      <w:r>
        <w:t>Cloud seeding reality check</w:t>
      </w:r>
    </w:p>
    <w:tbl>
      <w:tblPr>
        <w:tblW w:type="auto" w:w="0"/>
        <w:jc w:val="center"/>
        <w:tblLayout w:type="fixed"/>
        <w:tblLook w:firstColumn="1" w:firstRow="1" w:lastColumn="0" w:lastRow="0" w:noHBand="0" w:noVBand="1" w:val="04A0"/>
      </w:tblPr>
      <w:tblGrid>
        <w:gridCol w:w="159"/>
        <w:gridCol w:w="9184"/>
      </w:tblGrid>
      <w:tr>
        <w:trPr>
          <w:cantSplit/>
        </w:trPr>
        <w:tc>
          <w:tcPr>
            <w:tcW w:type="dxa" w:w="5185"/>
            <w:shd w:fill="007F82"/>
          </w:tcPr>
          <w:p>
            <w:r/>
          </w:p>
        </w:tc>
        <w:tc>
          <w:tcPr>
            <w:tcW w:type="dxa" w:w="5185"/>
            <w:shd w:fill="EEF5F7"/>
            <w:tcMar>
              <w:top w:w="130" w:type="dxa"/>
              <w:start w:w="180" w:type="dxa"/>
              <w:bottom w:w="130" w:type="dxa"/>
              <w:end w:w="180" w:type="dxa"/>
            </w:tcMar>
          </w:tcPr>
          <w:p>
            <w:pPr>
              <w:spacing w:after="40"/>
            </w:pPr>
            <w:r>
              <w:rPr>
                <w:b/>
                <w:color w:val="007F82"/>
                <w:sz w:val="20"/>
              </w:rPr>
              <w:t>Short answer</w:t>
            </w:r>
          </w:p>
          <w:p>
            <w:pPr>
              <w:spacing w:after="0"/>
            </w:pPr>
            <w:r>
              <w:rPr>
                <w:color w:val="17324D"/>
                <w:sz w:val="18"/>
              </w:rPr>
              <w:t>The material normally meant is silver iodide  AgI  not silver chloride. Glaciogenic seeding targets suitable supercooled clouds; hygroscopic seeding generally uses salts in warm clouds. Rockets are only delivery systems. Seeding cannot create clouds or moisture.</w:t>
            </w:r>
          </w:p>
        </w:tc>
      </w:tr>
    </w:tbl>
    <w:p>
      <w:pPr>
        <w:spacing w:after="0"/>
      </w:pPr>
    </w:p>
    <w:p>
      <w:r>
        <w:t>WMO distinguishes hygroscopic methods that modify liquid drops from glaciogenic methods that target ice crystals. Evidence is strongest for wintertime orographic clouds with constrained dynamics; attribution in complex clouds is difficult, and cloud-scale proof for hail cannons and ionisation remains lacking. [8]</w:t>
      </w:r>
    </w:p>
    <w:tbl>
      <w:tblPr>
        <w:tblStyle w:val="TableGrid"/>
        <w:tblW w:type="auto" w:w="0"/>
        <w:jc w:val="center"/>
        <w:tblLayout w:type="fixed"/>
        <w:tblLook w:firstColumn="1" w:firstRow="1" w:lastColumn="0" w:lastRow="0" w:noHBand="0" w:noVBand="1" w:val="04A0"/>
      </w:tblPr>
      <w:tblGrid>
        <w:gridCol w:w="5185"/>
        <w:gridCol w:w="5185"/>
      </w:tblGrid>
      <w:tr>
        <w:trPr>
          <w:tblHeader w:val="true"/>
        </w:trPr>
        <w:tc>
          <w:tcPr>
            <w:tcW w:type="dxa" w:w="2835"/>
            <w:shd w:fill="17324D"/>
            <w:vAlign w:val="center"/>
            <w:tcMar>
              <w:top w:w="90" w:type="dxa"/>
              <w:start w:w="90" w:type="dxa"/>
              <w:bottom w:w="90" w:type="dxa"/>
              <w:end w:w="90" w:type="dxa"/>
            </w:tcMar>
          </w:tcPr>
          <w:p>
            <w:r>
              <w:rPr>
                <w:b/>
                <w:color w:val="FFFFFF"/>
                <w:sz w:val="13"/>
              </w:rPr>
              <w:t>Question</w:t>
            </w:r>
          </w:p>
        </w:tc>
        <w:tc>
          <w:tcPr>
            <w:tcW w:type="dxa" w:w="6406"/>
            <w:shd w:fill="17324D"/>
            <w:vAlign w:val="center"/>
            <w:tcMar>
              <w:top w:w="90" w:type="dxa"/>
              <w:start w:w="90" w:type="dxa"/>
              <w:bottom w:w="90" w:type="dxa"/>
              <w:end w:w="90" w:type="dxa"/>
            </w:tcMar>
          </w:tcPr>
          <w:p>
            <w:r>
              <w:rPr>
                <w:b/>
                <w:color w:val="FFFFFF"/>
                <w:sz w:val="13"/>
              </w:rPr>
              <w:t>Evidence-led answer for Guadeloupe</w:t>
            </w:r>
          </w:p>
        </w:tc>
      </w:tr>
      <w:tr>
        <w:tc>
          <w:tcPr>
            <w:tcW w:type="dxa" w:w="2835"/>
            <w:vAlign w:val="top"/>
            <w:tcMar>
              <w:top w:w="90" w:type="dxa"/>
              <w:start w:w="90" w:type="dxa"/>
              <w:bottom w:w="90" w:type="dxa"/>
              <w:end w:w="90" w:type="dxa"/>
            </w:tcMar>
          </w:tcPr>
          <w:p>
            <w:pPr>
              <w:spacing w:after="20" w:line="240" w:lineRule="auto"/>
            </w:pPr>
            <w:r>
              <w:rPr>
                <w:color w:val="17324D"/>
                <w:sz w:val="13"/>
              </w:rPr>
              <w:t>Can it create rain from blue sky</w:t>
            </w:r>
          </w:p>
        </w:tc>
        <w:tc>
          <w:tcPr>
            <w:tcW w:type="dxa" w:w="6406"/>
            <w:vAlign w:val="top"/>
            <w:tcMar>
              <w:top w:w="90" w:type="dxa"/>
              <w:start w:w="90" w:type="dxa"/>
              <w:bottom w:w="90" w:type="dxa"/>
              <w:end w:w="90" w:type="dxa"/>
            </w:tcMar>
          </w:tcPr>
          <w:p>
            <w:pPr>
              <w:spacing w:after="20" w:line="240" w:lineRule="auto"/>
            </w:pPr>
            <w:r>
              <w:rPr>
                <w:color w:val="17324D"/>
                <w:sz w:val="13"/>
              </w:rPr>
              <w:t>No. It can only attempt to modify suitable existing clouds.</w:t>
            </w:r>
          </w:p>
        </w:tc>
      </w:tr>
      <w:tr>
        <w:tc>
          <w:tcPr>
            <w:tcW w:type="dxa" w:w="2835"/>
            <w:vAlign w:val="top"/>
            <w:tcMar>
              <w:top w:w="90" w:type="dxa"/>
              <w:start w:w="90" w:type="dxa"/>
              <w:bottom w:w="90" w:type="dxa"/>
              <w:end w:w="90" w:type="dxa"/>
            </w:tcMar>
            <w:shd w:fill="F2F4F5"/>
          </w:tcPr>
          <w:p>
            <w:pPr>
              <w:spacing w:after="20" w:line="240" w:lineRule="auto"/>
            </w:pPr>
            <w:r>
              <w:rPr>
                <w:color w:val="17324D"/>
                <w:sz w:val="13"/>
              </w:rPr>
              <w:t>Is silver used</w:t>
            </w:r>
          </w:p>
        </w:tc>
        <w:tc>
          <w:tcPr>
            <w:tcW w:type="dxa" w:w="6406"/>
            <w:vAlign w:val="top"/>
            <w:tcMar>
              <w:top w:w="90" w:type="dxa"/>
              <w:start w:w="90" w:type="dxa"/>
              <w:bottom w:w="90" w:type="dxa"/>
              <w:end w:w="90" w:type="dxa"/>
            </w:tcMar>
            <w:shd w:fill="F2F4F5"/>
          </w:tcPr>
          <w:p>
            <w:pPr>
              <w:spacing w:after="20" w:line="240" w:lineRule="auto"/>
            </w:pPr>
            <w:r>
              <w:rPr>
                <w:color w:val="17324D"/>
                <w:sz w:val="13"/>
              </w:rPr>
              <w:t>Usually AgI for glaciogenic seeding; hygroscopic warm-cloud methods generally use salts.</w:t>
            </w:r>
          </w:p>
        </w:tc>
      </w:tr>
      <w:tr>
        <w:tc>
          <w:tcPr>
            <w:tcW w:type="dxa" w:w="2835"/>
            <w:vAlign w:val="top"/>
            <w:tcMar>
              <w:top w:w="90" w:type="dxa"/>
              <w:start w:w="90" w:type="dxa"/>
              <w:bottom w:w="90" w:type="dxa"/>
              <w:end w:w="90" w:type="dxa"/>
            </w:tcMar>
          </w:tcPr>
          <w:p>
            <w:pPr>
              <w:spacing w:after="20" w:line="240" w:lineRule="auto"/>
            </w:pPr>
            <w:r>
              <w:rPr>
                <w:color w:val="17324D"/>
                <w:sz w:val="13"/>
              </w:rPr>
              <w:t>Are rockets used</w:t>
            </w:r>
          </w:p>
        </w:tc>
        <w:tc>
          <w:tcPr>
            <w:tcW w:type="dxa" w:w="6406"/>
            <w:vAlign w:val="top"/>
            <w:tcMar>
              <w:top w:w="90" w:type="dxa"/>
              <w:start w:w="90" w:type="dxa"/>
              <w:bottom w:w="90" w:type="dxa"/>
              <w:end w:w="90" w:type="dxa"/>
            </w:tcMar>
          </w:tcPr>
          <w:p>
            <w:pPr>
              <w:spacing w:after="20" w:line="240" w:lineRule="auto"/>
            </w:pPr>
            <w:r>
              <w:rPr>
                <w:color w:val="17324D"/>
                <w:sz w:val="13"/>
              </w:rPr>
              <w:t>Yes in some programmes, but they bring explosives, aviation and environmental controls.</w:t>
            </w:r>
          </w:p>
        </w:tc>
      </w:tr>
      <w:tr>
        <w:tc>
          <w:tcPr>
            <w:tcW w:type="dxa" w:w="2835"/>
            <w:vAlign w:val="top"/>
            <w:tcMar>
              <w:top w:w="90" w:type="dxa"/>
              <w:start w:w="90" w:type="dxa"/>
              <w:bottom w:w="90" w:type="dxa"/>
              <w:end w:w="90" w:type="dxa"/>
            </w:tcMar>
            <w:shd w:fill="F2F4F5"/>
          </w:tcPr>
          <w:p>
            <w:pPr>
              <w:spacing w:after="20" w:line="240" w:lineRule="auto"/>
            </w:pPr>
            <w:r>
              <w:rPr>
                <w:color w:val="17324D"/>
                <w:sz w:val="13"/>
              </w:rPr>
              <w:t>Is it dependable enough for the 8,000-person budget</w:t>
            </w:r>
          </w:p>
        </w:tc>
        <w:tc>
          <w:tcPr>
            <w:tcW w:type="dxa" w:w="6406"/>
            <w:vAlign w:val="top"/>
            <w:tcMar>
              <w:top w:w="90" w:type="dxa"/>
              <w:start w:w="90" w:type="dxa"/>
              <w:bottom w:w="90" w:type="dxa"/>
              <w:end w:w="90" w:type="dxa"/>
            </w:tcMar>
            <w:shd w:fill="F2F4F5"/>
          </w:tcPr>
          <w:p>
            <w:pPr>
              <w:spacing w:after="20" w:line="240" w:lineRule="auto"/>
            </w:pPr>
            <w:r>
              <w:rPr>
                <w:color w:val="17324D"/>
                <w:sz w:val="13"/>
              </w:rPr>
              <w:t>No. Tropical variability and attribution difficulty make it research only.</w:t>
            </w:r>
          </w:p>
        </w:tc>
      </w:tr>
      <w:tr>
        <w:tc>
          <w:tcPr>
            <w:tcW w:type="dxa" w:w="2835"/>
            <w:vAlign w:val="top"/>
            <w:tcMar>
              <w:top w:w="90" w:type="dxa"/>
              <w:start w:w="90" w:type="dxa"/>
              <w:bottom w:w="90" w:type="dxa"/>
              <w:end w:w="90" w:type="dxa"/>
            </w:tcMar>
          </w:tcPr>
          <w:p>
            <w:pPr>
              <w:spacing w:after="20" w:line="240" w:lineRule="auto"/>
            </w:pPr>
            <w:r>
              <w:rPr>
                <w:color w:val="17324D"/>
                <w:sz w:val="13"/>
              </w:rPr>
              <w:t>Should equipment be purchased now</w:t>
            </w:r>
          </w:p>
        </w:tc>
        <w:tc>
          <w:tcPr>
            <w:tcW w:type="dxa" w:w="6406"/>
            <w:vAlign w:val="top"/>
            <w:tcMar>
              <w:top w:w="90" w:type="dxa"/>
              <w:start w:w="90" w:type="dxa"/>
              <w:bottom w:w="90" w:type="dxa"/>
              <w:end w:w="90" w:type="dxa"/>
            </w:tcMar>
          </w:tcPr>
          <w:p>
            <w:pPr>
              <w:spacing w:after="20" w:line="240" w:lineRule="auto"/>
            </w:pPr>
            <w:r>
              <w:rPr>
                <w:color w:val="17324D"/>
                <w:sz w:val="13"/>
              </w:rPr>
              <w:t>No. First commission a study with Météo-France, universities and competent French authorities, with defined success and monitoring.</w:t>
            </w:r>
          </w:p>
        </w:tc>
      </w:tr>
    </w:tbl>
    <w:p>
      <w:pPr>
        <w:spacing w:after="0"/>
      </w:pPr>
    </w:p>
    <w:p>
      <w:r>
        <w:t>France's ANELFA network uses ground silver-iodide generators for hail suppression. That does not demonstrate reliable potable supply in Guadeloupe, and seeding would not bypass treatment, storage or compliance.</w:t>
      </w:r>
    </w:p>
    <w:p>
      <w:r>
        <w:br w:type="page"/>
      </w:r>
    </w:p>
    <w:p>
      <w:pPr>
        <w:pStyle w:val="Heading1"/>
      </w:pPr>
      <w:r>
        <w:t>Treatment and assurance</w:t>
      </w:r>
    </w:p>
    <w:tbl>
      <w:tblPr>
        <w:tblStyle w:val="TableGrid"/>
        <w:tblW w:type="auto" w:w="0"/>
        <w:jc w:val="center"/>
        <w:tblLayout w:type="fixed"/>
        <w:tblLook w:firstColumn="1" w:firstRow="1" w:lastColumn="0" w:lastRow="0" w:noHBand="0" w:noVBand="1" w:val="04A0"/>
      </w:tblPr>
      <w:tblGrid>
        <w:gridCol w:w="3457"/>
        <w:gridCol w:w="3457"/>
        <w:gridCol w:w="3457"/>
      </w:tblGrid>
      <w:tr>
        <w:trPr>
          <w:tblHeader w:val="true"/>
        </w:trPr>
        <w:tc>
          <w:tcPr>
            <w:tcW w:type="dxa" w:w="1701"/>
            <w:shd w:fill="17324D"/>
            <w:vAlign w:val="center"/>
            <w:tcMar>
              <w:top w:w="90" w:type="dxa"/>
              <w:start w:w="90" w:type="dxa"/>
              <w:bottom w:w="90" w:type="dxa"/>
              <w:end w:w="90" w:type="dxa"/>
            </w:tcMar>
          </w:tcPr>
          <w:p>
            <w:r>
              <w:rPr>
                <w:b/>
                <w:color w:val="FFFFFF"/>
                <w:sz w:val="15"/>
              </w:rPr>
              <w:t>Source</w:t>
            </w:r>
          </w:p>
        </w:tc>
        <w:tc>
          <w:tcPr>
            <w:tcW w:type="dxa" w:w="3515"/>
            <w:shd w:fill="17324D"/>
            <w:vAlign w:val="center"/>
            <w:tcMar>
              <w:top w:w="90" w:type="dxa"/>
              <w:start w:w="90" w:type="dxa"/>
              <w:bottom w:w="90" w:type="dxa"/>
              <w:end w:w="90" w:type="dxa"/>
            </w:tcMar>
          </w:tcPr>
          <w:p>
            <w:r>
              <w:rPr>
                <w:b/>
                <w:color w:val="FFFFFF"/>
                <w:sz w:val="15"/>
              </w:rPr>
              <w:t>Main hazards</w:t>
            </w:r>
          </w:p>
        </w:tc>
        <w:tc>
          <w:tcPr>
            <w:tcW w:type="dxa" w:w="4025"/>
            <w:shd w:fill="17324D"/>
            <w:vAlign w:val="center"/>
            <w:tcMar>
              <w:top w:w="90" w:type="dxa"/>
              <w:start w:w="90" w:type="dxa"/>
              <w:bottom w:w="90" w:type="dxa"/>
              <w:end w:w="90" w:type="dxa"/>
            </w:tcMar>
          </w:tcPr>
          <w:p>
            <w:r>
              <w:rPr>
                <w:b/>
                <w:color w:val="FFFFFF"/>
                <w:sz w:val="15"/>
              </w:rPr>
              <w:t>Minimum treatment concept</w:t>
            </w:r>
          </w:p>
        </w:tc>
      </w:tr>
      <w:tr>
        <w:tc>
          <w:tcPr>
            <w:tcW w:type="dxa" w:w="1701"/>
            <w:vAlign w:val="top"/>
            <w:tcMar>
              <w:top w:w="90" w:type="dxa"/>
              <w:start w:w="90" w:type="dxa"/>
              <w:bottom w:w="90" w:type="dxa"/>
              <w:end w:w="90" w:type="dxa"/>
            </w:tcMar>
          </w:tcPr>
          <w:p>
            <w:pPr>
              <w:spacing w:after="20" w:line="240" w:lineRule="auto"/>
            </w:pPr>
            <w:r>
              <w:rPr>
                <w:color w:val="17324D"/>
                <w:sz w:val="15"/>
              </w:rPr>
              <w:t>Rain</w:t>
            </w:r>
          </w:p>
        </w:tc>
        <w:tc>
          <w:tcPr>
            <w:tcW w:type="dxa" w:w="3515"/>
            <w:vAlign w:val="top"/>
            <w:tcMar>
              <w:top w:w="90" w:type="dxa"/>
              <w:start w:w="90" w:type="dxa"/>
              <w:bottom w:w="90" w:type="dxa"/>
              <w:end w:w="90" w:type="dxa"/>
            </w:tcMar>
          </w:tcPr>
          <w:p>
            <w:pPr>
              <w:spacing w:after="20" w:line="240" w:lineRule="auto"/>
            </w:pPr>
            <w:r>
              <w:rPr>
                <w:color w:val="17324D"/>
                <w:sz w:val="15"/>
              </w:rPr>
              <w:t>Bird and animal contamination  roof debris  metals  first flush</w:t>
            </w:r>
          </w:p>
        </w:tc>
        <w:tc>
          <w:tcPr>
            <w:tcW w:type="dxa" w:w="4025"/>
            <w:vAlign w:val="top"/>
            <w:tcMar>
              <w:top w:w="90" w:type="dxa"/>
              <w:start w:w="90" w:type="dxa"/>
              <w:bottom w:w="90" w:type="dxa"/>
              <w:end w:w="90" w:type="dxa"/>
            </w:tcMar>
          </w:tcPr>
          <w:p>
            <w:pPr>
              <w:spacing w:after="20" w:line="240" w:lineRule="auto"/>
            </w:pPr>
            <w:r>
              <w:rPr>
                <w:color w:val="17324D"/>
                <w:sz w:val="15"/>
              </w:rPr>
              <w:t>First flush  screened opaque tank  filtration  validated disinfection  periodic cleaning</w:t>
            </w:r>
          </w:p>
        </w:tc>
      </w:tr>
      <w:tr>
        <w:tc>
          <w:tcPr>
            <w:tcW w:type="dxa" w:w="1701"/>
            <w:vAlign w:val="top"/>
            <w:tcMar>
              <w:top w:w="90" w:type="dxa"/>
              <w:start w:w="90" w:type="dxa"/>
              <w:bottom w:w="90" w:type="dxa"/>
              <w:end w:w="90" w:type="dxa"/>
            </w:tcMar>
            <w:shd w:fill="F2F4F5"/>
          </w:tcPr>
          <w:p>
            <w:pPr>
              <w:spacing w:after="20" w:line="240" w:lineRule="auto"/>
            </w:pPr>
            <w:r>
              <w:rPr>
                <w:color w:val="17324D"/>
                <w:sz w:val="15"/>
              </w:rPr>
              <w:t>Fog and dew</w:t>
            </w:r>
          </w:p>
        </w:tc>
        <w:tc>
          <w:tcPr>
            <w:tcW w:type="dxa" w:w="3515"/>
            <w:vAlign w:val="top"/>
            <w:tcMar>
              <w:top w:w="90" w:type="dxa"/>
              <w:start w:w="90" w:type="dxa"/>
              <w:bottom w:w="90" w:type="dxa"/>
              <w:end w:w="90" w:type="dxa"/>
            </w:tcMar>
            <w:shd w:fill="F2F4F5"/>
          </w:tcPr>
          <w:p>
            <w:pPr>
              <w:spacing w:after="20" w:line="240" w:lineRule="auto"/>
            </w:pPr>
            <w:r>
              <w:rPr>
                <w:color w:val="17324D"/>
                <w:sz w:val="15"/>
              </w:rPr>
              <w:t>Airborne dust  microorganisms  mesh and gutter contamination</w:t>
            </w:r>
          </w:p>
        </w:tc>
        <w:tc>
          <w:tcPr>
            <w:tcW w:type="dxa" w:w="4025"/>
            <w:vAlign w:val="top"/>
            <w:tcMar>
              <w:top w:w="90" w:type="dxa"/>
              <w:start w:w="90" w:type="dxa"/>
              <w:bottom w:w="90" w:type="dxa"/>
              <w:end w:w="90" w:type="dxa"/>
            </w:tcMar>
            <w:shd w:fill="F2F4F5"/>
          </w:tcPr>
          <w:p>
            <w:pPr>
              <w:spacing w:after="20" w:line="240" w:lineRule="auto"/>
            </w:pPr>
            <w:r>
              <w:rPr>
                <w:color w:val="17324D"/>
                <w:sz w:val="15"/>
              </w:rPr>
              <w:t>Source protection  filtration  validated disinfection  routine chemistry and microbiology</w:t>
            </w:r>
          </w:p>
        </w:tc>
      </w:tr>
      <w:tr>
        <w:tc>
          <w:tcPr>
            <w:tcW w:type="dxa" w:w="1701"/>
            <w:vAlign w:val="top"/>
            <w:tcMar>
              <w:top w:w="90" w:type="dxa"/>
              <w:start w:w="90" w:type="dxa"/>
              <w:bottom w:w="90" w:type="dxa"/>
              <w:end w:w="90" w:type="dxa"/>
            </w:tcMar>
          </w:tcPr>
          <w:p>
            <w:pPr>
              <w:spacing w:after="20" w:line="240" w:lineRule="auto"/>
            </w:pPr>
            <w:r>
              <w:rPr>
                <w:color w:val="17324D"/>
                <w:sz w:val="15"/>
              </w:rPr>
              <w:t>Solar distillate</w:t>
            </w:r>
          </w:p>
        </w:tc>
        <w:tc>
          <w:tcPr>
            <w:tcW w:type="dxa" w:w="3515"/>
            <w:vAlign w:val="top"/>
            <w:tcMar>
              <w:top w:w="90" w:type="dxa"/>
              <w:start w:w="90" w:type="dxa"/>
              <w:bottom w:w="90" w:type="dxa"/>
              <w:end w:w="90" w:type="dxa"/>
            </w:tcMar>
          </w:tcPr>
          <w:p>
            <w:pPr>
              <w:spacing w:after="20" w:line="240" w:lineRule="auto"/>
            </w:pPr>
            <w:r>
              <w:rPr>
                <w:color w:val="17324D"/>
                <w:sz w:val="15"/>
              </w:rPr>
              <w:t>Volatile carryover  very low mineral content  storage contamination</w:t>
            </w:r>
          </w:p>
        </w:tc>
        <w:tc>
          <w:tcPr>
            <w:tcW w:type="dxa" w:w="4025"/>
            <w:vAlign w:val="top"/>
            <w:tcMar>
              <w:top w:w="90" w:type="dxa"/>
              <w:start w:w="90" w:type="dxa"/>
              <w:bottom w:w="90" w:type="dxa"/>
              <w:end w:w="90" w:type="dxa"/>
            </w:tcMar>
          </w:tcPr>
          <w:p>
            <w:pPr>
              <w:spacing w:after="20" w:line="240" w:lineRule="auto"/>
            </w:pPr>
            <w:r>
              <w:rPr>
                <w:color w:val="17324D"/>
                <w:sz w:val="15"/>
              </w:rPr>
              <w:t>Source exclusion  activated carbon if justified  remineralisation  disinfection</w:t>
            </w:r>
          </w:p>
        </w:tc>
      </w:tr>
      <w:tr>
        <w:tc>
          <w:tcPr>
            <w:tcW w:type="dxa" w:w="1701"/>
            <w:vAlign w:val="top"/>
            <w:tcMar>
              <w:top w:w="90" w:type="dxa"/>
              <w:start w:w="90" w:type="dxa"/>
              <w:bottom w:w="90" w:type="dxa"/>
              <w:end w:w="90" w:type="dxa"/>
            </w:tcMar>
            <w:shd w:fill="F2F4F5"/>
          </w:tcPr>
          <w:p>
            <w:pPr>
              <w:spacing w:after="20" w:line="240" w:lineRule="auto"/>
            </w:pPr>
            <w:r>
              <w:rPr>
                <w:color w:val="17324D"/>
                <w:sz w:val="15"/>
              </w:rPr>
              <w:t>RO permeate</w:t>
            </w:r>
          </w:p>
        </w:tc>
        <w:tc>
          <w:tcPr>
            <w:tcW w:type="dxa" w:w="3515"/>
            <w:vAlign w:val="top"/>
            <w:tcMar>
              <w:top w:w="90" w:type="dxa"/>
              <w:start w:w="90" w:type="dxa"/>
              <w:bottom w:w="90" w:type="dxa"/>
              <w:end w:w="90" w:type="dxa"/>
            </w:tcMar>
            <w:shd w:fill="F2F4F5"/>
          </w:tcPr>
          <w:p>
            <w:pPr>
              <w:spacing w:after="20" w:line="240" w:lineRule="auto"/>
            </w:pPr>
            <w:r>
              <w:rPr>
                <w:color w:val="17324D"/>
                <w:sz w:val="15"/>
              </w:rPr>
              <w:t>Low alkalinity  boron under some conditions  post-treatment contamination</w:t>
            </w:r>
          </w:p>
        </w:tc>
        <w:tc>
          <w:tcPr>
            <w:tcW w:type="dxa" w:w="4025"/>
            <w:vAlign w:val="top"/>
            <w:tcMar>
              <w:top w:w="90" w:type="dxa"/>
              <w:start w:w="90" w:type="dxa"/>
              <w:bottom w:w="90" w:type="dxa"/>
              <w:end w:w="90" w:type="dxa"/>
            </w:tcMar>
            <w:shd w:fill="F2F4F5"/>
          </w:tcPr>
          <w:p>
            <w:pPr>
              <w:spacing w:after="20" w:line="240" w:lineRule="auto"/>
            </w:pPr>
            <w:r>
              <w:rPr>
                <w:color w:val="17324D"/>
                <w:sz w:val="15"/>
              </w:rPr>
              <w:t>Remineralisation and pH control  disinfection  conductivity and lab verification</w:t>
            </w:r>
          </w:p>
        </w:tc>
      </w:tr>
      <w:tr>
        <w:tc>
          <w:tcPr>
            <w:tcW w:type="dxa" w:w="1701"/>
            <w:vAlign w:val="top"/>
            <w:tcMar>
              <w:top w:w="90" w:type="dxa"/>
              <w:start w:w="90" w:type="dxa"/>
              <w:bottom w:w="90" w:type="dxa"/>
              <w:end w:w="90" w:type="dxa"/>
            </w:tcMar>
          </w:tcPr>
          <w:p>
            <w:pPr>
              <w:spacing w:after="20" w:line="240" w:lineRule="auto"/>
            </w:pPr>
            <w:r>
              <w:rPr>
                <w:color w:val="17324D"/>
                <w:sz w:val="15"/>
              </w:rPr>
              <w:t>AWG water</w:t>
            </w:r>
          </w:p>
        </w:tc>
        <w:tc>
          <w:tcPr>
            <w:tcW w:type="dxa" w:w="3515"/>
            <w:vAlign w:val="top"/>
            <w:tcMar>
              <w:top w:w="90" w:type="dxa"/>
              <w:start w:w="90" w:type="dxa"/>
              <w:bottom w:w="90" w:type="dxa"/>
              <w:end w:w="90" w:type="dxa"/>
            </w:tcMar>
          </w:tcPr>
          <w:p>
            <w:pPr>
              <w:spacing w:after="20" w:line="240" w:lineRule="auto"/>
            </w:pPr>
            <w:r>
              <w:rPr>
                <w:color w:val="17324D"/>
                <w:sz w:val="15"/>
              </w:rPr>
              <w:t>Airborne contaminants  wet surfaces  biofilm</w:t>
            </w:r>
          </w:p>
        </w:tc>
        <w:tc>
          <w:tcPr>
            <w:tcW w:type="dxa" w:w="4025"/>
            <w:vAlign w:val="top"/>
            <w:tcMar>
              <w:top w:w="90" w:type="dxa"/>
              <w:start w:w="90" w:type="dxa"/>
              <w:bottom w:w="90" w:type="dxa"/>
              <w:end w:w="90" w:type="dxa"/>
            </w:tcMar>
          </w:tcPr>
          <w:p>
            <w:pPr>
              <w:spacing w:after="20" w:line="240" w:lineRule="auto"/>
            </w:pPr>
            <w:r>
              <w:rPr>
                <w:color w:val="17324D"/>
                <w:sz w:val="15"/>
              </w:rPr>
              <w:t>Air filtration  sanitation programme  mineral finish  disinfection and microbiology</w:t>
            </w:r>
          </w:p>
        </w:tc>
      </w:tr>
    </w:tbl>
    <w:p>
      <w:pPr>
        <w:spacing w:after="0"/>
      </w:pPr>
    </w:p>
    <w:p>
      <w:r>
        <w:t>The finished water system should be designed to the applicable French requirements implementing the EU Drinking Water Directive, with ARS Guadeloupe engagement before potable use. WHO's desalination guidance is a useful design reference, but it does not replace French authorization, surveillance and potable-contact requirements. [4] [9]</w:t>
      </w:r>
    </w:p>
    <w:p>
      <w:pPr>
        <w:pStyle w:val="Heading1"/>
      </w:pPr>
      <w:r>
        <w:t>Twelve month delivery plan</w:t>
      </w:r>
    </w:p>
    <w:tbl>
      <w:tblPr>
        <w:tblStyle w:val="TableGrid"/>
        <w:tblW w:type="auto" w:w="0"/>
        <w:jc w:val="center"/>
        <w:tblLayout w:type="fixed"/>
        <w:tblLook w:firstColumn="1" w:firstRow="1" w:lastColumn="0" w:lastRow="0" w:noHBand="0" w:noVBand="1" w:val="04A0"/>
      </w:tblPr>
      <w:tblGrid>
        <w:gridCol w:w="3457"/>
        <w:gridCol w:w="3457"/>
        <w:gridCol w:w="3457"/>
      </w:tblGrid>
      <w:tr>
        <w:trPr>
          <w:tblHeader w:val="true"/>
        </w:trPr>
        <w:tc>
          <w:tcPr>
            <w:tcW w:type="dxa" w:w="1531"/>
            <w:shd w:fill="17324D"/>
            <w:vAlign w:val="center"/>
            <w:tcMar>
              <w:top w:w="90" w:type="dxa"/>
              <w:start w:w="90" w:type="dxa"/>
              <w:bottom w:w="90" w:type="dxa"/>
              <w:end w:w="90" w:type="dxa"/>
            </w:tcMar>
          </w:tcPr>
          <w:p>
            <w:r>
              <w:rPr>
                <w:b/>
                <w:color w:val="FFFFFF"/>
                <w:sz w:val="16"/>
              </w:rPr>
              <w:t>Period</w:t>
            </w:r>
          </w:p>
        </w:tc>
        <w:tc>
          <w:tcPr>
            <w:tcW w:type="dxa" w:w="5216"/>
            <w:shd w:fill="17324D"/>
            <w:vAlign w:val="center"/>
            <w:tcMar>
              <w:top w:w="90" w:type="dxa"/>
              <w:start w:w="90" w:type="dxa"/>
              <w:bottom w:w="90" w:type="dxa"/>
              <w:end w:w="90" w:type="dxa"/>
            </w:tcMar>
          </w:tcPr>
          <w:p>
            <w:r>
              <w:rPr>
                <w:b/>
                <w:color w:val="FFFFFF"/>
                <w:sz w:val="16"/>
              </w:rPr>
              <w:t>Work</w:t>
            </w:r>
          </w:p>
        </w:tc>
        <w:tc>
          <w:tcPr>
            <w:tcW w:type="dxa" w:w="2494"/>
            <w:shd w:fill="17324D"/>
            <w:vAlign w:val="center"/>
            <w:tcMar>
              <w:top w:w="90" w:type="dxa"/>
              <w:start w:w="90" w:type="dxa"/>
              <w:bottom w:w="90" w:type="dxa"/>
              <w:end w:w="90" w:type="dxa"/>
            </w:tcMar>
          </w:tcPr>
          <w:p>
            <w:r>
              <w:rPr>
                <w:b/>
                <w:color w:val="FFFFFF"/>
                <w:sz w:val="16"/>
              </w:rPr>
              <w:t>Decision gate</w:t>
            </w:r>
          </w:p>
        </w:tc>
      </w:tr>
      <w:tr>
        <w:tc>
          <w:tcPr>
            <w:tcW w:type="dxa" w:w="1531"/>
            <w:vAlign w:val="top"/>
            <w:tcMar>
              <w:top w:w="90" w:type="dxa"/>
              <w:start w:w="90" w:type="dxa"/>
              <w:bottom w:w="90" w:type="dxa"/>
              <w:end w:w="90" w:type="dxa"/>
            </w:tcMar>
          </w:tcPr>
          <w:p>
            <w:pPr>
              <w:spacing w:after="20" w:line="240" w:lineRule="auto"/>
            </w:pPr>
            <w:r>
              <w:rPr>
                <w:color w:val="17324D"/>
                <w:sz w:val="16"/>
              </w:rPr>
              <w:t>0–30 days</w:t>
            </w:r>
          </w:p>
        </w:tc>
        <w:tc>
          <w:tcPr>
            <w:tcW w:type="dxa" w:w="5216"/>
            <w:vAlign w:val="top"/>
            <w:tcMar>
              <w:top w:w="90" w:type="dxa"/>
              <w:start w:w="90" w:type="dxa"/>
              <w:bottom w:w="90" w:type="dxa"/>
              <w:end w:w="90" w:type="dxa"/>
            </w:tcMar>
          </w:tcPr>
          <w:p>
            <w:pPr>
              <w:spacing w:after="20" w:line="240" w:lineRule="auto"/>
            </w:pPr>
            <w:r>
              <w:rPr>
                <w:color w:val="17324D"/>
                <w:sz w:val="16"/>
              </w:rPr>
              <w:t>Confirm sites and demand  engage ARS and water authority  issue raw-water sampling plan  buy manual emergency units</w:t>
            </w:r>
          </w:p>
        </w:tc>
        <w:tc>
          <w:tcPr>
            <w:tcW w:type="dxa" w:w="2494"/>
            <w:vAlign w:val="top"/>
            <w:tcMar>
              <w:top w:w="90" w:type="dxa"/>
              <w:start w:w="90" w:type="dxa"/>
              <w:bottom w:w="90" w:type="dxa"/>
              <w:end w:w="90" w:type="dxa"/>
            </w:tcMar>
          </w:tcPr>
          <w:p>
            <w:pPr>
              <w:spacing w:after="20" w:line="240" w:lineRule="auto"/>
            </w:pPr>
            <w:r>
              <w:rPr>
                <w:color w:val="17324D"/>
                <w:sz w:val="16"/>
              </w:rPr>
              <w:t>Approved design basis and sampling chain</w:t>
            </w:r>
          </w:p>
        </w:tc>
      </w:tr>
      <w:tr>
        <w:tc>
          <w:tcPr>
            <w:tcW w:type="dxa" w:w="1531"/>
            <w:vAlign w:val="top"/>
            <w:tcMar>
              <w:top w:w="90" w:type="dxa"/>
              <w:start w:w="90" w:type="dxa"/>
              <w:bottom w:w="90" w:type="dxa"/>
              <w:end w:w="90" w:type="dxa"/>
            </w:tcMar>
            <w:shd w:fill="F2F4F5"/>
          </w:tcPr>
          <w:p>
            <w:pPr>
              <w:spacing w:after="20" w:line="240" w:lineRule="auto"/>
            </w:pPr>
            <w:r>
              <w:rPr>
                <w:color w:val="17324D"/>
                <w:sz w:val="16"/>
              </w:rPr>
              <w:t>Month 1–3</w:t>
            </w:r>
          </w:p>
        </w:tc>
        <w:tc>
          <w:tcPr>
            <w:tcW w:type="dxa" w:w="5216"/>
            <w:vAlign w:val="top"/>
            <w:tcMar>
              <w:top w:w="90" w:type="dxa"/>
              <w:start w:w="90" w:type="dxa"/>
              <w:bottom w:w="90" w:type="dxa"/>
              <w:end w:w="90" w:type="dxa"/>
            </w:tcMar>
            <w:shd w:fill="F2F4F5"/>
          </w:tcPr>
          <w:p>
            <w:pPr>
              <w:spacing w:after="20" w:line="240" w:lineRule="auto"/>
            </w:pPr>
            <w:r>
              <w:rPr>
                <w:color w:val="17324D"/>
                <w:sz w:val="16"/>
              </w:rPr>
              <w:t>Install six fog test collectors  twelve GWS-1 stills  one commercial still comparator  rain tank upgrades</w:t>
            </w:r>
          </w:p>
        </w:tc>
        <w:tc>
          <w:tcPr>
            <w:tcW w:type="dxa" w:w="2494"/>
            <w:vAlign w:val="top"/>
            <w:tcMar>
              <w:top w:w="90" w:type="dxa"/>
              <w:start w:w="90" w:type="dxa"/>
              <w:bottom w:w="90" w:type="dxa"/>
              <w:end w:w="90" w:type="dxa"/>
            </w:tcMar>
            <w:shd w:fill="F2F4F5"/>
          </w:tcPr>
          <w:p>
            <w:pPr>
              <w:spacing w:after="20" w:line="240" w:lineRule="auto"/>
            </w:pPr>
            <w:r>
              <w:rPr>
                <w:color w:val="17324D"/>
                <w:sz w:val="16"/>
              </w:rPr>
              <w:t>Verified instruments and baseline lab results</w:t>
            </w:r>
          </w:p>
        </w:tc>
      </w:tr>
      <w:tr>
        <w:tc>
          <w:tcPr>
            <w:tcW w:type="dxa" w:w="1531"/>
            <w:vAlign w:val="top"/>
            <w:tcMar>
              <w:top w:w="90" w:type="dxa"/>
              <w:start w:w="90" w:type="dxa"/>
              <w:bottom w:w="90" w:type="dxa"/>
              <w:end w:w="90" w:type="dxa"/>
            </w:tcMar>
          </w:tcPr>
          <w:p>
            <w:pPr>
              <w:spacing w:after="20" w:line="240" w:lineRule="auto"/>
            </w:pPr>
            <w:r>
              <w:rPr>
                <w:color w:val="17324D"/>
                <w:sz w:val="16"/>
              </w:rPr>
              <w:t>Month 2–4</w:t>
            </w:r>
          </w:p>
        </w:tc>
        <w:tc>
          <w:tcPr>
            <w:tcW w:type="dxa" w:w="5216"/>
            <w:vAlign w:val="top"/>
            <w:tcMar>
              <w:top w:w="90" w:type="dxa"/>
              <w:start w:w="90" w:type="dxa"/>
              <w:bottom w:w="90" w:type="dxa"/>
              <w:end w:w="90" w:type="dxa"/>
            </w:tcMar>
          </w:tcPr>
          <w:p>
            <w:pPr>
              <w:spacing w:after="20" w:line="240" w:lineRule="auto"/>
            </w:pPr>
            <w:r>
              <w:rPr>
                <w:color w:val="17324D"/>
                <w:sz w:val="16"/>
              </w:rPr>
              <w:t>Issue EU-first performance tender plus China comparison lot or alternates</w:t>
            </w:r>
          </w:p>
        </w:tc>
        <w:tc>
          <w:tcPr>
            <w:tcW w:type="dxa" w:w="2494"/>
            <w:vAlign w:val="top"/>
            <w:tcMar>
              <w:top w:w="90" w:type="dxa"/>
              <w:start w:w="90" w:type="dxa"/>
              <w:bottom w:w="90" w:type="dxa"/>
              <w:end w:w="90" w:type="dxa"/>
            </w:tcMar>
          </w:tcPr>
          <w:p>
            <w:pPr>
              <w:spacing w:after="20" w:line="240" w:lineRule="auto"/>
            </w:pPr>
            <w:r>
              <w:rPr>
                <w:color w:val="17324D"/>
                <w:sz w:val="16"/>
              </w:rPr>
              <w:t>Three compliant bids with comparable scope</w:t>
            </w:r>
          </w:p>
        </w:tc>
      </w:tr>
      <w:tr>
        <w:tc>
          <w:tcPr>
            <w:tcW w:type="dxa" w:w="1531"/>
            <w:vAlign w:val="top"/>
            <w:tcMar>
              <w:top w:w="90" w:type="dxa"/>
              <w:start w:w="90" w:type="dxa"/>
              <w:bottom w:w="90" w:type="dxa"/>
              <w:end w:w="90" w:type="dxa"/>
            </w:tcMar>
            <w:shd w:fill="F2F4F5"/>
          </w:tcPr>
          <w:p>
            <w:pPr>
              <w:spacing w:after="20" w:line="240" w:lineRule="auto"/>
            </w:pPr>
            <w:r>
              <w:rPr>
                <w:color w:val="17324D"/>
                <w:sz w:val="16"/>
              </w:rPr>
              <w:t>Month 4–6</w:t>
            </w:r>
          </w:p>
        </w:tc>
        <w:tc>
          <w:tcPr>
            <w:tcW w:type="dxa" w:w="5216"/>
            <w:vAlign w:val="top"/>
            <w:tcMar>
              <w:top w:w="90" w:type="dxa"/>
              <w:start w:w="90" w:type="dxa"/>
              <w:bottom w:w="90" w:type="dxa"/>
              <w:end w:w="90" w:type="dxa"/>
            </w:tcMar>
            <w:shd w:fill="F2F4F5"/>
          </w:tcPr>
          <w:p>
            <w:pPr>
              <w:spacing w:after="20" w:line="240" w:lineRule="auto"/>
            </w:pPr>
            <w:r>
              <w:rPr>
                <w:color w:val="17324D"/>
                <w:sz w:val="16"/>
              </w:rPr>
              <w:t>Witness factory tests  complete intake and brine studies  finalise tank and PV civil design</w:t>
            </w:r>
          </w:p>
        </w:tc>
        <w:tc>
          <w:tcPr>
            <w:tcW w:type="dxa" w:w="2494"/>
            <w:vAlign w:val="top"/>
            <w:tcMar>
              <w:top w:w="90" w:type="dxa"/>
              <w:start w:w="90" w:type="dxa"/>
              <w:bottom w:w="90" w:type="dxa"/>
              <w:end w:w="90" w:type="dxa"/>
            </w:tcMar>
            <w:shd w:fill="F2F4F5"/>
          </w:tcPr>
          <w:p>
            <w:pPr>
              <w:spacing w:after="20" w:line="240" w:lineRule="auto"/>
            </w:pPr>
            <w:r>
              <w:rPr>
                <w:color w:val="17324D"/>
                <w:sz w:val="16"/>
              </w:rPr>
              <w:t>FAT pass and permits pathway</w:t>
            </w:r>
          </w:p>
        </w:tc>
      </w:tr>
      <w:tr>
        <w:tc>
          <w:tcPr>
            <w:tcW w:type="dxa" w:w="1531"/>
            <w:vAlign w:val="top"/>
            <w:tcMar>
              <w:top w:w="90" w:type="dxa"/>
              <w:start w:w="90" w:type="dxa"/>
              <w:bottom w:w="90" w:type="dxa"/>
              <w:end w:w="90" w:type="dxa"/>
            </w:tcMar>
          </w:tcPr>
          <w:p>
            <w:pPr>
              <w:spacing w:after="20" w:line="240" w:lineRule="auto"/>
            </w:pPr>
            <w:r>
              <w:rPr>
                <w:color w:val="17324D"/>
                <w:sz w:val="16"/>
              </w:rPr>
              <w:t>Month 6–10</w:t>
            </w:r>
          </w:p>
        </w:tc>
        <w:tc>
          <w:tcPr>
            <w:tcW w:type="dxa" w:w="5216"/>
            <w:vAlign w:val="top"/>
            <w:tcMar>
              <w:top w:w="90" w:type="dxa"/>
              <w:start w:w="90" w:type="dxa"/>
              <w:bottom w:w="90" w:type="dxa"/>
              <w:end w:w="90" w:type="dxa"/>
            </w:tcMar>
          </w:tcPr>
          <w:p>
            <w:pPr>
              <w:spacing w:after="20" w:line="240" w:lineRule="auto"/>
            </w:pPr>
            <w:r>
              <w:rPr>
                <w:color w:val="17324D"/>
                <w:sz w:val="16"/>
              </w:rPr>
              <w:t>Construct intake  foundations  PV  360 m³ storage  install and commission RO</w:t>
            </w:r>
          </w:p>
        </w:tc>
        <w:tc>
          <w:tcPr>
            <w:tcW w:type="dxa" w:w="2494"/>
            <w:vAlign w:val="top"/>
            <w:tcMar>
              <w:top w:w="90" w:type="dxa"/>
              <w:start w:w="90" w:type="dxa"/>
              <w:bottom w:w="90" w:type="dxa"/>
              <w:end w:w="90" w:type="dxa"/>
            </w:tcMar>
          </w:tcPr>
          <w:p>
            <w:pPr>
              <w:spacing w:after="20" w:line="240" w:lineRule="auto"/>
            </w:pPr>
            <w:r>
              <w:rPr>
                <w:color w:val="17324D"/>
                <w:sz w:val="16"/>
              </w:rPr>
              <w:t>Site acceptance at guaranteed output and water quality</w:t>
            </w:r>
          </w:p>
        </w:tc>
      </w:tr>
      <w:tr>
        <w:tc>
          <w:tcPr>
            <w:tcW w:type="dxa" w:w="1531"/>
            <w:vAlign w:val="top"/>
            <w:tcMar>
              <w:top w:w="90" w:type="dxa"/>
              <w:start w:w="90" w:type="dxa"/>
              <w:bottom w:w="90" w:type="dxa"/>
              <w:end w:w="90" w:type="dxa"/>
            </w:tcMar>
            <w:shd w:fill="F2F4F5"/>
          </w:tcPr>
          <w:p>
            <w:pPr>
              <w:spacing w:after="20" w:line="240" w:lineRule="auto"/>
            </w:pPr>
            <w:r>
              <w:rPr>
                <w:color w:val="17324D"/>
                <w:sz w:val="16"/>
              </w:rPr>
              <w:t>Month 10–12</w:t>
            </w:r>
          </w:p>
        </w:tc>
        <w:tc>
          <w:tcPr>
            <w:tcW w:type="dxa" w:w="5216"/>
            <w:vAlign w:val="top"/>
            <w:tcMar>
              <w:top w:w="90" w:type="dxa"/>
              <w:start w:w="90" w:type="dxa"/>
              <w:bottom w:w="90" w:type="dxa"/>
              <w:end w:w="90" w:type="dxa"/>
            </w:tcMar>
            <w:shd w:fill="F2F4F5"/>
          </w:tcPr>
          <w:p>
            <w:pPr>
              <w:spacing w:after="20" w:line="240" w:lineRule="auto"/>
            </w:pPr>
            <w:r>
              <w:rPr>
                <w:color w:val="17324D"/>
                <w:sz w:val="16"/>
              </w:rPr>
              <w:t>Optimise REFLUX loops  cyclone drill  audit spares  review fog and still dataset</w:t>
            </w:r>
          </w:p>
        </w:tc>
        <w:tc>
          <w:tcPr>
            <w:tcW w:type="dxa" w:w="2494"/>
            <w:vAlign w:val="top"/>
            <w:tcMar>
              <w:top w:w="90" w:type="dxa"/>
              <w:start w:w="90" w:type="dxa"/>
              <w:bottom w:w="90" w:type="dxa"/>
              <w:end w:w="90" w:type="dxa"/>
            </w:tcMar>
            <w:shd w:fill="F2F4F5"/>
          </w:tcPr>
          <w:p>
            <w:pPr>
              <w:spacing w:after="20" w:line="240" w:lineRule="auto"/>
            </w:pPr>
            <w:r>
              <w:rPr>
                <w:color w:val="17324D"/>
                <w:sz w:val="16"/>
              </w:rPr>
              <w:t>Operational readiness and scale or stop decisions</w:t>
            </w:r>
          </w:p>
        </w:tc>
      </w:tr>
    </w:tbl>
    <w:p>
      <w:pPr>
        <w:spacing w:after="0"/>
      </w:pPr>
    </w:p>
    <w:p>
      <w:r>
        <w:br w:type="page"/>
      </w:r>
    </w:p>
    <w:p>
      <w:pPr>
        <w:pStyle w:val="Heading2"/>
      </w:pPr>
      <w:r>
        <w:t>Pilot success criteria</w:t>
      </w:r>
    </w:p>
    <w:tbl>
      <w:tblPr>
        <w:tblStyle w:val="TableGrid"/>
        <w:tblW w:type="auto" w:w="0"/>
        <w:jc w:val="center"/>
        <w:tblLayout w:type="fixed"/>
        <w:tblLook w:firstColumn="1" w:firstRow="1" w:lastColumn="0" w:lastRow="0" w:noHBand="0" w:noVBand="1" w:val="04A0"/>
      </w:tblPr>
      <w:tblGrid>
        <w:gridCol w:w="3457"/>
        <w:gridCol w:w="3457"/>
        <w:gridCol w:w="3457"/>
      </w:tblGrid>
      <w:tr>
        <w:trPr>
          <w:tblHeader w:val="true"/>
        </w:trPr>
        <w:tc>
          <w:tcPr>
            <w:tcW w:type="dxa" w:w="1701"/>
            <w:shd w:fill="17324D"/>
            <w:vAlign w:val="center"/>
            <w:tcMar>
              <w:top w:w="90" w:type="dxa"/>
              <w:start w:w="90" w:type="dxa"/>
              <w:bottom w:w="90" w:type="dxa"/>
              <w:end w:w="90" w:type="dxa"/>
            </w:tcMar>
          </w:tcPr>
          <w:p>
            <w:r>
              <w:rPr>
                <w:b/>
                <w:color w:val="FFFFFF"/>
                <w:sz w:val="15"/>
              </w:rPr>
              <w:t>Pilot</w:t>
            </w:r>
          </w:p>
        </w:tc>
        <w:tc>
          <w:tcPr>
            <w:tcW w:type="dxa" w:w="3969"/>
            <w:shd w:fill="17324D"/>
            <w:vAlign w:val="center"/>
            <w:tcMar>
              <w:top w:w="90" w:type="dxa"/>
              <w:start w:w="90" w:type="dxa"/>
              <w:bottom w:w="90" w:type="dxa"/>
              <w:end w:w="90" w:type="dxa"/>
            </w:tcMar>
          </w:tcPr>
          <w:p>
            <w:r>
              <w:rPr>
                <w:b/>
                <w:color w:val="FFFFFF"/>
                <w:sz w:val="15"/>
              </w:rPr>
              <w:t>Scale trigger</w:t>
            </w:r>
          </w:p>
        </w:tc>
        <w:tc>
          <w:tcPr>
            <w:tcW w:type="dxa" w:w="3572"/>
            <w:shd w:fill="17324D"/>
            <w:vAlign w:val="center"/>
            <w:tcMar>
              <w:top w:w="90" w:type="dxa"/>
              <w:start w:w="90" w:type="dxa"/>
              <w:bottom w:w="90" w:type="dxa"/>
              <w:end w:w="90" w:type="dxa"/>
            </w:tcMar>
          </w:tcPr>
          <w:p>
            <w:r>
              <w:rPr>
                <w:b/>
                <w:color w:val="FFFFFF"/>
                <w:sz w:val="15"/>
              </w:rPr>
              <w:t>Stop or redesign trigger</w:t>
            </w:r>
          </w:p>
        </w:tc>
      </w:tr>
      <w:tr>
        <w:tc>
          <w:tcPr>
            <w:tcW w:type="dxa" w:w="1701"/>
            <w:vAlign w:val="top"/>
            <w:tcMar>
              <w:top w:w="90" w:type="dxa"/>
              <w:start w:w="90" w:type="dxa"/>
              <w:bottom w:w="90" w:type="dxa"/>
              <w:end w:w="90" w:type="dxa"/>
            </w:tcMar>
          </w:tcPr>
          <w:p>
            <w:pPr>
              <w:spacing w:after="20" w:line="240" w:lineRule="auto"/>
            </w:pPr>
            <w:r>
              <w:rPr>
                <w:color w:val="17324D"/>
                <w:sz w:val="15"/>
              </w:rPr>
              <w:t>Fog</w:t>
            </w:r>
          </w:p>
        </w:tc>
        <w:tc>
          <w:tcPr>
            <w:tcW w:type="dxa" w:w="3969"/>
            <w:vAlign w:val="top"/>
            <w:tcMar>
              <w:top w:w="90" w:type="dxa"/>
              <w:start w:w="90" w:type="dxa"/>
              <w:bottom w:w="90" w:type="dxa"/>
              <w:end w:w="90" w:type="dxa"/>
            </w:tcMar>
          </w:tcPr>
          <w:p>
            <w:pPr>
              <w:spacing w:after="20" w:line="240" w:lineRule="auto"/>
            </w:pPr>
            <w:r>
              <w:rPr>
                <w:color w:val="17324D"/>
                <w:sz w:val="15"/>
              </w:rPr>
              <w:t>Dry-season median and 90 percent availability support target cost  microbiology controllable</w:t>
            </w:r>
          </w:p>
        </w:tc>
        <w:tc>
          <w:tcPr>
            <w:tcW w:type="dxa" w:w="3572"/>
            <w:vAlign w:val="top"/>
            <w:tcMar>
              <w:top w:w="90" w:type="dxa"/>
              <w:start w:w="90" w:type="dxa"/>
              <w:bottom w:w="90" w:type="dxa"/>
              <w:end w:w="90" w:type="dxa"/>
            </w:tcMar>
          </w:tcPr>
          <w:p>
            <w:pPr>
              <w:spacing w:after="20" w:line="240" w:lineRule="auto"/>
            </w:pPr>
            <w:r>
              <w:rPr>
                <w:color w:val="17324D"/>
                <w:sz w:val="15"/>
              </w:rPr>
              <w:t>Cyclone handling impractical  yield too intermittent  contamination burden high</w:t>
            </w:r>
          </w:p>
        </w:tc>
      </w:tr>
      <w:tr>
        <w:tc>
          <w:tcPr>
            <w:tcW w:type="dxa" w:w="1701"/>
            <w:vAlign w:val="top"/>
            <w:tcMar>
              <w:top w:w="90" w:type="dxa"/>
              <w:start w:w="90" w:type="dxa"/>
              <w:bottom w:w="90" w:type="dxa"/>
              <w:end w:w="90" w:type="dxa"/>
            </w:tcMar>
            <w:shd w:fill="F2F4F5"/>
          </w:tcPr>
          <w:p>
            <w:pPr>
              <w:spacing w:after="20" w:line="240" w:lineRule="auto"/>
            </w:pPr>
            <w:r>
              <w:rPr>
                <w:color w:val="17324D"/>
                <w:sz w:val="15"/>
              </w:rPr>
              <w:t>GWS-1</w:t>
            </w:r>
          </w:p>
        </w:tc>
        <w:tc>
          <w:tcPr>
            <w:tcW w:type="dxa" w:w="3969"/>
            <w:vAlign w:val="top"/>
            <w:tcMar>
              <w:top w:w="90" w:type="dxa"/>
              <w:start w:w="90" w:type="dxa"/>
              <w:bottom w:w="90" w:type="dxa"/>
              <w:end w:w="90" w:type="dxa"/>
            </w:tcMar>
            <w:shd w:fill="F2F4F5"/>
          </w:tcPr>
          <w:p>
            <w:pPr>
              <w:spacing w:after="20" w:line="240" w:lineRule="auto"/>
            </w:pPr>
            <w:r>
              <w:rPr>
                <w:color w:val="17324D"/>
                <w:sz w:val="15"/>
              </w:rPr>
              <w:t>At least 2.5 L/m²/day campaign average with acceptable cleaning and no leaks</w:t>
            </w:r>
          </w:p>
        </w:tc>
        <w:tc>
          <w:tcPr>
            <w:tcW w:type="dxa" w:w="3572"/>
            <w:vAlign w:val="top"/>
            <w:tcMar>
              <w:top w:w="90" w:type="dxa"/>
              <w:start w:w="90" w:type="dxa"/>
              <w:bottom w:w="90" w:type="dxa"/>
              <w:end w:w="90" w:type="dxa"/>
            </w:tcMar>
            <w:shd w:fill="F2F4F5"/>
          </w:tcPr>
          <w:p>
            <w:pPr>
              <w:spacing w:after="20" w:line="240" w:lineRule="auto"/>
            </w:pPr>
            <w:r>
              <w:rPr>
                <w:color w:val="17324D"/>
                <w:sz w:val="15"/>
              </w:rPr>
              <w:t>Frequent glass or seal failure  carryover contamination  labour cost excessive</w:t>
            </w:r>
          </w:p>
        </w:tc>
      </w:tr>
      <w:tr>
        <w:tc>
          <w:tcPr>
            <w:tcW w:type="dxa" w:w="1701"/>
            <w:vAlign w:val="top"/>
            <w:tcMar>
              <w:top w:w="90" w:type="dxa"/>
              <w:start w:w="90" w:type="dxa"/>
              <w:bottom w:w="90" w:type="dxa"/>
              <w:end w:w="90" w:type="dxa"/>
            </w:tcMar>
          </w:tcPr>
          <w:p>
            <w:pPr>
              <w:spacing w:after="20" w:line="240" w:lineRule="auto"/>
            </w:pPr>
            <w:r>
              <w:rPr>
                <w:color w:val="17324D"/>
                <w:sz w:val="15"/>
              </w:rPr>
              <w:t>Solar SWRO</w:t>
            </w:r>
          </w:p>
        </w:tc>
        <w:tc>
          <w:tcPr>
            <w:tcW w:type="dxa" w:w="3969"/>
            <w:vAlign w:val="top"/>
            <w:tcMar>
              <w:top w:w="90" w:type="dxa"/>
              <w:start w:w="90" w:type="dxa"/>
              <w:bottom w:w="90" w:type="dxa"/>
              <w:end w:w="90" w:type="dxa"/>
            </w:tcMar>
          </w:tcPr>
          <w:p>
            <w:pPr>
              <w:spacing w:after="20" w:line="240" w:lineRule="auto"/>
            </w:pPr>
            <w:r>
              <w:rPr>
                <w:color w:val="17324D"/>
                <w:sz w:val="15"/>
              </w:rPr>
              <w:t>Guaranteed 120 m³/day service with N+1  compliant water  measured whole-plant energy</w:t>
            </w:r>
          </w:p>
        </w:tc>
        <w:tc>
          <w:tcPr>
            <w:tcW w:type="dxa" w:w="3572"/>
            <w:vAlign w:val="top"/>
            <w:tcMar>
              <w:top w:w="90" w:type="dxa"/>
              <w:start w:w="90" w:type="dxa"/>
              <w:bottom w:w="90" w:type="dxa"/>
              <w:end w:w="90" w:type="dxa"/>
            </w:tcMar>
          </w:tcPr>
          <w:p>
            <w:pPr>
              <w:spacing w:after="20" w:line="240" w:lineRule="auto"/>
            </w:pPr>
            <w:r>
              <w:rPr>
                <w:color w:val="17324D"/>
                <w:sz w:val="15"/>
              </w:rPr>
              <w:t>Pretreatment instability  missing spares  brine pathway not permitted</w:t>
            </w:r>
          </w:p>
        </w:tc>
      </w:tr>
      <w:tr>
        <w:tc>
          <w:tcPr>
            <w:tcW w:type="dxa" w:w="1701"/>
            <w:vAlign w:val="top"/>
            <w:tcMar>
              <w:top w:w="90" w:type="dxa"/>
              <w:start w:w="90" w:type="dxa"/>
              <w:bottom w:w="90" w:type="dxa"/>
              <w:end w:w="90" w:type="dxa"/>
            </w:tcMar>
            <w:shd w:fill="F2F4F5"/>
          </w:tcPr>
          <w:p>
            <w:pPr>
              <w:spacing w:after="20" w:line="240" w:lineRule="auto"/>
            </w:pPr>
            <w:r>
              <w:rPr>
                <w:color w:val="17324D"/>
                <w:sz w:val="15"/>
              </w:rPr>
              <w:t>AWG</w:t>
            </w:r>
          </w:p>
        </w:tc>
        <w:tc>
          <w:tcPr>
            <w:tcW w:type="dxa" w:w="3969"/>
            <w:vAlign w:val="top"/>
            <w:tcMar>
              <w:top w:w="90" w:type="dxa"/>
              <w:start w:w="90" w:type="dxa"/>
              <w:bottom w:w="90" w:type="dxa"/>
              <w:end w:w="90" w:type="dxa"/>
            </w:tcMar>
            <w:shd w:fill="F2F4F5"/>
          </w:tcPr>
          <w:p>
            <w:pPr>
              <w:spacing w:after="20" w:line="240" w:lineRule="auto"/>
            </w:pPr>
            <w:r>
              <w:rPr>
                <w:color w:val="17324D"/>
                <w:sz w:val="15"/>
              </w:rPr>
              <w:t>Only if point-use mission values independence more than energy cost</w:t>
            </w:r>
          </w:p>
        </w:tc>
        <w:tc>
          <w:tcPr>
            <w:tcW w:type="dxa" w:w="3572"/>
            <w:vAlign w:val="top"/>
            <w:tcMar>
              <w:top w:w="90" w:type="dxa"/>
              <w:start w:w="90" w:type="dxa"/>
              <w:bottom w:w="90" w:type="dxa"/>
              <w:end w:w="90" w:type="dxa"/>
            </w:tcMar>
            <w:shd w:fill="F2F4F5"/>
          </w:tcPr>
          <w:p>
            <w:pPr>
              <w:spacing w:after="20" w:line="240" w:lineRule="auto"/>
            </w:pPr>
            <w:r>
              <w:rPr>
                <w:color w:val="17324D"/>
                <w:sz w:val="15"/>
              </w:rPr>
              <w:t>Any proposal to substitute AWG for the 120 m³/day seawater plant</w:t>
            </w:r>
          </w:p>
        </w:tc>
      </w:tr>
      <w:tr>
        <w:tc>
          <w:tcPr>
            <w:tcW w:type="dxa" w:w="1701"/>
            <w:vAlign w:val="top"/>
            <w:tcMar>
              <w:top w:w="90" w:type="dxa"/>
              <w:start w:w="90" w:type="dxa"/>
              <w:bottom w:w="90" w:type="dxa"/>
              <w:end w:w="90" w:type="dxa"/>
            </w:tcMar>
          </w:tcPr>
          <w:p>
            <w:pPr>
              <w:spacing w:after="20" w:line="240" w:lineRule="auto"/>
            </w:pPr>
            <w:r>
              <w:rPr>
                <w:color w:val="17324D"/>
                <w:sz w:val="15"/>
              </w:rPr>
              <w:t>Brine recovery</w:t>
            </w:r>
          </w:p>
        </w:tc>
        <w:tc>
          <w:tcPr>
            <w:tcW w:type="dxa" w:w="3969"/>
            <w:vAlign w:val="top"/>
            <w:tcMar>
              <w:top w:w="90" w:type="dxa"/>
              <w:start w:w="90" w:type="dxa"/>
              <w:bottom w:w="90" w:type="dxa"/>
              <w:end w:w="90" w:type="dxa"/>
            </w:tcMar>
          </w:tcPr>
          <w:p>
            <w:pPr>
              <w:spacing w:after="20" w:line="240" w:lineRule="auto"/>
            </w:pPr>
            <w:r>
              <w:rPr>
                <w:color w:val="17324D"/>
                <w:sz w:val="15"/>
              </w:rPr>
              <w:t>Net extra water or saleable product with safe chemistry and positive lifecycle case</w:t>
            </w:r>
          </w:p>
        </w:tc>
        <w:tc>
          <w:tcPr>
            <w:tcW w:type="dxa" w:w="3572"/>
            <w:vAlign w:val="top"/>
            <w:tcMar>
              <w:top w:w="90" w:type="dxa"/>
              <w:start w:w="90" w:type="dxa"/>
              <w:bottom w:w="90" w:type="dxa"/>
              <w:end w:w="90" w:type="dxa"/>
            </w:tcMar>
          </w:tcPr>
          <w:p>
            <w:pPr>
              <w:spacing w:after="20" w:line="240" w:lineRule="auto"/>
            </w:pPr>
            <w:r>
              <w:rPr>
                <w:color w:val="17324D"/>
                <w:sz w:val="15"/>
              </w:rPr>
              <w:t>Scaling  chemical accumulation  no legal offtake or disposal route</w:t>
            </w:r>
          </w:p>
        </w:tc>
      </w:tr>
    </w:tbl>
    <w:p>
      <w:pPr>
        <w:spacing w:after="0"/>
      </w:pPr>
    </w:p>
    <w:p>
      <w:pPr>
        <w:pStyle w:val="Heading1"/>
      </w:pPr>
      <w:r>
        <w:t>Immediate procurement package</w:t>
      </w:r>
    </w:p>
    <w:p>
      <w:pPr>
        <w:spacing w:after="40"/>
        <w:ind w:left="329" w:hanging="272"/>
      </w:pPr>
      <w:r>
        <w:rPr>
          <w:sz w:val="18"/>
        </w:rPr>
        <w:t>1.  Six standard 1 m² fog collectors with matched weather and rainfall logging.</w:t>
      </w:r>
    </w:p>
    <w:p>
      <w:pPr>
        <w:spacing w:after="40"/>
        <w:ind w:left="329" w:hanging="272"/>
      </w:pPr>
      <w:r>
        <w:rPr>
          <w:sz w:val="18"/>
        </w:rPr>
        <w:t>2.  Twelve locally built GWS-1 solar stills and one complete commercial solar-still benchmark.</w:t>
      </w:r>
    </w:p>
    <w:p>
      <w:pPr>
        <w:spacing w:after="40"/>
        <w:ind w:left="329" w:hanging="272"/>
      </w:pPr>
      <w:r>
        <w:rPr>
          <w:sz w:val="18"/>
        </w:rPr>
        <w:t>3.  Local ACS-compliant rain and finished-water tanks for pilots, with first-flush and disinfection components.</w:t>
      </w:r>
    </w:p>
    <w:p>
      <w:pPr>
        <w:spacing w:after="40"/>
        <w:ind w:left="329" w:hanging="272"/>
      </w:pPr>
      <w:r>
        <w:rPr>
          <w:sz w:val="18"/>
        </w:rPr>
        <w:t>4.  Manual RO kits for critical response and one small DC energy-recovery watermaker for operational training.</w:t>
      </w:r>
    </w:p>
    <w:p>
      <w:pPr>
        <w:spacing w:after="40"/>
        <w:ind w:left="329" w:hanging="272"/>
      </w:pPr>
      <w:r>
        <w:rPr>
          <w:sz w:val="18"/>
        </w:rPr>
        <w:t>5.  A two-stage tender for a 120 m³/day guaranteed solar SWRO service with N+1 trains, PV, intake, pretreatment, remineralisation, disinfection, split 360 m³ storage, brine management, training and two-year critical spares.</w:t>
      </w:r>
    </w:p>
    <w:p>
      <w:pPr>
        <w:spacing w:after="40"/>
        <w:ind w:left="329" w:hanging="272"/>
      </w:pPr>
      <w:r>
        <w:rPr>
          <w:sz w:val="18"/>
        </w:rPr>
        <w:t>6.  An optional priced REFLUX IT side-stream package covering pressure recovery as mandatory and heat or brine recovery as separately testable pilots.</w:t>
      </w:r>
    </w:p>
    <w:tbl>
      <w:tblPr>
        <w:tblW w:type="auto" w:w="0"/>
        <w:jc w:val="center"/>
        <w:tblLayout w:type="fixed"/>
        <w:tblLook w:firstColumn="1" w:firstRow="1" w:lastColumn="0" w:lastRow="0" w:noHBand="0" w:noVBand="1" w:val="04A0"/>
      </w:tblPr>
      <w:tblGrid>
        <w:gridCol w:w="159"/>
        <w:gridCol w:w="9184"/>
      </w:tblGrid>
      <w:tr>
        <w:trPr>
          <w:cantSplit/>
        </w:trPr>
        <w:tc>
          <w:tcPr>
            <w:tcW w:type="dxa" w:w="5185"/>
            <w:shd w:fill="007F82"/>
          </w:tcPr>
          <w:p>
            <w:r/>
          </w:p>
        </w:tc>
        <w:tc>
          <w:tcPr>
            <w:tcW w:type="dxa" w:w="5185"/>
            <w:shd w:fill="EEF5F7"/>
            <w:tcMar>
              <w:top w:w="130" w:type="dxa"/>
              <w:start w:w="180" w:type="dxa"/>
              <w:bottom w:w="130" w:type="dxa"/>
              <w:end w:w="180" w:type="dxa"/>
            </w:tcMar>
          </w:tcPr>
          <w:p>
            <w:pPr>
              <w:spacing w:after="40"/>
            </w:pPr>
            <w:r>
              <w:rPr>
                <w:b/>
                <w:color w:val="007F82"/>
                <w:sz w:val="20"/>
              </w:rPr>
              <w:t>Bottom line</w:t>
            </w:r>
          </w:p>
          <w:p>
            <w:pPr>
              <w:spacing w:after="0"/>
            </w:pPr>
            <w:r>
              <w:rPr>
                <w:color w:val="17324D"/>
                <w:sz w:val="18"/>
              </w:rPr>
              <w:t>Spend the first money on measurements, local storage and emergency diversity. Spend the large money on a guaranteed modular solar SWRO service, not on an unverified atmospheric-water or cloud-seeding promise. Keep European manufacturing and Guadeloupe value creation at the centre through whole-life scoring, while letting capable Chinese vendors prove themselves against exactly the same acceptance test.</w:t>
            </w:r>
          </w:p>
        </w:tc>
      </w:tr>
    </w:tbl>
    <w:p>
      <w:pPr>
        <w:spacing w:after="0"/>
      </w:pPr>
    </w:p>
    <w:p>
      <w:r>
        <w:br w:type="page"/>
      </w:r>
    </w:p>
    <w:p>
      <w:pPr>
        <w:pStyle w:val="Heading1"/>
      </w:pPr>
      <w:r>
        <w:t>Sources and vendor links</w:t>
      </w:r>
    </w:p>
    <w:p>
      <w:pPr>
        <w:pStyle w:val="Smallnote"/>
      </w:pPr>
      <w:r>
        <w:t>Accessed 11 October 2026. Vendor capacities, efficiencies and prices are claims for screening until written into a guaranteed contract and verified at factory and site acceptance.</w:t>
      </w:r>
    </w:p>
    <w:p>
      <w:pPr>
        <w:spacing w:after="80"/>
        <w:ind w:left="369" w:hanging="369"/>
      </w:pPr>
      <w:r>
        <w:rPr>
          <w:b/>
          <w:sz w:val="17"/>
        </w:rPr>
        <w:t xml:space="preserve">[1] World Health Organization  </w:t>
      </w:r>
      <w:hyperlink r:id="rId13">
        <w:r>
          <w:rPr>
            <w:color w:val="2389A6"/>
            <w:u w:val="single"/>
          </w:rPr>
          <w:t>Water sanitation and hygiene guidance for emergencies</w:t>
        </w:r>
      </w:hyperlink>
      <w:r>
        <w:rPr>
          <w:sz w:val="17"/>
        </w:rPr>
        <w:t xml:space="preserve">  Emergency quantity planning basis.</w:t>
      </w:r>
    </w:p>
    <w:p>
      <w:pPr>
        <w:spacing w:after="80"/>
        <w:ind w:left="369" w:hanging="369"/>
      </w:pPr>
      <w:r>
        <w:rPr>
          <w:b/>
          <w:sz w:val="17"/>
        </w:rPr>
        <w:t xml:space="preserve">[2] Observatoire de l'eau Guadeloupe  </w:t>
      </w:r>
      <w:hyperlink r:id="rId14">
        <w:r>
          <w:rPr>
            <w:color w:val="2389A6"/>
            <w:u w:val="single"/>
          </w:rPr>
          <w:t>Cycle de l'eau et répartition de la ressource en eau en Guadeloupe</w:t>
        </w:r>
      </w:hyperlink>
      <w:r>
        <w:rPr>
          <w:sz w:val="17"/>
        </w:rPr>
        <w:t xml:space="preserve">  1991–2020 rainfall and windward relief effect.</w:t>
      </w:r>
    </w:p>
    <w:p>
      <w:pPr>
        <w:spacing w:after="80"/>
        <w:ind w:left="369" w:hanging="369"/>
      </w:pPr>
      <w:r>
        <w:rPr>
          <w:b/>
          <w:sz w:val="17"/>
        </w:rPr>
        <w:t xml:space="preserve">[3] FogQuest  </w:t>
      </w:r>
      <w:hyperlink r:id="rId15">
        <w:r>
          <w:rPr>
            <w:color w:val="2389A6"/>
            <w:u w:val="single"/>
          </w:rPr>
          <w:t>Fog collection frequently asked questions</w:t>
        </w:r>
      </w:hyperlink>
      <w:r>
        <w:rPr>
          <w:sz w:val="17"/>
        </w:rPr>
        <w:t xml:space="preserve">  Passive operation  mesh specification  indicative output and project costs.</w:t>
      </w:r>
    </w:p>
    <w:p>
      <w:pPr>
        <w:spacing w:after="80"/>
        <w:ind w:left="369" w:hanging="369"/>
      </w:pPr>
      <w:r>
        <w:rPr>
          <w:b/>
          <w:sz w:val="17"/>
        </w:rPr>
        <w:t xml:space="preserve">[4] World Health Organization  </w:t>
      </w:r>
      <w:hyperlink r:id="rId16">
        <w:r>
          <w:rPr>
            <w:color w:val="2389A6"/>
            <w:u w:val="single"/>
          </w:rPr>
          <w:t>Safe drinking-water from desalination</w:t>
        </w:r>
      </w:hyperlink>
      <w:r>
        <w:rPr>
          <w:sz w:val="17"/>
        </w:rPr>
        <w:t xml:space="preserve">  Health risk management  post-treatment and stability.</w:t>
      </w:r>
    </w:p>
    <w:p>
      <w:pPr>
        <w:spacing w:after="80"/>
        <w:ind w:left="369" w:hanging="369"/>
      </w:pPr>
      <w:r>
        <w:rPr>
          <w:b/>
          <w:sz w:val="17"/>
        </w:rPr>
        <w:t xml:space="preserve">[5] OSMOSUN  </w:t>
      </w:r>
      <w:hyperlink r:id="rId17">
        <w:r>
          <w:rPr>
            <w:color w:val="2389A6"/>
            <w:u w:val="single"/>
          </w:rPr>
          <w:t>OSMOSUN solar seawater desalination</w:t>
        </w:r>
      </w:hyperlink>
      <w:r>
        <w:rPr>
          <w:sz w:val="17"/>
        </w:rPr>
        <w:t xml:space="preserve">  Commercial range  battery-free operation  energy and PV sizing claims.</w:t>
      </w:r>
    </w:p>
    <w:p>
      <w:pPr>
        <w:spacing w:after="80"/>
        <w:ind w:left="369" w:hanging="369"/>
      </w:pPr>
      <w:r>
        <w:rPr>
          <w:b/>
          <w:sz w:val="17"/>
        </w:rPr>
        <w:t xml:space="preserve">[6] GENAQ  </w:t>
      </w:r>
      <w:hyperlink r:id="rId18">
        <w:r>
          <w:rPr>
            <w:color w:val="2389A6"/>
            <w:u w:val="single"/>
          </w:rPr>
          <w:t>Atmospheric water generator solutions</w:t>
        </w:r>
      </w:hyperlink>
      <w:r>
        <w:rPr>
          <w:sz w:val="17"/>
        </w:rPr>
        <w:t xml:space="preserve">  Current nominal output and energy figures.</w:t>
      </w:r>
    </w:p>
    <w:p>
      <w:pPr>
        <w:spacing w:after="80"/>
        <w:ind w:left="369" w:hanging="369"/>
      </w:pPr>
      <w:r>
        <w:rPr>
          <w:b/>
          <w:sz w:val="17"/>
        </w:rPr>
        <w:t xml:space="preserve">[7] European Commission  </w:t>
      </w:r>
      <w:hyperlink r:id="rId19">
        <w:r>
          <w:rPr>
            <w:color w:val="2389A6"/>
            <w:u w:val="single"/>
          </w:rPr>
          <w:t>Life-cycle costing in green public procurement</w:t>
        </w:r>
      </w:hyperlink>
      <w:r>
        <w:rPr>
          <w:sz w:val="17"/>
        </w:rPr>
        <w:t xml:space="preserve">  Transparent lifecycle method and tender data principles.</w:t>
      </w:r>
    </w:p>
    <w:p>
      <w:pPr>
        <w:spacing w:after="80"/>
        <w:ind w:left="369" w:hanging="369"/>
      </w:pPr>
      <w:r>
        <w:rPr>
          <w:b/>
          <w:sz w:val="17"/>
        </w:rPr>
        <w:t xml:space="preserve">[8] World Meteorological Organization  </w:t>
      </w:r>
      <w:hyperlink r:id="rId20">
        <w:r>
          <w:rPr>
            <w:color w:val="2389A6"/>
            <w:u w:val="single"/>
          </w:rPr>
          <w:t>WMO Statement on Weather Modification</w:t>
        </w:r>
      </w:hyperlink>
      <w:r>
        <w:rPr>
          <w:sz w:val="17"/>
        </w:rPr>
        <w:t xml:space="preserve">  Evidence limits and cloud-seeding distinctions.</w:t>
      </w:r>
    </w:p>
    <w:p>
      <w:pPr>
        <w:spacing w:after="80"/>
        <w:ind w:left="369" w:hanging="369"/>
      </w:pPr>
      <w:r>
        <w:rPr>
          <w:b/>
          <w:sz w:val="17"/>
        </w:rPr>
        <w:t xml:space="preserve">[9] European Union  </w:t>
      </w:r>
      <w:hyperlink r:id="rId21">
        <w:r>
          <w:rPr>
            <w:color w:val="2389A6"/>
            <w:u w:val="single"/>
          </w:rPr>
          <w:t>Directive EU 2020 2184 on the quality of water intended for human consumption</w:t>
        </w:r>
      </w:hyperlink>
      <w:r>
        <w:rPr>
          <w:sz w:val="17"/>
        </w:rPr>
        <w:t xml:space="preserve">  EU drinking-water framework.</w:t>
      </w:r>
    </w:p>
    <w:p>
      <w:pPr>
        <w:spacing w:after="80"/>
        <w:ind w:left="369" w:hanging="369"/>
      </w:pPr>
      <w:r>
        <w:rPr>
          <w:b/>
          <w:sz w:val="17"/>
        </w:rPr>
        <w:t xml:space="preserve">[10] Aqualonis  </w:t>
      </w:r>
      <w:hyperlink r:id="rId22">
        <w:r>
          <w:rPr>
            <w:color w:val="2389A6"/>
            <w:u w:val="single"/>
          </w:rPr>
          <w:t>CloudFisher products</w:t>
        </w:r>
      </w:hyperlink>
      <w:r>
        <w:rPr>
          <w:sz w:val="17"/>
        </w:rPr>
        <w:t xml:space="preserve">  Commercial fog collector family.</w:t>
      </w:r>
    </w:p>
    <w:p>
      <w:pPr>
        <w:spacing w:after="80"/>
        <w:ind w:left="369" w:hanging="369"/>
      </w:pPr>
      <w:r>
        <w:rPr>
          <w:b/>
          <w:sz w:val="17"/>
        </w:rPr>
        <w:t xml:space="preserve">[11] KnitMesh Technologies  </w:t>
      </w:r>
      <w:hyperlink r:id="rId23">
        <w:r>
          <w:rPr>
            <w:color w:val="2389A6"/>
            <w:u w:val="single"/>
          </w:rPr>
          <w:t>Fog collectors</w:t>
        </w:r>
      </w:hyperlink>
      <w:r>
        <w:rPr>
          <w:sz w:val="17"/>
        </w:rPr>
        <w:t xml:space="preserve">  Engineered fog collection media.</w:t>
      </w:r>
    </w:p>
    <w:p>
      <w:pPr>
        <w:spacing w:after="80"/>
        <w:ind w:left="369" w:hanging="369"/>
      </w:pPr>
      <w:r>
        <w:rPr>
          <w:b/>
          <w:sz w:val="17"/>
        </w:rPr>
        <w:t xml:space="preserve">[12] Katadyn  </w:t>
      </w:r>
      <w:hyperlink r:id="rId24">
        <w:r>
          <w:rPr>
            <w:color w:val="2389A6"/>
            <w:u w:val="single"/>
          </w:rPr>
          <w:t>Survivor desalination products</w:t>
        </w:r>
      </w:hyperlink>
      <w:r>
        <w:rPr>
          <w:sz w:val="17"/>
        </w:rPr>
        <w:t xml:space="preserve">  Manual emergency watermakers.</w:t>
      </w:r>
    </w:p>
    <w:p>
      <w:pPr>
        <w:spacing w:after="80"/>
        <w:ind w:left="369" w:hanging="369"/>
      </w:pPr>
      <w:r>
        <w:rPr>
          <w:b/>
          <w:sz w:val="17"/>
        </w:rPr>
        <w:t xml:space="preserve">[13] Spectra Watermakers  </w:t>
      </w:r>
      <w:hyperlink r:id="rId25">
        <w:r>
          <w:rPr>
            <w:color w:val="2389A6"/>
            <w:u w:val="single"/>
          </w:rPr>
          <w:t>Aquifer watermakers</w:t>
        </w:r>
      </w:hyperlink>
      <w:r>
        <w:rPr>
          <w:sz w:val="17"/>
        </w:rPr>
        <w:t xml:space="preserve">  Low-power DC energy-recovery watermakers.</w:t>
      </w:r>
    </w:p>
    <w:p>
      <w:pPr>
        <w:spacing w:after="80"/>
        <w:ind w:left="369" w:hanging="369"/>
      </w:pPr>
      <w:r>
        <w:rPr>
          <w:b/>
          <w:sz w:val="17"/>
        </w:rPr>
        <w:t xml:space="preserve">[14] F Cubed  </w:t>
      </w:r>
      <w:hyperlink r:id="rId26">
        <w:r>
          <w:rPr>
            <w:color w:val="2389A6"/>
            <w:u w:val="single"/>
          </w:rPr>
          <w:t>Carocell solar desalination</w:t>
        </w:r>
      </w:hyperlink>
      <w:r>
        <w:rPr>
          <w:sz w:val="17"/>
        </w:rPr>
        <w:t xml:space="preserve">  Passive solar desalination products and project claims.</w:t>
      </w:r>
    </w:p>
    <w:p>
      <w:pPr>
        <w:spacing w:after="80"/>
        <w:ind w:left="369" w:hanging="369"/>
      </w:pPr>
      <w:r>
        <w:rPr>
          <w:b/>
          <w:sz w:val="17"/>
        </w:rPr>
        <w:t xml:space="preserve">[15] Elemental Water Makers  </w:t>
      </w:r>
      <w:hyperlink r:id="rId27">
        <w:r>
          <w:rPr>
            <w:color w:val="2389A6"/>
            <w:u w:val="single"/>
          </w:rPr>
          <w:t>Solar desalination systems</w:t>
        </w:r>
      </w:hyperlink>
      <w:r>
        <w:rPr>
          <w:sz w:val="17"/>
        </w:rPr>
        <w:t xml:space="preserve">  EU commercial solar RO supplier.</w:t>
      </w:r>
    </w:p>
    <w:p>
      <w:pPr>
        <w:spacing w:after="80"/>
        <w:ind w:left="369" w:hanging="369"/>
      </w:pPr>
      <w:r>
        <w:rPr>
          <w:b/>
          <w:sz w:val="17"/>
        </w:rPr>
        <w:t xml:space="preserve">[16] Solar Water Solutions  </w:t>
      </w:r>
      <w:hyperlink r:id="rId28">
        <w:r>
          <w:rPr>
            <w:color w:val="2389A6"/>
            <w:u w:val="single"/>
          </w:rPr>
          <w:t>SolarRO desalination</w:t>
        </w:r>
      </w:hyperlink>
      <w:r>
        <w:rPr>
          <w:sz w:val="17"/>
        </w:rPr>
        <w:t xml:space="preserve">  Renewable desalination supplier.</w:t>
      </w:r>
    </w:p>
    <w:p>
      <w:pPr>
        <w:spacing w:after="80"/>
        <w:ind w:left="369" w:hanging="369"/>
      </w:pPr>
      <w:r>
        <w:rPr>
          <w:b/>
          <w:sz w:val="17"/>
        </w:rPr>
        <w:t xml:space="preserve">[17] Boreal Light  </w:t>
      </w:r>
      <w:hyperlink r:id="rId29">
        <w:r>
          <w:rPr>
            <w:color w:val="2389A6"/>
            <w:u w:val="single"/>
          </w:rPr>
          <w:t>Winture solar water systems</w:t>
        </w:r>
      </w:hyperlink>
      <w:r>
        <w:rPr>
          <w:sz w:val="17"/>
        </w:rPr>
        <w:t xml:space="preserve">  Large solar water-treatment systems.</w:t>
      </w:r>
    </w:p>
    <w:p>
      <w:pPr>
        <w:spacing w:after="80"/>
        <w:ind w:left="369" w:hanging="369"/>
      </w:pPr>
      <w:r>
        <w:rPr>
          <w:b/>
          <w:sz w:val="17"/>
        </w:rPr>
        <w:t xml:space="preserve">[18] RN Solutions  </w:t>
      </w:r>
      <w:hyperlink r:id="rId30">
        <w:r>
          <w:rPr>
            <w:color w:val="2389A6"/>
            <w:u w:val="single"/>
          </w:rPr>
          <w:t>Membrane distillation</w:t>
        </w:r>
      </w:hyperlink>
      <w:r>
        <w:rPr>
          <w:sz w:val="17"/>
        </w:rPr>
        <w:t xml:space="preserve">  Low-grade-heat membrane-distillation option.</w:t>
      </w:r>
    </w:p>
    <w:p>
      <w:pPr>
        <w:spacing w:after="80"/>
        <w:ind w:left="369" w:hanging="369"/>
      </w:pPr>
      <w:r>
        <w:rPr>
          <w:b/>
          <w:sz w:val="17"/>
        </w:rPr>
        <w:t xml:space="preserve">[19] memsys  </w:t>
      </w:r>
      <w:hyperlink r:id="rId31">
        <w:r>
          <w:rPr>
            <w:color w:val="2389A6"/>
            <w:u w:val="single"/>
          </w:rPr>
          <w:t>Membrane distillation systems</w:t>
        </w:r>
      </w:hyperlink>
      <w:r>
        <w:rPr>
          <w:sz w:val="17"/>
        </w:rPr>
        <w:t xml:space="preserve">  German thermal membrane systems.</w:t>
      </w:r>
    </w:p>
    <w:p>
      <w:pPr>
        <w:spacing w:after="80"/>
        <w:ind w:left="369" w:hanging="369"/>
      </w:pPr>
      <w:r>
        <w:rPr>
          <w:b/>
          <w:sz w:val="17"/>
        </w:rPr>
        <w:t xml:space="preserve">[20] Salinity Solutions  </w:t>
      </w:r>
      <w:hyperlink r:id="rId32">
        <w:r>
          <w:rPr>
            <w:color w:val="2389A6"/>
            <w:u w:val="single"/>
          </w:rPr>
          <w:t>Batch reverse osmosis</w:t>
        </w:r>
      </w:hyperlink>
      <w:r>
        <w:rPr>
          <w:sz w:val="17"/>
        </w:rPr>
        <w:t xml:space="preserve">  High-recovery batch RO for suitable brackish and wastewater feeds.</w:t>
      </w:r>
    </w:p>
    <w:p>
      <w:pPr>
        <w:spacing w:after="80"/>
        <w:ind w:left="369" w:hanging="369"/>
      </w:pPr>
      <w:r>
        <w:rPr>
          <w:b/>
          <w:sz w:val="17"/>
        </w:rPr>
        <w:t xml:space="preserve">[21] Jiangsu Fenghai New Energy Desalinated Development  </w:t>
      </w:r>
      <w:hyperlink r:id="rId33">
        <w:r>
          <w:rPr>
            <w:color w:val="2389A6"/>
            <w:u w:val="single"/>
          </w:rPr>
          <w:t>SWRO product list</w:t>
        </w:r>
      </w:hyperlink>
      <w:r>
        <w:rPr>
          <w:sz w:val="17"/>
        </w:rPr>
        <w:t xml:space="preserve">  Chinese 5–144 m³/day listed systems and larger ranges.</w:t>
      </w:r>
    </w:p>
    <w:p>
      <w:pPr>
        <w:spacing w:after="80"/>
        <w:ind w:left="369" w:hanging="369"/>
      </w:pPr>
      <w:r>
        <w:rPr>
          <w:b/>
          <w:sz w:val="17"/>
        </w:rPr>
        <w:t xml:space="preserve">[22] Zhuhai Wangyang Water Treatment  </w:t>
      </w:r>
      <w:hyperlink r:id="rId34">
        <w:r>
          <w:rPr>
            <w:color w:val="2389A6"/>
            <w:u w:val="single"/>
          </w:rPr>
          <w:t>Containerized seawater desalination</w:t>
        </w:r>
      </w:hyperlink>
      <w:r>
        <w:rPr>
          <w:sz w:val="17"/>
        </w:rPr>
        <w:t xml:space="preserve">  Chinese container SWRO examples.</w:t>
      </w:r>
    </w:p>
    <w:p>
      <w:pPr>
        <w:spacing w:after="80"/>
        <w:ind w:left="369" w:hanging="369"/>
      </w:pPr>
      <w:r>
        <w:rPr>
          <w:b/>
          <w:sz w:val="17"/>
        </w:rPr>
        <w:t xml:space="preserve">[23] Snowate  </w:t>
      </w:r>
      <w:hyperlink r:id="rId35">
        <w:r>
          <w:rPr>
            <w:color w:val="2389A6"/>
            <w:u w:val="single"/>
          </w:rPr>
          <w:t>Desalination energy recovery devices</w:t>
        </w:r>
      </w:hyperlink>
      <w:r>
        <w:rPr>
          <w:sz w:val="17"/>
        </w:rPr>
        <w:t xml:space="preserve">  Chinese pressure-exchanger comparison.</w:t>
      </w:r>
    </w:p>
    <w:p>
      <w:pPr>
        <w:spacing w:after="80"/>
        <w:ind w:left="369" w:hanging="369"/>
      </w:pPr>
      <w:r>
        <w:rPr>
          <w:b/>
          <w:sz w:val="17"/>
        </w:rPr>
        <w:t xml:space="preserve">[24] Heaven Springs  </w:t>
      </w:r>
      <w:hyperlink r:id="rId36">
        <w:r>
          <w:rPr>
            <w:color w:val="2389A6"/>
            <w:u w:val="single"/>
          </w:rPr>
          <w:t>Atmospheric water generation</w:t>
        </w:r>
      </w:hyperlink>
      <w:r>
        <w:rPr>
          <w:sz w:val="17"/>
        </w:rPr>
        <w:t xml:space="preserve">  Chinese AWG comparison.</w:t>
      </w:r>
    </w:p>
    <w:p>
      <w:pPr>
        <w:spacing w:after="80"/>
        <w:ind w:left="369" w:hanging="369"/>
      </w:pPr>
      <w:r>
        <w:rPr>
          <w:b/>
          <w:sz w:val="17"/>
        </w:rPr>
        <w:t xml:space="preserve">[25] PROCAP  </w:t>
      </w:r>
      <w:hyperlink r:id="rId37">
        <w:r>
          <w:rPr>
            <w:color w:val="2389A6"/>
            <w:u w:val="single"/>
          </w:rPr>
          <w:t>Procap water tanks</w:t>
        </w:r>
      </w:hyperlink>
      <w:r>
        <w:rPr>
          <w:sz w:val="17"/>
        </w:rPr>
        <w:t xml:space="preserve">  Antilles tank manufacturing and potable models.</w:t>
      </w:r>
    </w:p>
    <w:p>
      <w:pPr>
        <w:spacing w:after="80"/>
        <w:ind w:left="369" w:hanging="369"/>
      </w:pPr>
      <w:r>
        <w:rPr>
          <w:b/>
          <w:sz w:val="17"/>
        </w:rPr>
        <w:t xml:space="preserve">[26] Bèl Lapli  </w:t>
      </w:r>
      <w:hyperlink r:id="rId38">
        <w:r>
          <w:rPr>
            <w:color w:val="2389A6"/>
            <w:u w:val="single"/>
          </w:rPr>
          <w:t>Aqua rainwater systems</w:t>
        </w:r>
      </w:hyperlink>
      <w:r>
        <w:rPr>
          <w:sz w:val="17"/>
        </w:rPr>
        <w:t xml:space="preserve">  Guadeloupe rainwater installation route.</w:t>
      </w:r>
    </w:p>
    <w:sectPr w:rsidR="00FC693F" w:rsidRPr="0006063C" w:rsidSect="00034616">
      <w:headerReference w:type="default" r:id="rId9"/>
      <w:footerReference w:type="default" r:id="rId10"/>
      <w:pgSz w:w="12240" w:h="15840"/>
      <w:pgMar w:top="907" w:right="935" w:bottom="879" w:left="935" w:header="397"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D6A72"/>
        <w:sz w:val="16"/>
      </w:rPr>
      <w:t xml:space="preserve">REFLUX IT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07F82"/>
        <w:sz w:val="15"/>
      </w:rPr>
      <w:t>REFLUX IT   •   GUADELOUPE WATER RESILIENCE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7324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7F82"/>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2389A6"/>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7324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00"/>
    </w:pPr>
    <w:rPr>
      <w:rFonts w:asciiTheme="majorHAnsi" w:eastAsiaTheme="majorEastAsia" w:hAnsiTheme="majorHAnsi" w:cstheme="majorBidi" w:ascii="Aptos Display" w:hAnsi="Aptos Display"/>
      <w:b/>
      <w:i/>
      <w:iCs/>
      <w:color w:val="007F8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D6A72"/>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who.int/publications/i/item/9789241562638" TargetMode="External"/><Relationship Id="rId14" Type="http://schemas.openxmlformats.org/officeDocument/2006/relationships/hyperlink" Target="https://www.observatoire-eau-guadeloupe.fr/ressources-usages-de-leau/ressource-en-eau/" TargetMode="External"/><Relationship Id="rId15" Type="http://schemas.openxmlformats.org/officeDocument/2006/relationships/hyperlink" Target="https://www.fogquest.org/f-a-q" TargetMode="External"/><Relationship Id="rId16" Type="http://schemas.openxmlformats.org/officeDocument/2006/relationships/hyperlink" Target="https://www.who.int/publications/i/item/9789241547437" TargetMode="External"/><Relationship Id="rId17" Type="http://schemas.openxmlformats.org/officeDocument/2006/relationships/hyperlink" Target="https://www.osmosun.com/en/our-solutions/desalination/osmosun/" TargetMode="External"/><Relationship Id="rId18" Type="http://schemas.openxmlformats.org/officeDocument/2006/relationships/hyperlink" Target="https://genaq.com/solutions/" TargetMode="External"/><Relationship Id="rId19" Type="http://schemas.openxmlformats.org/officeDocument/2006/relationships/hyperlink" Target="https://green-forum.ec.europa.eu/green-business/green-public-procurement/life-cycle-costing_en" TargetMode="External"/><Relationship Id="rId20" Type="http://schemas.openxmlformats.org/officeDocument/2006/relationships/hyperlink" Target="https://wmo.int/content/wmo-statement-weather-modification" TargetMode="External"/><Relationship Id="rId21" Type="http://schemas.openxmlformats.org/officeDocument/2006/relationships/hyperlink" Target="https://eur-lex.europa.eu/eli/dir/2020/2184/oj" TargetMode="External"/><Relationship Id="rId22" Type="http://schemas.openxmlformats.org/officeDocument/2006/relationships/hyperlink" Target="https://www.aqualonis.com/cloudfisher/" TargetMode="External"/><Relationship Id="rId23" Type="http://schemas.openxmlformats.org/officeDocument/2006/relationships/hyperlink" Target="https://knitmeshtechnologies.com/products/fog-collectors/" TargetMode="External"/><Relationship Id="rId24" Type="http://schemas.openxmlformats.org/officeDocument/2006/relationships/hyperlink" Target="https://www.katadyngroup.com/int/en/brands/Katadyn~b4908/overview/listing?solution=Desalination" TargetMode="External"/><Relationship Id="rId25" Type="http://schemas.openxmlformats.org/officeDocument/2006/relationships/hyperlink" Target="https://spectrawatermakers.com/products/aquifer" TargetMode="External"/><Relationship Id="rId26" Type="http://schemas.openxmlformats.org/officeDocument/2006/relationships/hyperlink" Target="https://fcubed.com.au/" TargetMode="External"/><Relationship Id="rId27" Type="http://schemas.openxmlformats.org/officeDocument/2006/relationships/hyperlink" Target="https://elementalwatermakers.com/" TargetMode="External"/><Relationship Id="rId28" Type="http://schemas.openxmlformats.org/officeDocument/2006/relationships/hyperlink" Target="https://solarwatersolutions.fi/" TargetMode="External"/><Relationship Id="rId29" Type="http://schemas.openxmlformats.org/officeDocument/2006/relationships/hyperlink" Target="https://boreallight.com/" TargetMode="External"/><Relationship Id="rId30" Type="http://schemas.openxmlformats.org/officeDocument/2006/relationships/hyperlink" Target="https://rnsolutions.nl/" TargetMode="External"/><Relationship Id="rId31" Type="http://schemas.openxmlformats.org/officeDocument/2006/relationships/hyperlink" Target="https://www.memsys.eu/" TargetMode="External"/><Relationship Id="rId32" Type="http://schemas.openxmlformats.org/officeDocument/2006/relationships/hyperlink" Target="https://salinitysolutions.co.uk/" TargetMode="External"/><Relationship Id="rId33" Type="http://schemas.openxmlformats.org/officeDocument/2006/relationships/hyperlink" Target="https://www.rewatertech.com/products/" TargetMode="External"/><Relationship Id="rId34" Type="http://schemas.openxmlformats.org/officeDocument/2006/relationships/hyperlink" Target="https://www.zhwywater.com/en/seawater-reverse-osmosis-system/" TargetMode="External"/><Relationship Id="rId35" Type="http://schemas.openxmlformats.org/officeDocument/2006/relationships/hyperlink" Target="https://www.snowate.com/pt/parts/desalination-high-pressure-pump/category/desalination-energy-recovery-device.html" TargetMode="External"/><Relationship Id="rId36" Type="http://schemas.openxmlformats.org/officeDocument/2006/relationships/hyperlink" Target="https://en.heavensprings.com/" TargetMode="External"/><Relationship Id="rId37" Type="http://schemas.openxmlformats.org/officeDocument/2006/relationships/hyperlink" Target="https://www.procap.fr/" TargetMode="External"/><Relationship Id="rId38" Type="http://schemas.openxmlformats.org/officeDocument/2006/relationships/hyperlink" Target="https://bellapl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REFLUX IT Guadeloupe Water Technology and Procurement Study</dc:title>
  <dc:subject>Low energy fog capture desalination circular recovery and sourcing</dc:subject>
  <dc:creator>OpenAI</dc:creator>
  <cp:keywords>Guadeloupe, desalination, fog harvesting, rainwater, solar still, SWRO, atmospheric water, cloud seeding, REFLUX IT</cp:keywords>
  <dc:description>Research and procurement brief prepared 11 October 2026</dc:description>
  <cp:lastModifiedBy/>
  <cp:revision>1</cp:revision>
  <dcterms:created xsi:type="dcterms:W3CDTF">2013-12-23T23:15:00Z</dcterms:created>
  <dcterms:modified xsi:type="dcterms:W3CDTF">2013-12-23T23:15:00Z</dcterms:modified>
  <cp:category/>
</cp:coreProperties>
</file>