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UK metals and polymers</w:t>
      </w:r>
    </w:p>
    <w:p>
      <w:r>
        <w:t>Manufacturing-led inventory and evidence review</w:t>
        <w:br/>
        <w:t>First-stage report • 9 October 2026</w:t>
      </w:r>
    </w:p>
    <w:p>
      <w:pPr>
        <w:pStyle w:val="Heading2"/>
      </w:pPr>
      <w:r>
        <w:t>What the search established</w:t>
      </w:r>
    </w:p>
    <w:p>
      <w:r>
        <w:t>A useful inventory can be built around chemical families, polymer structures and alloy specifications. The accompanying workbook contains 111 polymer records, 97 metal and associated-material records, 29 name mappings and 50 sources. It covers common materials and many specialist materials that a packaging-only list would miss.</w:t>
      </w:r>
    </w:p>
    <w:p>
      <w:r>
        <w:t>These are catalogue records at several levels: families, subtypes, blends, physical forms and selected grades. They overlap. The total of 208 must not be interpreted as 208 distinct substances, a complete list of commercial grades, or a measurement of UK material stocks.</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5040"/>
        <w:gridCol w:w="5040"/>
      </w:tblGrid>
      <w:tr>
        <w:trPr>
          <w:cantSplit/>
          <w:tblHeader/>
        </w:trPr>
        <w:tc>
          <w:tcPr>
            <w:tcW w:type="dxa" w:w="3240"/>
            <w:shd w:fill="243C55"/>
            <w:tcMar>
              <w:top w:w="75" w:type="dxa"/>
              <w:left w:w="75" w:type="dxa"/>
              <w:bottom w:w="75" w:type="dxa"/>
              <w:right w:w="75" w:type="dxa"/>
            </w:tcMar>
          </w:tcPr>
          <w:p>
            <w:pPr>
              <w:spacing w:after="40" w:line="245" w:lineRule="auto"/>
            </w:pPr>
            <w:r>
              <w:rPr>
                <w:b/>
                <w:color w:val="FFFFFF"/>
                <w:sz w:val="18"/>
              </w:rPr>
              <w:t>Finding</w:t>
            </w:r>
          </w:p>
        </w:tc>
        <w:tc>
          <w:tcPr>
            <w:tcW w:type="dxa" w:w="6840"/>
            <w:shd w:fill="243C55"/>
            <w:tcMar>
              <w:top w:w="75" w:type="dxa"/>
              <w:left w:w="75" w:type="dxa"/>
              <w:bottom w:w="75" w:type="dxa"/>
              <w:right w:w="75" w:type="dxa"/>
            </w:tcMar>
          </w:tcPr>
          <w:p>
            <w:pPr>
              <w:spacing w:after="40" w:line="245" w:lineRule="auto"/>
            </w:pPr>
            <w:r>
              <w:rPr>
                <w:b/>
                <w:color w:val="FFFFFF"/>
                <w:sz w:val="18"/>
              </w:rPr>
              <w:t>What it means</w:t>
            </w:r>
          </w:p>
        </w:tc>
      </w:tr>
      <w:tr>
        <w:trPr>
          <w:cantSplit/>
        </w:trPr>
        <w:tc>
          <w:tcPr>
            <w:tcW w:type="dxa" w:w="3240"/>
            <w:shd w:fill="F0F3F6"/>
            <w:tcMar>
              <w:top w:w="75" w:type="dxa"/>
              <w:left w:w="75" w:type="dxa"/>
              <w:bottom w:w="75" w:type="dxa"/>
              <w:right w:w="75" w:type="dxa"/>
            </w:tcMar>
          </w:tcPr>
          <w:p>
            <w:pPr>
              <w:spacing w:after="40" w:line="245" w:lineRule="auto"/>
            </w:pPr>
            <w:r>
              <w:rPr>
                <w:b w:val="0"/>
                <w:color w:val="172635"/>
                <w:sz w:val="18"/>
              </w:rPr>
              <w:t>150 records have a direct UK offer</w:t>
            </w:r>
          </w:p>
        </w:tc>
        <w:tc>
          <w:tcPr>
            <w:tcW w:type="dxa" w:w="6840"/>
            <w:shd w:fill="F0F3F6"/>
            <w:tcMar>
              <w:top w:w="75" w:type="dxa"/>
              <w:left w:w="75" w:type="dxa"/>
              <w:bottom w:w="75" w:type="dxa"/>
              <w:right w:w="75" w:type="dxa"/>
            </w:tcMar>
          </w:tcPr>
          <w:p>
            <w:pPr>
              <w:spacing w:after="40" w:line="245" w:lineRule="auto"/>
            </w:pPr>
            <w:r>
              <w:rPr>
                <w:b w:val="0"/>
                <w:color w:val="172635"/>
                <w:sz w:val="18"/>
              </w:rPr>
              <w:t>A UK supplier or manufacturer advertises the material. This does not establish tonnage, current stock or UK production origin.</w:t>
            </w:r>
          </w:p>
        </w:tc>
      </w:tr>
      <w:tr>
        <w:trPr>
          <w:cantSplit/>
        </w:trPr>
        <w:tc>
          <w:tcPr>
            <w:tcW w:type="dxa" w:w="3240"/>
            <w:shd w:fill="FFFFFF"/>
            <w:tcMar>
              <w:top w:w="75" w:type="dxa"/>
              <w:left w:w="75" w:type="dxa"/>
              <w:bottom w:w="75" w:type="dxa"/>
              <w:right w:w="75" w:type="dxa"/>
            </w:tcMar>
          </w:tcPr>
          <w:p>
            <w:pPr>
              <w:spacing w:after="40" w:line="245" w:lineRule="auto"/>
            </w:pPr>
            <w:r>
              <w:rPr>
                <w:b w:val="0"/>
                <w:color w:val="172635"/>
                <w:sz w:val="18"/>
              </w:rPr>
              <w:t>The remaining 58 have other evidence or open gaps</w:t>
            </w:r>
          </w:p>
        </w:tc>
        <w:tc>
          <w:tcPr>
            <w:tcW w:type="dxa" w:w="6840"/>
            <w:shd w:fill="FFFFFF"/>
            <w:tcMar>
              <w:top w:w="75" w:type="dxa"/>
              <w:left w:w="75" w:type="dxa"/>
              <w:bottom w:w="75" w:type="dxa"/>
              <w:right w:w="75" w:type="dxa"/>
            </w:tcMar>
          </w:tcPr>
          <w:p>
            <w:pPr>
              <w:spacing w:after="40" w:line="245" w:lineRule="auto"/>
            </w:pPr>
            <w:r>
              <w:rPr>
                <w:b w:val="0"/>
                <w:color w:val="172635"/>
                <w:sz w:val="18"/>
              </w:rPr>
              <w:t>Research, recycling offers, directories and general references are explicitly distinguished in every row.</w:t>
            </w:r>
          </w:p>
        </w:tc>
      </w:tr>
      <w:tr>
        <w:trPr>
          <w:cantSplit/>
        </w:trPr>
        <w:tc>
          <w:tcPr>
            <w:tcW w:type="dxa" w:w="3240"/>
            <w:shd w:fill="F0F3F6"/>
            <w:tcMar>
              <w:top w:w="75" w:type="dxa"/>
              <w:left w:w="75" w:type="dxa"/>
              <w:bottom w:w="75" w:type="dxa"/>
              <w:right w:w="75" w:type="dxa"/>
            </w:tcMar>
          </w:tcPr>
          <w:p>
            <w:pPr>
              <w:spacing w:after="40" w:line="245" w:lineRule="auto"/>
            </w:pPr>
            <w:r>
              <w:rPr>
                <w:b w:val="0"/>
                <w:color w:val="172635"/>
                <w:sz w:val="18"/>
              </w:rPr>
              <w:t>No single complete public register was found</w:t>
            </w:r>
          </w:p>
        </w:tc>
        <w:tc>
          <w:tcPr>
            <w:tcW w:type="dxa" w:w="6840"/>
            <w:shd w:fill="F0F3F6"/>
            <w:tcMar>
              <w:top w:w="75" w:type="dxa"/>
              <w:left w:w="75" w:type="dxa"/>
              <w:bottom w:w="75" w:type="dxa"/>
              <w:right w:w="75" w:type="dxa"/>
            </w:tcMar>
          </w:tcPr>
          <w:p>
            <w:pPr>
              <w:spacing w:after="40" w:line="245" w:lineRule="auto"/>
            </w:pPr>
            <w:r>
              <w:rPr>
                <w:b w:val="0"/>
                <w:color w:val="172635"/>
                <w:sz w:val="18"/>
              </w:rPr>
              <w:t>Manufacturing statistics, trade data, industry references and company catalogues answer different parts of the question.</w:t>
            </w:r>
          </w:p>
        </w:tc>
      </w:tr>
      <w:tr>
        <w:trPr>
          <w:cantSplit/>
        </w:trPr>
        <w:tc>
          <w:tcPr>
            <w:tcW w:type="dxa" w:w="3240"/>
            <w:shd w:fill="FFFFFF"/>
            <w:tcMar>
              <w:top w:w="75" w:type="dxa"/>
              <w:left w:w="75" w:type="dxa"/>
              <w:bottom w:w="75" w:type="dxa"/>
              <w:right w:w="75" w:type="dxa"/>
            </w:tcMar>
          </w:tcPr>
          <w:p>
            <w:pPr>
              <w:spacing w:after="40" w:line="245" w:lineRule="auto"/>
            </w:pPr>
            <w:r>
              <w:rPr>
                <w:b w:val="0"/>
                <w:color w:val="172635"/>
                <w:sz w:val="18"/>
              </w:rPr>
              <w:t>Quantities are deliberately unfilled</w:t>
            </w:r>
          </w:p>
        </w:tc>
        <w:tc>
          <w:tcPr>
            <w:tcW w:type="dxa" w:w="6840"/>
            <w:shd w:fill="FFFFFF"/>
            <w:tcMar>
              <w:top w:w="75" w:type="dxa"/>
              <w:left w:w="75" w:type="dxa"/>
              <w:bottom w:w="75" w:type="dxa"/>
              <w:right w:w="75" w:type="dxa"/>
            </w:tcMar>
          </w:tcPr>
          <w:p>
            <w:pPr>
              <w:spacing w:after="40" w:line="245" w:lineRule="auto"/>
            </w:pPr>
            <w:r>
              <w:rPr>
                <w:b w:val="0"/>
                <w:color w:val="172635"/>
                <w:sz w:val="18"/>
              </w:rPr>
              <w:t>Unknown is not zero. Production, imports, exports, in-use stocks and available scrap need separate measurement.</w:t>
            </w:r>
          </w:p>
        </w:tc>
      </w:tr>
    </w:tbl>
    <w:p>
      <w:pPr>
        <w:pStyle w:val="Heading2"/>
      </w:pPr>
      <w:r>
        <w:t>Why the manufacturing approach helps</w:t>
      </w:r>
    </w:p>
    <w:p>
      <w:r>
        <w:t>Resin suppliers, compounders, metal stockholders and foundries often name the underlying chemistry or grade. They provide a better starting vocabulary than product labels alone. But UK manufacturing records miss imported finished goods and long-lived materials already in buildings, vehicles and equipment.</w:t>
      </w:r>
    </w:p>
    <w:p>
      <w:pPr>
        <w:pStyle w:val="Heading2"/>
      </w:pPr>
      <w:r>
        <w:t>Deliverables</w:t>
      </w:r>
    </w:p>
    <w:p>
      <w:r>
        <w:t>The workbook provides filterable Polymers, Metals, Names and Sources sheets, with an Overview explaining the evidence. The JSON file contains the same material records for later database work. Source IDs such as [S19] link this report and both datasets to the source register.</w:t>
      </w:r>
    </w:p>
    <w:p>
      <w:r>
        <w:br w:type="page"/>
      </w:r>
    </w:p>
    <w:p>
      <w:pPr>
        <w:pStyle w:val="Heading1"/>
      </w:pPr>
      <w:r>
        <w:t>Polymer coverage</w:t>
      </w:r>
    </w:p>
    <w:p>
      <w:r>
        <w:t>The inventory includes thermoplastics, thermosets, elastomers, blends and composites. The groupings below are a reading guide; individual rows carry their own evidence status. References include UK resin and stock-shape suppliers, manufacturers and industry material guides. [S02–S12, S16–S18, S45–S48]</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5040"/>
        <w:gridCol w:w="5040"/>
      </w:tblGrid>
      <w:tr>
        <w:trPr>
          <w:cantSplit/>
          <w:tblHeader/>
        </w:trPr>
        <w:tc>
          <w:tcPr>
            <w:tcW w:type="dxa" w:w="3096"/>
            <w:shd w:fill="243C55"/>
            <w:tcMar>
              <w:top w:w="75" w:type="dxa"/>
              <w:left w:w="75" w:type="dxa"/>
              <w:bottom w:w="75" w:type="dxa"/>
              <w:right w:w="75" w:type="dxa"/>
            </w:tcMar>
          </w:tcPr>
          <w:p>
            <w:pPr>
              <w:spacing w:after="40" w:line="245" w:lineRule="auto"/>
            </w:pPr>
            <w:r>
              <w:rPr>
                <w:b/>
                <w:color w:val="FFFFFF"/>
                <w:sz w:val="18"/>
              </w:rPr>
              <w:t>Group</w:t>
            </w:r>
          </w:p>
        </w:tc>
        <w:tc>
          <w:tcPr>
            <w:tcW w:type="dxa" w:w="6984"/>
            <w:shd w:fill="243C55"/>
            <w:tcMar>
              <w:top w:w="75" w:type="dxa"/>
              <w:left w:w="75" w:type="dxa"/>
              <w:bottom w:w="75" w:type="dxa"/>
              <w:right w:w="75" w:type="dxa"/>
            </w:tcMar>
          </w:tcPr>
          <w:p>
            <w:pPr>
              <w:spacing w:after="40" w:line="245" w:lineRule="auto"/>
            </w:pPr>
            <w:r>
              <w:rPr>
                <w:b/>
                <w:color w:val="FFFFFF"/>
                <w:sz w:val="18"/>
              </w:rPr>
              <w:t>Representative records</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Polyolefins and ethylene copolymers</w:t>
            </w:r>
          </w:p>
        </w:tc>
        <w:tc>
          <w:tcPr>
            <w:tcW w:type="dxa" w:w="6984"/>
            <w:shd w:fill="F0F3F6"/>
            <w:tcMar>
              <w:top w:w="75" w:type="dxa"/>
              <w:left w:w="75" w:type="dxa"/>
              <w:bottom w:w="75" w:type="dxa"/>
              <w:right w:w="75" w:type="dxa"/>
            </w:tcMar>
          </w:tcPr>
          <w:p>
            <w:pPr>
              <w:spacing w:after="40" w:line="245" w:lineRule="auto"/>
            </w:pPr>
            <w:r>
              <w:rPr>
                <w:b w:val="0"/>
                <w:color w:val="172635"/>
                <w:sz w:val="18"/>
              </w:rPr>
              <w:t>PE; HDPE, LDPE, LLDPE, MDPE, UHMWPE, XLPE; PP, PB-1, PMP; EVA, POE, EVOH</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Styrenics</w:t>
            </w:r>
          </w:p>
        </w:tc>
        <w:tc>
          <w:tcPr>
            <w:tcW w:type="dxa" w:w="6984"/>
            <w:shd w:fill="FFFFFF"/>
            <w:tcMar>
              <w:top w:w="75" w:type="dxa"/>
              <w:left w:w="75" w:type="dxa"/>
              <w:bottom w:w="75" w:type="dxa"/>
              <w:right w:w="75" w:type="dxa"/>
            </w:tcMar>
          </w:tcPr>
          <w:p>
            <w:pPr>
              <w:spacing w:after="40" w:line="245" w:lineRule="auto"/>
            </w:pPr>
            <w:r>
              <w:rPr>
                <w:b w:val="0"/>
                <w:color w:val="172635"/>
                <w:sz w:val="18"/>
              </w:rPr>
              <w:t>PS, HIPS, EPS, ABS, ASA, SAN, MABS, syndiotactic PS</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Vinyls and acrylics</w:t>
            </w:r>
          </w:p>
        </w:tc>
        <w:tc>
          <w:tcPr>
            <w:tcW w:type="dxa" w:w="6984"/>
            <w:shd w:fill="F0F3F6"/>
            <w:tcMar>
              <w:top w:w="75" w:type="dxa"/>
              <w:left w:w="75" w:type="dxa"/>
              <w:bottom w:w="75" w:type="dxa"/>
              <w:right w:w="75" w:type="dxa"/>
            </w:tcMar>
          </w:tcPr>
          <w:p>
            <w:pPr>
              <w:spacing w:after="40" w:line="245" w:lineRule="auto"/>
            </w:pPr>
            <w:r>
              <w:rPr>
                <w:b w:val="0"/>
                <w:color w:val="172635"/>
                <w:sz w:val="18"/>
              </w:rPr>
              <w:t>PVC-U, PVC-P, CPVC, PVOH, PVAc, PVB; PMMA, PAN</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Polyesters and related engineering plastics</w:t>
            </w:r>
          </w:p>
        </w:tc>
        <w:tc>
          <w:tcPr>
            <w:tcW w:type="dxa" w:w="6984"/>
            <w:shd w:fill="FFFFFF"/>
            <w:tcMar>
              <w:top w:w="75" w:type="dxa"/>
              <w:left w:w="75" w:type="dxa"/>
              <w:bottom w:w="75" w:type="dxa"/>
              <w:right w:w="75" w:type="dxa"/>
            </w:tcMar>
          </w:tcPr>
          <w:p>
            <w:pPr>
              <w:spacing w:after="40" w:line="245" w:lineRule="auto"/>
            </w:pPr>
            <w:r>
              <w:rPr>
                <w:b w:val="0"/>
                <w:color w:val="172635"/>
                <w:sz w:val="18"/>
              </w:rPr>
              <w:t>PET, PETG, PBT, PEN, PCT-G; PC, POM, PPE, aliphatic PK</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Polyamides</w:t>
            </w:r>
          </w:p>
        </w:tc>
        <w:tc>
          <w:tcPr>
            <w:tcW w:type="dxa" w:w="6984"/>
            <w:shd w:fill="F0F3F6"/>
            <w:tcMar>
              <w:top w:w="75" w:type="dxa"/>
              <w:left w:w="75" w:type="dxa"/>
              <w:bottom w:w="75" w:type="dxa"/>
              <w:right w:w="75" w:type="dxa"/>
            </w:tcMar>
          </w:tcPr>
          <w:p>
            <w:pPr>
              <w:spacing w:after="40" w:line="245" w:lineRule="auto"/>
            </w:pPr>
            <w:r>
              <w:rPr>
                <w:b w:val="0"/>
                <w:color w:val="172635"/>
                <w:sz w:val="18"/>
              </w:rPr>
              <w:t>PA6, PA66, PA12, PA610, PPA and aramids</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Specialist engineering polymers</w:t>
            </w:r>
          </w:p>
        </w:tc>
        <w:tc>
          <w:tcPr>
            <w:tcW w:type="dxa" w:w="6984"/>
            <w:shd w:fill="FFFFFF"/>
            <w:tcMar>
              <w:top w:w="75" w:type="dxa"/>
              <w:left w:w="75" w:type="dxa"/>
              <w:bottom w:w="75" w:type="dxa"/>
              <w:right w:w="75" w:type="dxa"/>
            </w:tcMar>
          </w:tcPr>
          <w:p>
            <w:pPr>
              <w:spacing w:after="40" w:line="245" w:lineRule="auto"/>
            </w:pPr>
            <w:r>
              <w:rPr>
                <w:b w:val="0"/>
                <w:color w:val="172635"/>
                <w:sz w:val="18"/>
              </w:rPr>
              <w:t>PEEK, PEKK, PEK; PPS; PSU, PESU, PPSU; PEI, PAI, PI; LCP</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Fluoropolymers</w:t>
            </w:r>
          </w:p>
        </w:tc>
        <w:tc>
          <w:tcPr>
            <w:tcW w:type="dxa" w:w="6984"/>
            <w:shd w:fill="F0F3F6"/>
            <w:tcMar>
              <w:top w:w="75" w:type="dxa"/>
              <w:left w:w="75" w:type="dxa"/>
              <w:bottom w:w="75" w:type="dxa"/>
              <w:right w:w="75" w:type="dxa"/>
            </w:tcMar>
          </w:tcPr>
          <w:p>
            <w:pPr>
              <w:spacing w:after="40" w:line="245" w:lineRule="auto"/>
            </w:pPr>
            <w:r>
              <w:rPr>
                <w:b w:val="0"/>
                <w:color w:val="172635"/>
                <w:sz w:val="18"/>
              </w:rPr>
              <w:t>PTFE, FEP, PFA, ETFE, ECTFE, PVDF, PCTFE</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Cellulose and other bio-derived / degradable families</w:t>
            </w:r>
          </w:p>
        </w:tc>
        <w:tc>
          <w:tcPr>
            <w:tcW w:type="dxa" w:w="6984"/>
            <w:shd w:fill="FFFFFF"/>
            <w:tcMar>
              <w:top w:w="75" w:type="dxa"/>
              <w:left w:w="75" w:type="dxa"/>
              <w:bottom w:w="75" w:type="dxa"/>
              <w:right w:w="75" w:type="dxa"/>
            </w:tcMar>
          </w:tcPr>
          <w:p>
            <w:pPr>
              <w:spacing w:after="40" w:line="245" w:lineRule="auto"/>
            </w:pPr>
            <w:r>
              <w:rPr>
                <w:b w:val="0"/>
                <w:color w:val="172635"/>
                <w:sz w:val="18"/>
              </w:rPr>
              <w:t>CA, CAB, CAP, CN; PLA, PHA, PBS, PBAT, thermoplastic starch. Feedstock origin and degradability vary.</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Thermosetting resins</w:t>
            </w:r>
          </w:p>
        </w:tc>
        <w:tc>
          <w:tcPr>
            <w:tcW w:type="dxa" w:w="6984"/>
            <w:shd w:fill="F0F3F6"/>
            <w:tcMar>
              <w:top w:w="75" w:type="dxa"/>
              <w:left w:w="75" w:type="dxa"/>
              <w:bottom w:w="75" w:type="dxa"/>
              <w:right w:w="75" w:type="dxa"/>
            </w:tcMar>
          </w:tcPr>
          <w:p>
            <w:pPr>
              <w:spacing w:after="40" w:line="245" w:lineRule="auto"/>
            </w:pPr>
            <w:r>
              <w:rPr>
                <w:b w:val="0"/>
                <w:color w:val="172635"/>
                <w:sz w:val="18"/>
              </w:rPr>
              <w:t>Epoxy, unsaturated polyester, vinyl ester, phenolic, UF, MF, MUF, PUR, PIR, furan, alkyd, allylic resins</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Thermoplastic elastomers</w:t>
            </w:r>
          </w:p>
        </w:tc>
        <w:tc>
          <w:tcPr>
            <w:tcW w:type="dxa" w:w="6984"/>
            <w:shd w:fill="FFFFFF"/>
            <w:tcMar>
              <w:top w:w="75" w:type="dxa"/>
              <w:left w:w="75" w:type="dxa"/>
              <w:bottom w:w="75" w:type="dxa"/>
              <w:right w:w="75" w:type="dxa"/>
            </w:tcMar>
          </w:tcPr>
          <w:p>
            <w:pPr>
              <w:spacing w:after="40" w:line="245" w:lineRule="auto"/>
            </w:pPr>
            <w:r>
              <w:rPr>
                <w:b w:val="0"/>
                <w:color w:val="172635"/>
                <w:sz w:val="18"/>
              </w:rPr>
              <w:t>TPU, SBS, SEBS, TPO, TPV and thermoplastic copolyesters</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Rubbers and cured elastomers</w:t>
            </w:r>
          </w:p>
        </w:tc>
        <w:tc>
          <w:tcPr>
            <w:tcW w:type="dxa" w:w="6984"/>
            <w:shd w:fill="F0F3F6"/>
            <w:tcMar>
              <w:top w:w="75" w:type="dxa"/>
              <w:left w:w="75" w:type="dxa"/>
              <w:bottom w:w="75" w:type="dxa"/>
              <w:right w:w="75" w:type="dxa"/>
            </w:tcMar>
          </w:tcPr>
          <w:p>
            <w:pPr>
              <w:spacing w:after="40" w:line="245" w:lineRule="auto"/>
            </w:pPr>
            <w:r>
              <w:rPr>
                <w:b w:val="0"/>
                <w:color w:val="172635"/>
                <w:sz w:val="18"/>
              </w:rPr>
              <w:t>NR, SBR, EPDM, CR, NBR, IIR, VMQ, FVMQ, FKM, ACM, AEM, HNBR, FFKM</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Blends, compounds and composites</w:t>
            </w:r>
          </w:p>
        </w:tc>
        <w:tc>
          <w:tcPr>
            <w:tcW w:type="dxa" w:w="6984"/>
            <w:shd w:fill="FFFFFF"/>
            <w:tcMar>
              <w:top w:w="75" w:type="dxa"/>
              <w:left w:w="75" w:type="dxa"/>
              <w:bottom w:w="75" w:type="dxa"/>
              <w:right w:w="75" w:type="dxa"/>
            </w:tcMar>
          </w:tcPr>
          <w:p>
            <w:pPr>
              <w:spacing w:after="40" w:line="245" w:lineRule="auto"/>
            </w:pPr>
            <w:r>
              <w:rPr>
                <w:b w:val="0"/>
                <w:color w:val="172635"/>
                <w:sz w:val="18"/>
              </w:rPr>
              <w:t>PC/ABS, PC/PBT, PC/PET, PA/ABS, PBT/ASA, PC/ASA; glass- and carbon-fibre reinforced plastics; filled polymers</w:t>
            </w:r>
          </w:p>
        </w:tc>
      </w:tr>
    </w:tbl>
    <w:p>
      <w:pPr>
        <w:pStyle w:val="Heading2"/>
      </w:pPr>
      <w:r>
        <w:t>Chemistry changes the recovery route</w:t>
      </w:r>
    </w:p>
    <w:p>
      <w:r>
        <w:t>Many thermoplastics can be reshaped with heat, but their processing windows, contamination tolerance and degradation behaviour differ. Cross-linked thermosets and cured rubbers do not simply melt back into the original resin. Solvent recovery or chemical conversion must be evaluated for the particular polymer and formulation. [S02, S03, S12]</w:t>
      </w:r>
    </w:p>
    <w:p>
      <w:r>
        <w:t>Plastics are not all carbon and hydrogen: oxygen, nitrogen, chlorine, fluorine, sulphur and silicon occur in important families. Polymer identity, additives, reinforcement and contamination therefore need separate fields. [S02, S40]</w:t>
      </w:r>
    </w:p>
    <w:p>
      <w:r>
        <w:br w:type="page"/>
      </w:r>
    </w:p>
    <w:p>
      <w:pPr>
        <w:pStyle w:val="Heading1"/>
      </w:pPr>
      <w:r>
        <w:t>Metal and associated-material coverage</w:t>
      </w:r>
    </w:p>
    <w:p>
      <w:r>
        <w:t>The metal register separates elements, alloy families, selected grades and manufacturing feedstocks. Related non-metal materials are retained where this prevents misleading classification—for example, ferrite magnets are ceramics. [S19–S31, S49, S50]</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5040"/>
        <w:gridCol w:w="5040"/>
      </w:tblGrid>
      <w:tr>
        <w:trPr>
          <w:cantSplit/>
          <w:tblHeader/>
        </w:trPr>
        <w:tc>
          <w:tcPr>
            <w:tcW w:type="dxa" w:w="3096"/>
            <w:shd w:fill="243C55"/>
            <w:tcMar>
              <w:top w:w="75" w:type="dxa"/>
              <w:left w:w="75" w:type="dxa"/>
              <w:bottom w:w="75" w:type="dxa"/>
              <w:right w:w="75" w:type="dxa"/>
            </w:tcMar>
          </w:tcPr>
          <w:p>
            <w:pPr>
              <w:spacing w:after="40" w:line="245" w:lineRule="auto"/>
            </w:pPr>
            <w:r>
              <w:rPr>
                <w:b/>
                <w:color w:val="FFFFFF"/>
                <w:sz w:val="18"/>
              </w:rPr>
              <w:t>Group</w:t>
            </w:r>
          </w:p>
        </w:tc>
        <w:tc>
          <w:tcPr>
            <w:tcW w:type="dxa" w:w="6984"/>
            <w:shd w:fill="243C55"/>
            <w:tcMar>
              <w:top w:w="75" w:type="dxa"/>
              <w:left w:w="75" w:type="dxa"/>
              <w:bottom w:w="75" w:type="dxa"/>
              <w:right w:w="75" w:type="dxa"/>
            </w:tcMar>
          </w:tcPr>
          <w:p>
            <w:pPr>
              <w:spacing w:after="40" w:line="245" w:lineRule="auto"/>
            </w:pPr>
            <w:r>
              <w:rPr>
                <w:b/>
                <w:color w:val="FFFFFF"/>
                <w:sz w:val="18"/>
              </w:rPr>
              <w:t>Representative records</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Iron and steels</w:t>
            </w:r>
          </w:p>
        </w:tc>
        <w:tc>
          <w:tcPr>
            <w:tcW w:type="dxa" w:w="6984"/>
            <w:shd w:fill="F0F3F6"/>
            <w:tcMar>
              <w:top w:w="75" w:type="dxa"/>
              <w:left w:w="75" w:type="dxa"/>
              <w:bottom w:w="75" w:type="dxa"/>
              <w:right w:w="75" w:type="dxa"/>
            </w:tcMar>
          </w:tcPr>
          <w:p>
            <w:pPr>
              <w:spacing w:after="40" w:line="245" w:lineRule="auto"/>
            </w:pPr>
            <w:r>
              <w:rPr>
                <w:b w:val="0"/>
                <w:color w:val="172635"/>
                <w:sz w:val="18"/>
              </w:rPr>
              <w:t>Iron; carbon and low-alloy steels; selected EN engineering steels; tool and maraging steels; stainless families and selected 304/304L/316 grades</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Cast irons</w:t>
            </w:r>
          </w:p>
        </w:tc>
        <w:tc>
          <w:tcPr>
            <w:tcW w:type="dxa" w:w="6984"/>
            <w:shd w:fill="FFFFFF"/>
            <w:tcMar>
              <w:top w:w="75" w:type="dxa"/>
              <w:left w:w="75" w:type="dxa"/>
              <w:bottom w:w="75" w:type="dxa"/>
              <w:right w:w="75" w:type="dxa"/>
            </w:tcMar>
          </w:tcPr>
          <w:p>
            <w:pPr>
              <w:spacing w:after="40" w:line="245" w:lineRule="auto"/>
            </w:pPr>
            <w:r>
              <w:rPr>
                <w:b w:val="0"/>
                <w:color w:val="172635"/>
                <w:sz w:val="18"/>
              </w:rPr>
              <w:t>Grey iron, spheroidal-graphite / ductile iron, austempered ductile iron and Ni-Resist</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Aluminium</w:t>
            </w:r>
          </w:p>
        </w:tc>
        <w:tc>
          <w:tcPr>
            <w:tcW w:type="dxa" w:w="6984"/>
            <w:shd w:fill="F0F3F6"/>
            <w:tcMar>
              <w:top w:w="75" w:type="dxa"/>
              <w:left w:w="75" w:type="dxa"/>
              <w:bottom w:w="75" w:type="dxa"/>
              <w:right w:w="75" w:type="dxa"/>
            </w:tcMar>
          </w:tcPr>
          <w:p>
            <w:pPr>
              <w:spacing w:after="40" w:line="245" w:lineRule="auto"/>
            </w:pPr>
            <w:r>
              <w:rPr>
                <w:b w:val="0"/>
                <w:color w:val="172635"/>
                <w:sz w:val="18"/>
              </w:rPr>
              <w:t>Wrought series 1xxx–7xxx; Al-Li; casting-alloy families, including UK evidence for LM and AA casting grades</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Copper and copper alloys</w:t>
            </w:r>
          </w:p>
        </w:tc>
        <w:tc>
          <w:tcPr>
            <w:tcW w:type="dxa" w:w="6984"/>
            <w:shd w:fill="FFFFFF"/>
            <w:tcMar>
              <w:top w:w="75" w:type="dxa"/>
              <w:left w:w="75" w:type="dxa"/>
              <w:bottom w:w="75" w:type="dxa"/>
              <w:right w:w="75" w:type="dxa"/>
            </w:tcMar>
          </w:tcPr>
          <w:p>
            <w:pPr>
              <w:spacing w:after="40" w:line="245" w:lineRule="auto"/>
            </w:pPr>
            <w:r>
              <w:rPr>
                <w:b w:val="0"/>
                <w:color w:val="172635"/>
                <w:sz w:val="18"/>
              </w:rPr>
              <w:t>Copper, brass, phosphor bronze, aluminium bronze, leaded bronze, cupronickel, Cu-Be and nickel silver</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Nickel, cobalt and heat-resistant alloys</w:t>
            </w:r>
          </w:p>
        </w:tc>
        <w:tc>
          <w:tcPr>
            <w:tcW w:type="dxa" w:w="6984"/>
            <w:shd w:fill="F0F3F6"/>
            <w:tcMar>
              <w:top w:w="75" w:type="dxa"/>
              <w:left w:w="75" w:type="dxa"/>
              <w:bottom w:w="75" w:type="dxa"/>
              <w:right w:w="75" w:type="dxa"/>
            </w:tcMar>
          </w:tcPr>
          <w:p>
            <w:pPr>
              <w:spacing w:after="40" w:line="245" w:lineRule="auto"/>
            </w:pPr>
            <w:r>
              <w:rPr>
                <w:b w:val="0"/>
                <w:color w:val="172635"/>
                <w:sz w:val="18"/>
              </w:rPr>
              <w:t>Commercial nickel; Ni-Cu, Ni-Cr and Fe-Ni-Cr families; cobalt-based superalloys</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Light and reactive metals</w:t>
            </w:r>
          </w:p>
        </w:tc>
        <w:tc>
          <w:tcPr>
            <w:tcW w:type="dxa" w:w="6984"/>
            <w:shd w:fill="FFFFFF"/>
            <w:tcMar>
              <w:top w:w="75" w:type="dxa"/>
              <w:left w:w="75" w:type="dxa"/>
              <w:bottom w:w="75" w:type="dxa"/>
              <w:right w:w="75" w:type="dxa"/>
            </w:tcMar>
          </w:tcPr>
          <w:p>
            <w:pPr>
              <w:spacing w:after="40" w:line="245" w:lineRule="auto"/>
            </w:pPr>
            <w:r>
              <w:rPr>
                <w:b w:val="0"/>
                <w:color w:val="172635"/>
                <w:sz w:val="18"/>
              </w:rPr>
              <w:t>Magnesium alloys; commercially pure titanium; Ti-6Al-4V and other titanium alloys</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Low-melting and joining alloys</w:t>
            </w:r>
          </w:p>
        </w:tc>
        <w:tc>
          <w:tcPr>
            <w:tcW w:type="dxa" w:w="6984"/>
            <w:shd w:fill="F0F3F6"/>
            <w:tcMar>
              <w:top w:w="75" w:type="dxa"/>
              <w:left w:w="75" w:type="dxa"/>
              <w:bottom w:w="75" w:type="dxa"/>
              <w:right w:w="75" w:type="dxa"/>
            </w:tcMar>
          </w:tcPr>
          <w:p>
            <w:pPr>
              <w:spacing w:after="40" w:line="245" w:lineRule="auto"/>
            </w:pPr>
            <w:r>
              <w:rPr>
                <w:b w:val="0"/>
                <w:color w:val="172635"/>
                <w:sz w:val="18"/>
              </w:rPr>
              <w:t>Zinc casting alloys; tin-lead and lead-free solder families; pewter; silver-bearing and copper-phosphorus brazing alloys</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Precious metals</w:t>
            </w:r>
          </w:p>
        </w:tc>
        <w:tc>
          <w:tcPr>
            <w:tcW w:type="dxa" w:w="6984"/>
            <w:shd w:fill="FFFFFF"/>
            <w:tcMar>
              <w:top w:w="75" w:type="dxa"/>
              <w:left w:w="75" w:type="dxa"/>
              <w:bottom w:w="75" w:type="dxa"/>
              <w:right w:w="75" w:type="dxa"/>
            </w:tcMar>
          </w:tcPr>
          <w:p>
            <w:pPr>
              <w:spacing w:after="40" w:line="245" w:lineRule="auto"/>
            </w:pPr>
            <w:r>
              <w:rPr>
                <w:b w:val="0"/>
                <w:color w:val="172635"/>
                <w:sz w:val="18"/>
              </w:rPr>
              <w:t>Gold, silver, platinum and jewellery-alloy families; palladium, rhodium, iridium and ruthenium; osmium reference entry</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Refractory and specialist metals</w:t>
            </w:r>
          </w:p>
        </w:tc>
        <w:tc>
          <w:tcPr>
            <w:tcW w:type="dxa" w:w="6984"/>
            <w:shd w:fill="F0F3F6"/>
            <w:tcMar>
              <w:top w:w="75" w:type="dxa"/>
              <w:left w:w="75" w:type="dxa"/>
              <w:bottom w:w="75" w:type="dxa"/>
              <w:right w:w="75" w:type="dxa"/>
            </w:tcMar>
          </w:tcPr>
          <w:p>
            <w:pPr>
              <w:spacing w:after="40" w:line="245" w:lineRule="auto"/>
            </w:pPr>
            <w:r>
              <w:rPr>
                <w:b w:val="0"/>
                <w:color w:val="172635"/>
                <w:sz w:val="18"/>
              </w:rPr>
              <w:t>Tungsten, molybdenum, tantalum, niobium, zirconium, hafnium and rhenium</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Magnetic materials</w:t>
            </w:r>
          </w:p>
        </w:tc>
        <w:tc>
          <w:tcPr>
            <w:tcW w:type="dxa" w:w="6984"/>
            <w:shd w:fill="FFFFFF"/>
            <w:tcMar>
              <w:top w:w="75" w:type="dxa"/>
              <w:left w:w="75" w:type="dxa"/>
              <w:bottom w:w="75" w:type="dxa"/>
              <w:right w:w="75" w:type="dxa"/>
            </w:tcMar>
          </w:tcPr>
          <w:p>
            <w:pPr>
              <w:spacing w:after="40" w:line="245" w:lineRule="auto"/>
            </w:pPr>
            <w:r>
              <w:rPr>
                <w:b w:val="0"/>
                <w:color w:val="172635"/>
                <w:sz w:val="18"/>
              </w:rPr>
              <w:t>NdFeB, SmCo and Alnico; separately labelled ferrite ceramics and polymer-bonded magnets</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Technology and alloying elements</w:t>
            </w:r>
          </w:p>
        </w:tc>
        <w:tc>
          <w:tcPr>
            <w:tcW w:type="dxa" w:w="6984"/>
            <w:shd w:fill="F0F3F6"/>
            <w:tcMar>
              <w:top w:w="75" w:type="dxa"/>
              <w:left w:w="75" w:type="dxa"/>
              <w:bottom w:w="75" w:type="dxa"/>
              <w:right w:w="75" w:type="dxa"/>
            </w:tcMar>
          </w:tcPr>
          <w:p>
            <w:pPr>
              <w:spacing w:after="40" w:line="245" w:lineRule="auto"/>
            </w:pPr>
            <w:r>
              <w:rPr>
                <w:b w:val="0"/>
                <w:color w:val="172635"/>
                <w:sz w:val="18"/>
              </w:rPr>
              <w:t>Lithium, manganese, chromium, Nd/Pr/Dy/Tb and other specialist elements; their actual chemical forms require separate identification</w:t>
            </w:r>
          </w:p>
        </w:tc>
      </w:tr>
      <w:tr>
        <w:trPr>
          <w:cantSplit/>
        </w:trPr>
        <w:tc>
          <w:tcPr>
            <w:tcW w:type="dxa" w:w="3096"/>
            <w:shd w:fill="FFFFFF"/>
            <w:tcMar>
              <w:top w:w="75" w:type="dxa"/>
              <w:left w:w="75" w:type="dxa"/>
              <w:bottom w:w="75" w:type="dxa"/>
              <w:right w:w="75" w:type="dxa"/>
            </w:tcMar>
          </w:tcPr>
          <w:p>
            <w:pPr>
              <w:spacing w:after="40" w:line="245" w:lineRule="auto"/>
            </w:pPr>
            <w:r>
              <w:rPr>
                <w:b w:val="0"/>
                <w:color w:val="172635"/>
                <w:sz w:val="18"/>
              </w:rPr>
              <w:t>Additional elements and related metalloids</w:t>
            </w:r>
          </w:p>
        </w:tc>
        <w:tc>
          <w:tcPr>
            <w:tcW w:type="dxa" w:w="6984"/>
            <w:shd w:fill="FFFFFF"/>
            <w:tcMar>
              <w:top w:w="75" w:type="dxa"/>
              <w:left w:w="75" w:type="dxa"/>
              <w:bottom w:w="75" w:type="dxa"/>
              <w:right w:w="75" w:type="dxa"/>
            </w:tcMar>
          </w:tcPr>
          <w:p>
            <w:pPr>
              <w:spacing w:after="40" w:line="245" w:lineRule="auto"/>
            </w:pPr>
            <w:r>
              <w:rPr>
                <w:b w:val="0"/>
                <w:color w:val="172635"/>
                <w:sz w:val="18"/>
              </w:rPr>
              <w:t>Be, Cd, In, Pb, Sn, V, Sb, Se, Si, Te, Ga, Ge and Bi, with evidence gaps marked</w:t>
            </w:r>
          </w:p>
        </w:tc>
      </w:tr>
      <w:tr>
        <w:trPr>
          <w:cantSplit/>
        </w:trPr>
        <w:tc>
          <w:tcPr>
            <w:tcW w:type="dxa" w:w="3096"/>
            <w:shd w:fill="F0F3F6"/>
            <w:tcMar>
              <w:top w:w="75" w:type="dxa"/>
              <w:left w:w="75" w:type="dxa"/>
              <w:bottom w:w="75" w:type="dxa"/>
              <w:right w:w="75" w:type="dxa"/>
            </w:tcMar>
          </w:tcPr>
          <w:p>
            <w:pPr>
              <w:spacing w:after="40" w:line="245" w:lineRule="auto"/>
            </w:pPr>
            <w:r>
              <w:rPr>
                <w:b w:val="0"/>
                <w:color w:val="172635"/>
                <w:sz w:val="18"/>
              </w:rPr>
              <w:t>Ferroalloy feedstocks</w:t>
            </w:r>
          </w:p>
        </w:tc>
        <w:tc>
          <w:tcPr>
            <w:tcW w:type="dxa" w:w="6984"/>
            <w:shd w:fill="F0F3F6"/>
            <w:tcMar>
              <w:top w:w="75" w:type="dxa"/>
              <w:left w:w="75" w:type="dxa"/>
              <w:bottom w:w="75" w:type="dxa"/>
              <w:right w:w="75" w:type="dxa"/>
            </w:tcMar>
          </w:tcPr>
          <w:p>
            <w:pPr>
              <w:spacing w:after="40" w:line="245" w:lineRule="auto"/>
            </w:pPr>
            <w:r>
              <w:rPr>
                <w:b w:val="0"/>
                <w:color w:val="172635"/>
                <w:sz w:val="18"/>
              </w:rPr>
              <w:t>Fe-Ti, Fe-Zr, Fe-V, Fe-Nb and Fe-Al; upstream alloying inputs, not extra downstream metal tonnage</w:t>
            </w:r>
          </w:p>
        </w:tc>
      </w:tr>
    </w:tbl>
    <w:p>
      <w:pPr>
        <w:pStyle w:val="Heading2"/>
      </w:pPr>
      <w:r>
        <w:t>Composition is more useful than the label alone</w:t>
      </w:r>
    </w:p>
    <w:p>
      <w:r>
        <w:t>An alloy needs a composition range, specification, product form and condition. “Stainless”, “bronze” or “aluminium” is too broad for many manufacturing decisions. Cross-referenced grade names should not replace a material certificate: standards can differ. [S20–S22]</w:t>
      </w:r>
    </w:p>
    <w:p>
      <w:r>
        <w:t>An element tracked in a UK technology study may occur inside an alloy, oxide, salt or other compound. Its inclusion here does not mean it circulates as a pure metal. [S39, S41]</w:t>
      </w:r>
    </w:p>
    <w:p>
      <w:r>
        <w:br w:type="page"/>
      </w:r>
    </w:p>
    <w:p>
      <w:pPr>
        <w:pStyle w:val="Heading1"/>
      </w:pPr>
      <w:r>
        <w:t>A consistent material vocabulary</w:t>
      </w:r>
    </w:p>
    <w:p>
      <w:r>
        <w:t>The data model keeps identity, composition and evidence separate. It uses stable record IDs and retains common names as mappings, so future quantity or recovery records can attach to a specific material rather than an ambiguous label.</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5040"/>
        <w:gridCol w:w="5040"/>
      </w:tblGrid>
      <w:tr>
        <w:trPr>
          <w:cantSplit/>
          <w:tblHeader/>
        </w:trPr>
        <w:tc>
          <w:tcPr>
            <w:tcW w:type="dxa" w:w="3024"/>
            <w:shd w:fill="243C55"/>
            <w:tcMar>
              <w:top w:w="75" w:type="dxa"/>
              <w:left w:w="75" w:type="dxa"/>
              <w:bottom w:w="75" w:type="dxa"/>
              <w:right w:w="75" w:type="dxa"/>
            </w:tcMar>
          </w:tcPr>
          <w:p>
            <w:pPr>
              <w:spacing w:after="40" w:line="245" w:lineRule="auto"/>
            </w:pPr>
            <w:r>
              <w:rPr>
                <w:b/>
                <w:color w:val="FFFFFF"/>
                <w:sz w:val="18"/>
              </w:rPr>
              <w:t>Field / relationship</w:t>
            </w:r>
          </w:p>
        </w:tc>
        <w:tc>
          <w:tcPr>
            <w:tcW w:type="dxa" w:w="7056"/>
            <w:shd w:fill="243C55"/>
            <w:tcMar>
              <w:top w:w="75" w:type="dxa"/>
              <w:left w:w="75" w:type="dxa"/>
              <w:bottom w:w="75" w:type="dxa"/>
              <w:right w:w="75" w:type="dxa"/>
            </w:tcMar>
          </w:tcPr>
          <w:p>
            <w:pPr>
              <w:spacing w:after="40" w:line="245" w:lineRule="auto"/>
            </w:pPr>
            <w:r>
              <w:rPr>
                <w:b/>
                <w:color w:val="FFFFFF"/>
                <w:sz w:val="18"/>
              </w:rPr>
              <w:t>Use</w:t>
            </w:r>
          </w:p>
        </w:tc>
      </w:tr>
      <w:tr>
        <w:trPr>
          <w:cantSplit/>
        </w:trPr>
        <w:tc>
          <w:tcPr>
            <w:tcW w:type="dxa" w:w="3024"/>
            <w:shd w:fill="F0F3F6"/>
            <w:tcMar>
              <w:top w:w="75" w:type="dxa"/>
              <w:left w:w="75" w:type="dxa"/>
              <w:bottom w:w="75" w:type="dxa"/>
              <w:right w:w="75" w:type="dxa"/>
            </w:tcMar>
          </w:tcPr>
          <w:p>
            <w:pPr>
              <w:spacing w:after="40" w:line="245" w:lineRule="auto"/>
            </w:pPr>
            <w:r>
              <w:rPr>
                <w:b w:val="0"/>
                <w:color w:val="172635"/>
                <w:sz w:val="18"/>
              </w:rPr>
              <w:t>Material family and record level</w:t>
            </w:r>
          </w:p>
        </w:tc>
        <w:tc>
          <w:tcPr>
            <w:tcW w:type="dxa" w:w="7056"/>
            <w:shd w:fill="F0F3F6"/>
            <w:tcMar>
              <w:top w:w="75" w:type="dxa"/>
              <w:left w:w="75" w:type="dxa"/>
              <w:bottom w:w="75" w:type="dxa"/>
              <w:right w:w="75" w:type="dxa"/>
            </w:tcMar>
          </w:tcPr>
          <w:p>
            <w:pPr>
              <w:spacing w:after="40" w:line="245" w:lineRule="auto"/>
            </w:pPr>
            <w:r>
              <w:rPr>
                <w:b w:val="0"/>
                <w:color w:val="172635"/>
                <w:sz w:val="18"/>
              </w:rPr>
              <w:t>Distinguishes a broad family, a subtype, an alloy grade, a blend or a physical form.</w:t>
            </w:r>
          </w:p>
        </w:tc>
      </w:tr>
      <w:tr>
        <w:trPr>
          <w:cantSplit/>
        </w:trPr>
        <w:tc>
          <w:tcPr>
            <w:tcW w:type="dxa" w:w="3024"/>
            <w:shd w:fill="FFFFFF"/>
            <w:tcMar>
              <w:top w:w="75" w:type="dxa"/>
              <w:left w:w="75" w:type="dxa"/>
              <w:bottom w:w="75" w:type="dxa"/>
              <w:right w:w="75" w:type="dxa"/>
            </w:tcMar>
          </w:tcPr>
          <w:p>
            <w:pPr>
              <w:spacing w:after="40" w:line="245" w:lineRule="auto"/>
            </w:pPr>
            <w:r>
              <w:rPr>
                <w:b w:val="0"/>
                <w:color w:val="172635"/>
                <w:sz w:val="18"/>
              </w:rPr>
              <w:t>Chemical basis</w:t>
            </w:r>
          </w:p>
        </w:tc>
        <w:tc>
          <w:tcPr>
            <w:tcW w:type="dxa" w:w="7056"/>
            <w:shd w:fill="FFFFFF"/>
            <w:tcMar>
              <w:top w:w="75" w:type="dxa"/>
              <w:left w:w="75" w:type="dxa"/>
              <w:bottom w:w="75" w:type="dxa"/>
              <w:right w:w="75" w:type="dxa"/>
            </w:tcMar>
          </w:tcPr>
          <w:p>
            <w:pPr>
              <w:spacing w:after="40" w:line="245" w:lineRule="auto"/>
            </w:pPr>
            <w:r>
              <w:rPr>
                <w:b w:val="0"/>
                <w:color w:val="172635"/>
                <w:sz w:val="18"/>
              </w:rPr>
              <w:t>Describes constituent elements, polymer chemistry or an alloy system. It is not a full formulation or batch assay.</w:t>
            </w:r>
          </w:p>
        </w:tc>
      </w:tr>
      <w:tr>
        <w:trPr>
          <w:cantSplit/>
        </w:trPr>
        <w:tc>
          <w:tcPr>
            <w:tcW w:type="dxa" w:w="3024"/>
            <w:shd w:fill="F0F3F6"/>
            <w:tcMar>
              <w:top w:w="75" w:type="dxa"/>
              <w:left w:w="75" w:type="dxa"/>
              <w:bottom w:w="75" w:type="dxa"/>
              <w:right w:w="75" w:type="dxa"/>
            </w:tcMar>
          </w:tcPr>
          <w:p>
            <w:pPr>
              <w:spacing w:after="40" w:line="245" w:lineRule="auto"/>
            </w:pPr>
            <w:r>
              <w:rPr>
                <w:b w:val="0"/>
                <w:color w:val="172635"/>
                <w:sz w:val="18"/>
              </w:rPr>
              <w:t>Behaviour / form</w:t>
            </w:r>
          </w:p>
        </w:tc>
        <w:tc>
          <w:tcPr>
            <w:tcW w:type="dxa" w:w="7056"/>
            <w:shd w:fill="F0F3F6"/>
            <w:tcMar>
              <w:top w:w="75" w:type="dxa"/>
              <w:left w:w="75" w:type="dxa"/>
              <w:bottom w:w="75" w:type="dxa"/>
              <w:right w:w="75" w:type="dxa"/>
            </w:tcMar>
          </w:tcPr>
          <w:p>
            <w:pPr>
              <w:spacing w:after="40" w:line="245" w:lineRule="auto"/>
            </w:pPr>
            <w:r>
              <w:rPr>
                <w:b w:val="0"/>
                <w:color w:val="172635"/>
                <w:sz w:val="18"/>
              </w:rPr>
              <w:t>Separates thermoplastics, networks, cured elastomers, metal alloys, ceramics and composites.</w:t>
            </w:r>
          </w:p>
        </w:tc>
      </w:tr>
      <w:tr>
        <w:trPr>
          <w:cantSplit/>
        </w:trPr>
        <w:tc>
          <w:tcPr>
            <w:tcW w:type="dxa" w:w="3024"/>
            <w:shd w:fill="FFFFFF"/>
            <w:tcMar>
              <w:top w:w="75" w:type="dxa"/>
              <w:left w:w="75" w:type="dxa"/>
              <w:bottom w:w="75" w:type="dxa"/>
              <w:right w:w="75" w:type="dxa"/>
            </w:tcMar>
          </w:tcPr>
          <w:p>
            <w:pPr>
              <w:spacing w:after="40" w:line="245" w:lineRule="auto"/>
            </w:pPr>
            <w:r>
              <w:rPr>
                <w:b w:val="0"/>
                <w:color w:val="172635"/>
                <w:sz w:val="18"/>
              </w:rPr>
              <w:t>Name relationship</w:t>
            </w:r>
          </w:p>
        </w:tc>
        <w:tc>
          <w:tcPr>
            <w:tcW w:type="dxa" w:w="7056"/>
            <w:shd w:fill="FFFFFF"/>
            <w:tcMar>
              <w:top w:w="75" w:type="dxa"/>
              <w:left w:w="75" w:type="dxa"/>
              <w:bottom w:w="75" w:type="dxa"/>
              <w:right w:w="75" w:type="dxa"/>
            </w:tcMar>
          </w:tcPr>
          <w:p>
            <w:pPr>
              <w:spacing w:after="40" w:line="245" w:lineRule="auto"/>
            </w:pPr>
            <w:r>
              <w:rPr>
                <w:b w:val="0"/>
                <w:color w:val="172635"/>
                <w:sz w:val="18"/>
              </w:rPr>
              <w:t>Marks an alias, broader term, trade-name family, approximate description or grade cross-reference.</w:t>
            </w:r>
          </w:p>
        </w:tc>
      </w:tr>
      <w:tr>
        <w:trPr>
          <w:cantSplit/>
        </w:trPr>
        <w:tc>
          <w:tcPr>
            <w:tcW w:type="dxa" w:w="3024"/>
            <w:shd w:fill="F0F3F6"/>
            <w:tcMar>
              <w:top w:w="75" w:type="dxa"/>
              <w:left w:w="75" w:type="dxa"/>
              <w:bottom w:w="75" w:type="dxa"/>
              <w:right w:w="75" w:type="dxa"/>
            </w:tcMar>
          </w:tcPr>
          <w:p>
            <w:pPr>
              <w:spacing w:after="40" w:line="245" w:lineRule="auto"/>
            </w:pPr>
            <w:r>
              <w:rPr>
                <w:b w:val="0"/>
                <w:color w:val="172635"/>
                <w:sz w:val="18"/>
              </w:rPr>
              <w:t>Evidence and source IDs</w:t>
            </w:r>
          </w:p>
        </w:tc>
        <w:tc>
          <w:tcPr>
            <w:tcW w:type="dxa" w:w="7056"/>
            <w:shd w:fill="F0F3F6"/>
            <w:tcMar>
              <w:top w:w="75" w:type="dxa"/>
              <w:left w:w="75" w:type="dxa"/>
              <w:bottom w:w="75" w:type="dxa"/>
              <w:right w:w="75" w:type="dxa"/>
            </w:tcMar>
          </w:tcPr>
          <w:p>
            <w:pPr>
              <w:spacing w:after="40" w:line="245" w:lineRule="auto"/>
            </w:pPr>
            <w:r>
              <w:rPr>
                <w:b w:val="0"/>
                <w:color w:val="172635"/>
                <w:sz w:val="18"/>
              </w:rPr>
              <w:t>Preserves the reason for including a record, its limitations, its sources and the date checked.</w:t>
            </w:r>
          </w:p>
        </w:tc>
      </w:tr>
      <w:tr>
        <w:trPr>
          <w:cantSplit/>
        </w:trPr>
        <w:tc>
          <w:tcPr>
            <w:tcW w:type="dxa" w:w="3024"/>
            <w:shd w:fill="FFFFFF"/>
            <w:tcMar>
              <w:top w:w="75" w:type="dxa"/>
              <w:left w:w="75" w:type="dxa"/>
              <w:bottom w:w="75" w:type="dxa"/>
              <w:right w:w="75" w:type="dxa"/>
            </w:tcMar>
          </w:tcPr>
          <w:p>
            <w:pPr>
              <w:spacing w:after="40" w:line="245" w:lineRule="auto"/>
            </w:pPr>
            <w:r>
              <w:rPr>
                <w:b w:val="0"/>
                <w:color w:val="172635"/>
                <w:sz w:val="18"/>
              </w:rPr>
              <w:t>UK quantity and quantity status</w:t>
            </w:r>
          </w:p>
        </w:tc>
        <w:tc>
          <w:tcPr>
            <w:tcW w:type="dxa" w:w="7056"/>
            <w:shd w:fill="FFFFFF"/>
            <w:tcMar>
              <w:top w:w="75" w:type="dxa"/>
              <w:left w:w="75" w:type="dxa"/>
              <w:bottom w:w="75" w:type="dxa"/>
              <w:right w:w="75" w:type="dxa"/>
            </w:tcMar>
          </w:tcPr>
          <w:p>
            <w:pPr>
              <w:spacing w:after="40" w:line="245" w:lineRule="auto"/>
            </w:pPr>
            <w:r>
              <w:rPr>
                <w:b w:val="0"/>
                <w:color w:val="172635"/>
                <w:sz w:val="18"/>
              </w:rPr>
              <w:t>Reserved for later measurements; currently null / blank and explicitly unquantified.</w:t>
            </w:r>
          </w:p>
        </w:tc>
      </w:tr>
    </w:tbl>
    <w:p>
      <w:pPr>
        <w:pStyle w:val="Heading2"/>
      </w:pPr>
      <w:r>
        <w:t>Examples of naming problems resolved</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5040"/>
        <w:gridCol w:w="5040"/>
      </w:tblGrid>
      <w:tr>
        <w:trPr>
          <w:cantSplit/>
          <w:tblHeader/>
        </w:trPr>
        <w:tc>
          <w:tcPr>
            <w:tcW w:type="dxa" w:w="3024"/>
            <w:shd w:fill="243C55"/>
            <w:tcMar>
              <w:top w:w="75" w:type="dxa"/>
              <w:left w:w="75" w:type="dxa"/>
              <w:bottom w:w="75" w:type="dxa"/>
              <w:right w:w="75" w:type="dxa"/>
            </w:tcMar>
          </w:tcPr>
          <w:p>
            <w:pPr>
              <w:spacing w:after="40" w:line="245" w:lineRule="auto"/>
            </w:pPr>
            <w:r>
              <w:rPr>
                <w:b/>
                <w:color w:val="FFFFFF"/>
                <w:sz w:val="18"/>
              </w:rPr>
              <w:t>Name</w:t>
            </w:r>
          </w:p>
        </w:tc>
        <w:tc>
          <w:tcPr>
            <w:tcW w:type="dxa" w:w="7056"/>
            <w:shd w:fill="243C55"/>
            <w:tcMar>
              <w:top w:w="75" w:type="dxa"/>
              <w:left w:w="75" w:type="dxa"/>
              <w:bottom w:w="75" w:type="dxa"/>
              <w:right w:w="75" w:type="dxa"/>
            </w:tcMar>
          </w:tcPr>
          <w:p>
            <w:pPr>
              <w:spacing w:after="40" w:line="245" w:lineRule="auto"/>
            </w:pPr>
            <w:r>
              <w:rPr>
                <w:b/>
                <w:color w:val="FFFFFF"/>
                <w:sz w:val="18"/>
              </w:rPr>
              <w:t>Interpretation</w:t>
            </w:r>
          </w:p>
        </w:tc>
      </w:tr>
      <w:tr>
        <w:trPr>
          <w:cantSplit/>
        </w:trPr>
        <w:tc>
          <w:tcPr>
            <w:tcW w:type="dxa" w:w="3024"/>
            <w:shd w:fill="F0F3F6"/>
            <w:tcMar>
              <w:top w:w="75" w:type="dxa"/>
              <w:left w:w="75" w:type="dxa"/>
              <w:bottom w:w="75" w:type="dxa"/>
              <w:right w:w="75" w:type="dxa"/>
            </w:tcMar>
          </w:tcPr>
          <w:p>
            <w:pPr>
              <w:spacing w:after="40" w:line="245" w:lineRule="auto"/>
            </w:pPr>
            <w:r>
              <w:rPr>
                <w:b w:val="0"/>
                <w:color w:val="172635"/>
                <w:sz w:val="18"/>
              </w:rPr>
              <w:t>Nylon</w:t>
            </w:r>
          </w:p>
        </w:tc>
        <w:tc>
          <w:tcPr>
            <w:tcW w:type="dxa" w:w="7056"/>
            <w:shd w:fill="F0F3F6"/>
            <w:tcMar>
              <w:top w:w="75" w:type="dxa"/>
              <w:left w:w="75" w:type="dxa"/>
              <w:bottom w:w="75" w:type="dxa"/>
              <w:right w:w="75" w:type="dxa"/>
            </w:tcMar>
          </w:tcPr>
          <w:p>
            <w:pPr>
              <w:spacing w:after="40" w:line="245" w:lineRule="auto"/>
            </w:pPr>
            <w:r>
              <w:rPr>
                <w:b w:val="0"/>
                <w:color w:val="172635"/>
                <w:sz w:val="18"/>
              </w:rPr>
              <w:t>A family of polyamides; it cannot automatically be recorded as PA6.</w:t>
            </w:r>
          </w:p>
        </w:tc>
      </w:tr>
      <w:tr>
        <w:trPr>
          <w:cantSplit/>
        </w:trPr>
        <w:tc>
          <w:tcPr>
            <w:tcW w:type="dxa" w:w="3024"/>
            <w:shd w:fill="FFFFFF"/>
            <w:tcMar>
              <w:top w:w="75" w:type="dxa"/>
              <w:left w:w="75" w:type="dxa"/>
              <w:bottom w:w="75" w:type="dxa"/>
              <w:right w:w="75" w:type="dxa"/>
            </w:tcMar>
          </w:tcPr>
          <w:p>
            <w:pPr>
              <w:spacing w:after="40" w:line="245" w:lineRule="auto"/>
            </w:pPr>
            <w:r>
              <w:rPr>
                <w:b w:val="0"/>
                <w:color w:val="172635"/>
                <w:sz w:val="18"/>
              </w:rPr>
              <w:t>PVA</w:t>
            </w:r>
          </w:p>
        </w:tc>
        <w:tc>
          <w:tcPr>
            <w:tcW w:type="dxa" w:w="7056"/>
            <w:shd w:fill="FFFFFF"/>
            <w:tcMar>
              <w:top w:w="75" w:type="dxa"/>
              <w:left w:w="75" w:type="dxa"/>
              <w:bottom w:w="75" w:type="dxa"/>
              <w:right w:w="75" w:type="dxa"/>
            </w:tcMar>
          </w:tcPr>
          <w:p>
            <w:pPr>
              <w:spacing w:after="40" w:line="245" w:lineRule="auto"/>
            </w:pPr>
            <w:r>
              <w:rPr>
                <w:b w:val="0"/>
                <w:color w:val="172635"/>
                <w:sz w:val="18"/>
              </w:rPr>
              <w:t>Ambiguous between polyvinyl alcohol and common usage for polyvinyl-acetate glue.</w:t>
            </w:r>
          </w:p>
        </w:tc>
      </w:tr>
      <w:tr>
        <w:trPr>
          <w:cantSplit/>
        </w:trPr>
        <w:tc>
          <w:tcPr>
            <w:tcW w:type="dxa" w:w="3024"/>
            <w:shd w:fill="F0F3F6"/>
            <w:tcMar>
              <w:top w:w="75" w:type="dxa"/>
              <w:left w:w="75" w:type="dxa"/>
              <w:bottom w:w="75" w:type="dxa"/>
              <w:right w:w="75" w:type="dxa"/>
            </w:tcMar>
          </w:tcPr>
          <w:p>
            <w:pPr>
              <w:spacing w:after="40" w:line="245" w:lineRule="auto"/>
            </w:pPr>
            <w:r>
              <w:rPr>
                <w:b w:val="0"/>
                <w:color w:val="172635"/>
                <w:sz w:val="18"/>
              </w:rPr>
              <w:t>EPS</w:t>
            </w:r>
          </w:p>
        </w:tc>
        <w:tc>
          <w:tcPr>
            <w:tcW w:type="dxa" w:w="7056"/>
            <w:shd w:fill="F0F3F6"/>
            <w:tcMar>
              <w:top w:w="75" w:type="dxa"/>
              <w:left w:w="75" w:type="dxa"/>
              <w:bottom w:w="75" w:type="dxa"/>
              <w:right w:w="75" w:type="dxa"/>
            </w:tcMar>
          </w:tcPr>
          <w:p>
            <w:pPr>
              <w:spacing w:after="40" w:line="245" w:lineRule="auto"/>
            </w:pPr>
            <w:r>
              <w:rPr>
                <w:b w:val="0"/>
                <w:color w:val="172635"/>
                <w:sz w:val="18"/>
              </w:rPr>
              <w:t>An expanded form of polystyrene, not an additional base-polymer chemistry.</w:t>
            </w:r>
          </w:p>
        </w:tc>
      </w:tr>
      <w:tr>
        <w:trPr>
          <w:cantSplit/>
        </w:trPr>
        <w:tc>
          <w:tcPr>
            <w:tcW w:type="dxa" w:w="3024"/>
            <w:shd w:fill="FFFFFF"/>
            <w:tcMar>
              <w:top w:w="75" w:type="dxa"/>
              <w:left w:w="75" w:type="dxa"/>
              <w:bottom w:w="75" w:type="dxa"/>
              <w:right w:w="75" w:type="dxa"/>
            </w:tcMar>
          </w:tcPr>
          <w:p>
            <w:pPr>
              <w:spacing w:after="40" w:line="245" w:lineRule="auto"/>
            </w:pPr>
            <w:r>
              <w:rPr>
                <w:b w:val="0"/>
                <w:color w:val="172635"/>
                <w:sz w:val="18"/>
              </w:rPr>
              <w:t>Nickel silver</w:t>
            </w:r>
          </w:p>
        </w:tc>
        <w:tc>
          <w:tcPr>
            <w:tcW w:type="dxa" w:w="7056"/>
            <w:shd w:fill="FFFFFF"/>
            <w:tcMar>
              <w:top w:w="75" w:type="dxa"/>
              <w:left w:w="75" w:type="dxa"/>
              <w:bottom w:w="75" w:type="dxa"/>
              <w:right w:w="75" w:type="dxa"/>
            </w:tcMar>
          </w:tcPr>
          <w:p>
            <w:pPr>
              <w:spacing w:after="40" w:line="245" w:lineRule="auto"/>
            </w:pPr>
            <w:r>
              <w:rPr>
                <w:b w:val="0"/>
                <w:color w:val="172635"/>
                <w:sz w:val="18"/>
              </w:rPr>
              <w:t>A copper–nickel–zinc alloy family; silver is not a defining constituent.</w:t>
            </w:r>
          </w:p>
        </w:tc>
      </w:tr>
      <w:tr>
        <w:trPr>
          <w:cantSplit/>
        </w:trPr>
        <w:tc>
          <w:tcPr>
            <w:tcW w:type="dxa" w:w="3024"/>
            <w:shd w:fill="F0F3F6"/>
            <w:tcMar>
              <w:top w:w="75" w:type="dxa"/>
              <w:left w:w="75" w:type="dxa"/>
              <w:bottom w:w="75" w:type="dxa"/>
              <w:right w:w="75" w:type="dxa"/>
            </w:tcMar>
          </w:tcPr>
          <w:p>
            <w:pPr>
              <w:spacing w:after="40" w:line="245" w:lineRule="auto"/>
            </w:pPr>
            <w:r>
              <w:rPr>
                <w:b w:val="0"/>
                <w:color w:val="172635"/>
                <w:sz w:val="18"/>
              </w:rPr>
              <w:t>304 / 1.4301 / 18/8</w:t>
            </w:r>
          </w:p>
        </w:tc>
        <w:tc>
          <w:tcPr>
            <w:tcW w:type="dxa" w:w="7056"/>
            <w:shd w:fill="F0F3F6"/>
            <w:tcMar>
              <w:top w:w="75" w:type="dxa"/>
              <w:left w:w="75" w:type="dxa"/>
              <w:bottom w:w="75" w:type="dxa"/>
              <w:right w:w="75" w:type="dxa"/>
            </w:tcMar>
          </w:tcPr>
          <w:p>
            <w:pPr>
              <w:spacing w:after="40" w:line="245" w:lineRule="auto"/>
            </w:pPr>
            <w:r>
              <w:rPr>
                <w:b w:val="0"/>
                <w:color w:val="172635"/>
                <w:sz w:val="18"/>
              </w:rPr>
              <w:t>The first two are common grade cross-references; 18/8 is an approximate composition description.</w:t>
            </w:r>
          </w:p>
        </w:tc>
      </w:tr>
      <w:tr>
        <w:trPr>
          <w:cantSplit/>
        </w:trPr>
        <w:tc>
          <w:tcPr>
            <w:tcW w:type="dxa" w:w="3024"/>
            <w:shd w:fill="FFFFFF"/>
            <w:tcMar>
              <w:top w:w="75" w:type="dxa"/>
              <w:left w:w="75" w:type="dxa"/>
              <w:bottom w:w="75" w:type="dxa"/>
              <w:right w:w="75" w:type="dxa"/>
            </w:tcMar>
          </w:tcPr>
          <w:p>
            <w:pPr>
              <w:spacing w:after="40" w:line="245" w:lineRule="auto"/>
            </w:pPr>
            <w:r>
              <w:rPr>
                <w:b w:val="0"/>
                <w:color w:val="172635"/>
                <w:sz w:val="18"/>
              </w:rPr>
              <w:t>Kevlar / Nomex</w:t>
            </w:r>
          </w:p>
        </w:tc>
        <w:tc>
          <w:tcPr>
            <w:tcW w:type="dxa" w:w="7056"/>
            <w:shd w:fill="FFFFFF"/>
            <w:tcMar>
              <w:top w:w="75" w:type="dxa"/>
              <w:left w:w="75" w:type="dxa"/>
              <w:bottom w:w="75" w:type="dxa"/>
              <w:right w:w="75" w:type="dxa"/>
            </w:tcMar>
          </w:tcPr>
          <w:p>
            <w:pPr>
              <w:spacing w:after="40" w:line="245" w:lineRule="auto"/>
            </w:pPr>
            <w:r>
              <w:rPr>
                <w:b w:val="0"/>
                <w:color w:val="172635"/>
                <w:sz w:val="18"/>
              </w:rPr>
              <w:t>Different aramid brand families, not interchangeable chemical identities.</w:t>
            </w:r>
          </w:p>
        </w:tc>
      </w:tr>
    </w:tbl>
    <w:p>
      <w:r>
        <w:t>Source basis: polymer references and supplier catalogues [S02, S06, S14, S19, S22, S32]. ISO 1043 provides a standardised polymer-symbol framework; its public abstract was used here, not an independently checked reproduction of the full standard. [S01]</w:t>
      </w:r>
    </w:p>
    <w:p>
      <w:pPr>
        <w:pStyle w:val="Heading2"/>
      </w:pPr>
      <w:r>
        <w:t>Limits of the identifiers</w:t>
      </w:r>
    </w:p>
    <w:p>
      <w:r>
        <w:t>CAS numbers were not guessed for broad families. A CAS number alone would not describe an entire commercial polymer grade, its molecular-weight distribution, additives or reinforcement. A later grade register should add authoritative substance identifiers where appropriate, alongside formulation and specification data.</w:t>
      </w:r>
    </w:p>
    <w:p>
      <w:r>
        <w:br w:type="page"/>
      </w:r>
    </w:p>
    <w:p>
      <w:pPr>
        <w:pStyle w:val="Heading1"/>
      </w:pPr>
      <w:r>
        <w:t>What this means for local recovery</w:t>
      </w:r>
    </w:p>
    <w:p>
      <w:r>
        <w:t>The evidence supports investigating domestic recovery on a material-by-material basis. It also shows that UK reprocessing already exists: Avon Metals advertises aluminium casting-alloy manufacture and a service for remelting customer scrap. This is direct evidence of the type of activity being discussed, although it supplies no local capacity or economic assessment. [S49]</w:t>
      </w:r>
    </w:p>
    <w:p>
      <w:r>
        <w:t>A BGS study deposited in 2025 identifies value lost through copper-scrap exports and reports a gap in UK secondary-copper refining capacity at the time studied. That is a concrete case for further work. It must not be read as saying that the UK has no copper recycling, or that the full contained-metal value is recoverable profit. [S38]</w:t>
      </w:r>
    </w:p>
    <w:p>
      <w:pPr>
        <w:pStyle w:val="Heading2"/>
      </w:pPr>
      <w:r>
        <w:t>What the official datasets can add</w:t>
      </w:r>
    </w:p>
    <w:tbl>
      <w:tblPr>
        <w:tblW w:type="auto" w:w="0"/>
        <w:tblLayout w:type="fixed"/>
        <w:tblLook w:firstColumn="1" w:firstRow="1" w:lastColumn="0" w:lastRow="0" w:noHBand="0" w:noVBand="1" w:val="04A0"/>
        <w:tblBorders>
          <w:top w:val="single" w:sz="4" w:color="D5DDE5"/>
          <w:left w:val="single" w:sz="4" w:color="D5DDE5"/>
          <w:bottom w:val="single" w:sz="4" w:color="D5DDE5"/>
          <w:right w:val="single" w:sz="4" w:color="D5DDE5"/>
          <w:insideH w:val="single" w:sz="4" w:color="D5DDE5"/>
          <w:insideV w:val="single" w:sz="4" w:color="D5DDE5"/>
        </w:tblBorders>
      </w:tblPr>
      <w:tblGrid>
        <w:gridCol w:w="5040"/>
        <w:gridCol w:w="5040"/>
      </w:tblGrid>
      <w:tr>
        <w:trPr>
          <w:cantSplit/>
          <w:tblHeader/>
        </w:trPr>
        <w:tc>
          <w:tcPr>
            <w:tcW w:type="dxa" w:w="2952"/>
            <w:shd w:fill="243C55"/>
            <w:tcMar>
              <w:top w:w="75" w:type="dxa"/>
              <w:left w:w="75" w:type="dxa"/>
              <w:bottom w:w="75" w:type="dxa"/>
              <w:right w:w="75" w:type="dxa"/>
            </w:tcMar>
          </w:tcPr>
          <w:p>
            <w:pPr>
              <w:spacing w:after="40" w:line="245" w:lineRule="auto"/>
            </w:pPr>
            <w:r>
              <w:rPr>
                <w:b/>
                <w:color w:val="FFFFFF"/>
                <w:sz w:val="18"/>
              </w:rPr>
              <w:t>Source</w:t>
            </w:r>
          </w:p>
        </w:tc>
        <w:tc>
          <w:tcPr>
            <w:tcW w:type="dxa" w:w="7128"/>
            <w:shd w:fill="243C55"/>
            <w:tcMar>
              <w:top w:w="75" w:type="dxa"/>
              <w:left w:w="75" w:type="dxa"/>
              <w:bottom w:w="75" w:type="dxa"/>
              <w:right w:w="75" w:type="dxa"/>
            </w:tcMar>
          </w:tcPr>
          <w:p>
            <w:pPr>
              <w:spacing w:after="40" w:line="245" w:lineRule="auto"/>
            </w:pPr>
            <w:r>
              <w:rPr>
                <w:b/>
                <w:color w:val="FFFFFF"/>
                <w:sz w:val="18"/>
              </w:rPr>
              <w:t>Useful next step / limitation</w:t>
            </w:r>
          </w:p>
        </w:tc>
      </w:tr>
      <w:tr>
        <w:trPr>
          <w:cantSplit/>
        </w:trPr>
        <w:tc>
          <w:tcPr>
            <w:tcW w:type="dxa" w:w="2952"/>
            <w:shd w:fill="F0F3F6"/>
            <w:tcMar>
              <w:top w:w="75" w:type="dxa"/>
              <w:left w:w="75" w:type="dxa"/>
              <w:bottom w:w="75" w:type="dxa"/>
              <w:right w:w="75" w:type="dxa"/>
            </w:tcMar>
          </w:tcPr>
          <w:p>
            <w:pPr>
              <w:spacing w:after="40" w:line="245" w:lineRule="auto"/>
            </w:pPr>
            <w:r>
              <w:rPr>
                <w:b w:val="0"/>
                <w:color w:val="172635"/>
                <w:sz w:val="18"/>
              </w:rPr>
              <w:t>ONS ProdCom 2025 [S33]</w:t>
            </w:r>
          </w:p>
        </w:tc>
        <w:tc>
          <w:tcPr>
            <w:tcW w:type="dxa" w:w="7128"/>
            <w:shd w:fill="F0F3F6"/>
            <w:tcMar>
              <w:top w:w="75" w:type="dxa"/>
              <w:left w:w="75" w:type="dxa"/>
              <w:bottom w:w="75" w:type="dxa"/>
              <w:right w:w="75" w:type="dxa"/>
            </w:tcMar>
          </w:tcPr>
          <w:p>
            <w:pPr>
              <w:spacing w:after="40" w:line="245" w:lineRule="auto"/>
            </w:pPr>
            <w:r>
              <w:rPr>
                <w:b w:val="0"/>
                <w:color w:val="172635"/>
                <w:sz w:val="18"/>
              </w:rPr>
              <w:t>Product-level UK manufacturers’ sales. Coverage and disclosure gaps remain; basic iron, steel and ferroalloy figures are excluded from the bulletin totals.</w:t>
            </w:r>
          </w:p>
        </w:tc>
      </w:tr>
      <w:tr>
        <w:trPr>
          <w:cantSplit/>
        </w:trPr>
        <w:tc>
          <w:tcPr>
            <w:tcW w:type="dxa" w:w="2952"/>
            <w:shd w:fill="FFFFFF"/>
            <w:tcMar>
              <w:top w:w="75" w:type="dxa"/>
              <w:left w:w="75" w:type="dxa"/>
              <w:bottom w:w="75" w:type="dxa"/>
              <w:right w:w="75" w:type="dxa"/>
            </w:tcMar>
          </w:tcPr>
          <w:p>
            <w:pPr>
              <w:spacing w:after="40" w:line="245" w:lineRule="auto"/>
            </w:pPr>
            <w:r>
              <w:rPr>
                <w:b w:val="0"/>
                <w:color w:val="172635"/>
                <w:sz w:val="18"/>
              </w:rPr>
              <w:t>HMRC trade data [S34]</w:t>
            </w:r>
          </w:p>
        </w:tc>
        <w:tc>
          <w:tcPr>
            <w:tcW w:type="dxa" w:w="7128"/>
            <w:shd w:fill="FFFFFF"/>
            <w:tcMar>
              <w:top w:w="75" w:type="dxa"/>
              <w:left w:w="75" w:type="dxa"/>
              <w:bottom w:w="75" w:type="dxa"/>
              <w:right w:w="75" w:type="dxa"/>
            </w:tcMar>
          </w:tcPr>
          <w:p>
            <w:pPr>
              <w:spacing w:after="40" w:line="245" w:lineRule="auto"/>
            </w:pPr>
            <w:r>
              <w:rPr>
                <w:b w:val="0"/>
                <w:color w:val="172635"/>
                <w:sz w:val="18"/>
              </w:rPr>
              <w:t>Imports and exports by commodity, mass and value. Codes need mapping to material families; finished goods contain mixed materials.</w:t>
            </w:r>
          </w:p>
        </w:tc>
      </w:tr>
      <w:tr>
        <w:trPr>
          <w:cantSplit/>
        </w:trPr>
        <w:tc>
          <w:tcPr>
            <w:tcW w:type="dxa" w:w="2952"/>
            <w:shd w:fill="F0F3F6"/>
            <w:tcMar>
              <w:top w:w="75" w:type="dxa"/>
              <w:left w:w="75" w:type="dxa"/>
              <w:bottom w:w="75" w:type="dxa"/>
              <w:right w:w="75" w:type="dxa"/>
            </w:tcMar>
          </w:tcPr>
          <w:p>
            <w:pPr>
              <w:spacing w:after="40" w:line="245" w:lineRule="auto"/>
            </w:pPr>
            <w:r>
              <w:rPr>
                <w:b w:val="0"/>
                <w:color w:val="172635"/>
                <w:sz w:val="18"/>
              </w:rPr>
              <w:t>ONS material flows [S35]</w:t>
            </w:r>
          </w:p>
        </w:tc>
        <w:tc>
          <w:tcPr>
            <w:tcW w:type="dxa" w:w="7128"/>
            <w:shd w:fill="F0F3F6"/>
            <w:tcMar>
              <w:top w:w="75" w:type="dxa"/>
              <w:left w:w="75" w:type="dxa"/>
              <w:bottom w:w="75" w:type="dxa"/>
              <w:right w:w="75" w:type="dxa"/>
            </w:tcMar>
          </w:tcPr>
          <w:p>
            <w:pPr>
              <w:spacing w:after="40" w:line="245" w:lineRule="auto"/>
            </w:pPr>
            <w:r>
              <w:rPr>
                <w:b w:val="0"/>
                <w:color w:val="172635"/>
                <w:sz w:val="18"/>
              </w:rPr>
              <w:t>Broad economy-level extraction and trade. Useful context, with much coarser detail than this chemistry register.</w:t>
            </w:r>
          </w:p>
        </w:tc>
      </w:tr>
      <w:tr>
        <w:trPr>
          <w:cantSplit/>
        </w:trPr>
        <w:tc>
          <w:tcPr>
            <w:tcW w:type="dxa" w:w="2952"/>
            <w:shd w:fill="FFFFFF"/>
            <w:tcMar>
              <w:top w:w="75" w:type="dxa"/>
              <w:left w:w="75" w:type="dxa"/>
              <w:bottom w:w="75" w:type="dxa"/>
              <w:right w:w="75" w:type="dxa"/>
            </w:tcMar>
          </w:tcPr>
          <w:p>
            <w:pPr>
              <w:spacing w:after="40" w:line="245" w:lineRule="auto"/>
            </w:pPr>
            <w:r>
              <w:rPr>
                <w:b w:val="0"/>
                <w:color w:val="172635"/>
                <w:sz w:val="18"/>
              </w:rPr>
              <w:t>BGS mineral statistics and studies [S36–S39]</w:t>
            </w:r>
          </w:p>
        </w:tc>
        <w:tc>
          <w:tcPr>
            <w:tcW w:type="dxa" w:w="7128"/>
            <w:shd w:fill="FFFFFF"/>
            <w:tcMar>
              <w:top w:w="75" w:type="dxa"/>
              <w:left w:w="75" w:type="dxa"/>
              <w:bottom w:w="75" w:type="dxa"/>
              <w:right w:w="75" w:type="dxa"/>
            </w:tcMar>
          </w:tcPr>
          <w:p>
            <w:pPr>
              <w:spacing w:after="40" w:line="245" w:lineRule="auto"/>
            </w:pPr>
            <w:r>
              <w:rPr>
                <w:b w:val="0"/>
                <w:color w:val="172635"/>
                <w:sz w:val="18"/>
              </w:rPr>
              <w:t>Metal flows and specialist supply evidence. Criticality rankings measure supply concerns, not recyclability or total circulation.</w:t>
            </w:r>
          </w:p>
        </w:tc>
      </w:tr>
    </w:tbl>
    <w:p>
      <w:pPr>
        <w:pStyle w:val="Heading2"/>
      </w:pPr>
      <w:r>
        <w:t>The next analysis should measure available streams</w:t>
      </w:r>
    </w:p>
    <w:p>
      <w:r>
        <w:t>For each candidate stream, collect location, tonnes per month, composition and variation, contaminants, current destination, transport distance, recoverable yield, process energy, residues and buyer specifications. Compare whole-system costs and impacts for local and regional treatment. Proximity alone cannot establish the best outcome.</w:t>
      </w:r>
    </w:p>
    <w:p>
      <w:r>
        <w:t>Keep new material placed on the market, material held in use and material becoming waste as separate quantities. BGS technology modelling illustrates why: growing demand and eventual secondary supply occur on different timescales. [S39]</w:t>
      </w:r>
    </w:p>
    <w:p>
      <w:pPr>
        <w:pStyle w:val="Heading2"/>
      </w:pPr>
      <w:r>
        <w:t>Remaining gaps</w:t>
      </w:r>
    </w:p>
    <w:p>
      <w:r>
        <w:t>Priority extensions are exact grade compositions; additional nylon and elastomer subtypes; coatings, adhesives and multilayers; electrical steels and more ferroalloys; imported-product content; legacy formulations; local quantities and recovery performance. The current register is a broad first-stage identity map, not yet a local plant design or investment case.</w:t>
      </w:r>
    </w:p>
    <w:p>
      <w:r>
        <w:br w:type="page"/>
      </w:r>
    </w:p>
    <w:p>
      <w:pPr>
        <w:pStyle w:val="Heading1"/>
      </w:pPr>
      <w:r>
        <w:t>Selected sources</w:t>
      </w:r>
    </w:p>
    <w:p>
      <w:r>
        <w:t>The complete 50-source register, including every supplier reference used for individual records, is in the workbook and JSON. All links were checked on 9 October 2026. Public catalogue evidence is not an audit of supplier sales or stock.</w:t>
      </w:r>
    </w:p>
    <w:p>
      <w:pPr>
        <w:spacing w:after="60"/>
      </w:pPr>
      <w:r>
        <w:t xml:space="preserve">[S01] ISO — </w:t>
      </w:r>
      <w:hyperlink r:id="rId11">
        <w:r>
          <w:rPr>
            <w:color w:val="24577A"/>
          </w:rPr>
          <w:t>ISO 1043-1:2011: polymer symbols</w:t>
        </w:r>
      </w:hyperlink>
    </w:p>
    <w:p>
      <w:pPr>
        <w:spacing w:after="240"/>
      </w:pPr>
      <w:r>
        <w:rPr>
          <w:sz w:val="18"/>
        </w:rPr>
        <w:t>Terminology and abbreviations; full standard not reproduced.</w:t>
      </w:r>
    </w:p>
    <w:p>
      <w:pPr>
        <w:spacing w:after="60"/>
      </w:pPr>
      <w:r>
        <w:t xml:space="preserve">[S02] British Plastics Federation — </w:t>
      </w:r>
      <w:hyperlink r:id="rId12">
        <w:r>
          <w:rPr>
            <w:color w:val="24577A"/>
          </w:rPr>
          <w:t>Thermoplastics</w:t>
        </w:r>
      </w:hyperlink>
    </w:p>
    <w:p>
      <w:pPr>
        <w:spacing w:after="240"/>
      </w:pPr>
      <w:r>
        <w:rPr>
          <w:sz w:val="18"/>
        </w:rPr>
        <w:t>Family identification and properties; index contains classification inconsistencies, so not copied as a taxonomy.</w:t>
      </w:r>
    </w:p>
    <w:p>
      <w:pPr>
        <w:spacing w:after="60"/>
      </w:pPr>
      <w:r>
        <w:t xml:space="preserve">[S03] British Plastics Federation — </w:t>
      </w:r>
      <w:hyperlink r:id="rId13">
        <w:r>
          <w:rPr>
            <w:color w:val="24577A"/>
          </w:rPr>
          <w:t>Thermosets</w:t>
        </w:r>
      </w:hyperlink>
    </w:p>
    <w:p>
      <w:pPr>
        <w:spacing w:after="240"/>
      </w:pPr>
      <w:r>
        <w:rPr>
          <w:sz w:val="18"/>
        </w:rPr>
        <w:t>Thermoset family coverage; polyurethane abbreviation normalised to PUR, not the index label EP.</w:t>
      </w:r>
    </w:p>
    <w:p>
      <w:pPr>
        <w:spacing w:after="60"/>
      </w:pPr>
      <w:r>
        <w:t xml:space="preserve">[S06] Imagro UK — </w:t>
      </w:r>
      <w:hyperlink r:id="rId14">
        <w:r>
          <w:rPr>
            <w:color w:val="24577A"/>
          </w:rPr>
          <w:t>Product portfolio</w:t>
        </w:r>
      </w:hyperlink>
    </w:p>
    <w:p>
      <w:pPr>
        <w:spacing w:after="240"/>
      </w:pPr>
      <w:r>
        <w:rPr>
          <w:sz w:val="18"/>
        </w:rPr>
        <w:t>Names polymers offered through UK warehouses; quantities not independently audited.</w:t>
      </w:r>
    </w:p>
    <w:p>
      <w:pPr>
        <w:spacing w:after="60"/>
      </w:pPr>
      <w:r>
        <w:t xml:space="preserve">[S19] Smiths Metal Centres — </w:t>
      </w:r>
      <w:hyperlink r:id="rId15">
        <w:r>
          <w:rPr>
            <w:color w:val="24577A"/>
          </w:rPr>
          <w:t>Technical datasheets</w:t>
        </w:r>
      </w:hyperlink>
    </w:p>
    <w:p>
      <w:pPr>
        <w:spacing w:after="240"/>
      </w:pPr>
      <w:r>
        <w:rPr>
          <w:sz w:val="18"/>
        </w:rPr>
        <w:t>UK offer of named metals, alloys and engineering plastics. Grade listings are not batch certificates.</w:t>
      </w:r>
    </w:p>
    <w:p>
      <w:pPr>
        <w:spacing w:after="60"/>
      </w:pPr>
      <w:r>
        <w:t xml:space="preserve">[S20] Aalco — </w:t>
      </w:r>
      <w:hyperlink r:id="rId16">
        <w:r>
          <w:rPr>
            <w:color w:val="24577A"/>
          </w:rPr>
          <w:t>Copper and copper-alloy datasheets</w:t>
        </w:r>
      </w:hyperlink>
    </w:p>
    <w:p>
      <w:pPr>
        <w:spacing w:after="240"/>
      </w:pPr>
      <w:r>
        <w:rPr>
          <w:sz w:val="18"/>
        </w:rPr>
        <w:t>Copper, brass and bronze grade cross-references; specifications need product-level checks.</w:t>
      </w:r>
    </w:p>
    <w:p>
      <w:pPr>
        <w:spacing w:after="60"/>
      </w:pPr>
      <w:r>
        <w:t xml:space="preserve">[S22] thyssenkrupp Materials UK — </w:t>
      </w:r>
      <w:hyperlink r:id="rId17">
        <w:r>
          <w:rPr>
            <w:color w:val="24577A"/>
          </w:rPr>
          <w:t>304 / 1.4301 stainless steel</w:t>
        </w:r>
      </w:hyperlink>
    </w:p>
    <w:p>
      <w:pPr>
        <w:spacing w:after="240"/>
      </w:pPr>
      <w:r>
        <w:rPr>
          <w:sz w:val="18"/>
        </w:rPr>
        <w:t>304, 304L and common specification mappings; warns standards can differ.</w:t>
      </w:r>
    </w:p>
    <w:p>
      <w:pPr>
        <w:spacing w:after="60"/>
      </w:pPr>
      <w:r>
        <w:t xml:space="preserve">[S31] Magnet Expert — </w:t>
      </w:r>
      <w:hyperlink r:id="rId18">
        <w:r>
          <w:rPr>
            <w:color w:val="24577A"/>
          </w:rPr>
          <w:t>Permanent magnet materials</w:t>
        </w:r>
      </w:hyperlink>
    </w:p>
    <w:p>
      <w:pPr>
        <w:spacing w:after="240"/>
      </w:pPr>
      <w:r>
        <w:rPr>
          <w:sz w:val="18"/>
        </w:rPr>
        <w:t>NdFeB, SmCo, Alnico, ferrites and bonded magnets.</w:t>
      </w:r>
    </w:p>
    <w:p>
      <w:pPr>
        <w:spacing w:after="60"/>
      </w:pPr>
      <w:r>
        <w:t xml:space="preserve">[S33] ONS — </w:t>
      </w:r>
      <w:hyperlink r:id="rId19">
        <w:r>
          <w:rPr>
            <w:color w:val="24577A"/>
          </w:rPr>
          <w:t>UK manufacturers sales by product: 2025</w:t>
        </w:r>
      </w:hyperlink>
    </w:p>
    <w:p>
      <w:pPr>
        <w:spacing w:after="240"/>
      </w:pPr>
      <w:r>
        <w:rPr>
          <w:sz w:val="18"/>
        </w:rPr>
        <w:t>Release 24 July 2026. Product sales, disclosure gaps, basic steel exclusions from totals.</w:t>
      </w:r>
    </w:p>
    <w:p>
      <w:r>
        <w:br w:type="page"/>
      </w:r>
    </w:p>
    <w:p>
      <w:pPr>
        <w:pStyle w:val="Heading1"/>
      </w:pPr>
      <w:r>
        <w:t>Selected sources — continued</w:t>
      </w:r>
    </w:p>
    <w:p>
      <w:r>
        <w:t>The complete 50-source register, including every supplier reference used for individual records, is in the workbook and JSON. All links were checked on 9 October 2026. Public catalogue evidence is not an audit of supplier sales or stock.</w:t>
      </w:r>
    </w:p>
    <w:p>
      <w:pPr>
        <w:spacing w:after="60"/>
      </w:pPr>
      <w:r>
        <w:t xml:space="preserve">[S34] HMRC — </w:t>
      </w:r>
      <w:hyperlink r:id="rId20">
        <w:r>
          <w:rPr>
            <w:color w:val="24577A"/>
          </w:rPr>
          <w:t>UK Trade Info API</w:t>
        </w:r>
      </w:hyperlink>
    </w:p>
    <w:p>
      <w:pPr>
        <w:spacing w:after="240"/>
      </w:pPr>
      <w:r>
        <w:rPr>
          <w:sz w:val="18"/>
        </w:rPr>
        <w:t>Commodity-level trade, net mass and value. Data extraction not undertaken in this inventory stage.</w:t>
      </w:r>
    </w:p>
    <w:p>
      <w:pPr>
        <w:spacing w:after="60"/>
      </w:pPr>
      <w:r>
        <w:t xml:space="preserve">[S35] ONS — </w:t>
      </w:r>
      <w:hyperlink r:id="rId21">
        <w:r>
          <w:rPr>
            <w:color w:val="24577A"/>
          </w:rPr>
          <w:t>Material flow accounts</w:t>
        </w:r>
      </w:hyperlink>
    </w:p>
    <w:p>
      <w:pPr>
        <w:spacing w:after="240"/>
      </w:pPr>
      <w:r>
        <w:rPr>
          <w:sz w:val="18"/>
        </w:rPr>
        <w:t>Release 20 August 2026, data 1990-2024. Broad economy-level flows.</w:t>
      </w:r>
    </w:p>
    <w:p>
      <w:pPr>
        <w:spacing w:after="60"/>
      </w:pPr>
      <w:r>
        <w:t xml:space="preserve">[S36] BGS — </w:t>
      </w:r>
      <w:hyperlink r:id="rId22">
        <w:r>
          <w:rPr>
            <w:color w:val="24577A"/>
          </w:rPr>
          <w:t>UK mineral statistics</w:t>
        </w:r>
      </w:hyperlink>
    </w:p>
    <w:p>
      <w:pPr>
        <w:spacing w:after="240"/>
      </w:pPr>
      <w:r>
        <w:rPr>
          <w:sz w:val="18"/>
        </w:rPr>
        <w:t>Minerals production, consumption and trade; useful for metal flow work.</w:t>
      </w:r>
    </w:p>
    <w:p>
      <w:pPr>
        <w:spacing w:after="60"/>
      </w:pPr>
      <w:r>
        <w:t xml:space="preserve">[S37] BGS / CMIC — </w:t>
      </w:r>
      <w:hyperlink r:id="rId23">
        <w:r>
          <w:rPr>
            <w:color w:val="24577A"/>
          </w:rPr>
          <w:t>UK 2024 criticality assessment</w:t>
        </w:r>
      </w:hyperlink>
    </w:p>
    <w:p>
      <w:pPr>
        <w:spacing w:after="240"/>
      </w:pPr>
      <w:r>
        <w:rPr>
          <w:sz w:val="18"/>
        </w:rPr>
        <w:t>82 candidate materials, 34 assessed critical. Criticality is not recyclability.</w:t>
      </w:r>
    </w:p>
    <w:p>
      <w:pPr>
        <w:spacing w:after="60"/>
      </w:pPr>
      <w:r>
        <w:t xml:space="preserve">[S38] BGS / CMIC — </w:t>
      </w:r>
      <w:hyperlink r:id="rId24">
        <w:r>
          <w:rPr>
            <w:color w:val="24577A"/>
          </w:rPr>
          <w:t>Waste and scrap flows in the UK: copper and tungsten</w:t>
        </w:r>
      </w:hyperlink>
    </w:p>
    <w:p>
      <w:pPr>
        <w:spacing w:after="240"/>
      </w:pPr>
      <w:r>
        <w:rPr>
          <w:sz w:val="18"/>
        </w:rPr>
        <w:t>2025, OR/25/050. Abstract identifies copper recovery opportunities and data gaps.</w:t>
      </w:r>
    </w:p>
    <w:p>
      <w:pPr>
        <w:spacing w:after="60"/>
      </w:pPr>
      <w:r>
        <w:t xml:space="preserve">[S39] BGS / CMIC — </w:t>
      </w:r>
      <w:hyperlink r:id="rId25">
        <w:r>
          <w:rPr>
            <w:color w:val="24577A"/>
          </w:rPr>
          <w:t>Future demand and secondary supply for UK net zero technologies</w:t>
        </w:r>
      </w:hyperlink>
    </w:p>
    <w:p>
      <w:pPr>
        <w:spacing w:after="240"/>
      </w:pPr>
      <w:r>
        <w:rPr>
          <w:sz w:val="18"/>
        </w:rPr>
        <w:t>2026, OR/26/027. Technology-specific modelling, not an all-material census.</w:t>
      </w:r>
    </w:p>
    <w:p>
      <w:pPr>
        <w:spacing w:after="60"/>
      </w:pPr>
      <w:r>
        <w:t xml:space="preserve">[S40] BPF — </w:t>
      </w:r>
      <w:hyperlink r:id="rId26">
        <w:r>
          <w:rPr>
            <w:color w:val="24577A"/>
          </w:rPr>
          <w:t>Plastics additives</w:t>
        </w:r>
      </w:hyperlink>
    </w:p>
    <w:p>
      <w:pPr>
        <w:spacing w:after="240"/>
      </w:pPr>
      <w:r>
        <w:rPr>
          <w:sz w:val="18"/>
        </w:rPr>
        <w:t>Additive functions must be stored separately from polymer identity.</w:t>
      </w:r>
    </w:p>
    <w:p>
      <w:pPr>
        <w:spacing w:after="60"/>
      </w:pPr>
      <w:r>
        <w:t xml:space="preserve">[S49] Avon Metals — </w:t>
      </w:r>
      <w:hyperlink r:id="rId27">
        <w:r>
          <w:rPr>
            <w:color w:val="24577A"/>
          </w:rPr>
          <w:t>Aluminium casting alloys</w:t>
        </w:r>
      </w:hyperlink>
    </w:p>
    <w:p>
      <w:pPr>
        <w:spacing w:after="240"/>
      </w:pPr>
      <w:r>
        <w:rPr>
          <w:sz w:val="18"/>
        </w:rPr>
        <w:t>LM and AA casting alloys; offers remelting of customer scrap.</w:t>
      </w:r>
    </w:p>
    <w:p>
      <w:pPr>
        <w:spacing w:after="60"/>
      </w:pPr>
      <w:r>
        <w:t xml:space="preserve">[S50] Avon Metals — </w:t>
      </w:r>
      <w:hyperlink r:id="rId28">
        <w:r>
          <w:rPr>
            <w:color w:val="24577A"/>
          </w:rPr>
          <w:t>Ferro alloys</w:t>
        </w:r>
      </w:hyperlink>
    </w:p>
    <w:p>
      <w:pPr>
        <w:spacing w:after="240"/>
      </w:pPr>
      <w:r>
        <w:rPr>
          <w:sz w:val="18"/>
        </w:rPr>
        <w:t>Ferro-titanium, zirconium, vanadium, niobium and aluminium.</w:t>
      </w:r>
    </w:p>
    <w:sectPr w:rsidR="00FC693F" w:rsidRPr="0006063C" w:rsidSect="00034616">
      <w:headerReference w:type="default" r:id="rId9"/>
      <w:footerReference w:type="default" r:id="rId10"/>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9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66575"/>
        <w:sz w:val="16"/>
      </w:rPr>
      <w:t>UK MATERIALS  /  FIRST-STAGE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18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o.org/standard/50590.html" TargetMode="External"/><Relationship Id="rId12" Type="http://schemas.openxmlformats.org/officeDocument/2006/relationships/hyperlink" Target="https://www.bpf.co.uk/plastipedia/polymers/polymer-thermoplastics.aspx" TargetMode="External"/><Relationship Id="rId13" Type="http://schemas.openxmlformats.org/officeDocument/2006/relationships/hyperlink" Target="https://www.bpf.co.uk/plastipedia/polymers/Default.aspx" TargetMode="External"/><Relationship Id="rId14" Type="http://schemas.openxmlformats.org/officeDocument/2006/relationships/hyperlink" Target="https://www.imagro.co.uk/product-portfolio/" TargetMode="External"/><Relationship Id="rId15" Type="http://schemas.openxmlformats.org/officeDocument/2006/relationships/hyperlink" Target="https://www.smithmetal.com/datasheets.htm" TargetMode="External"/><Relationship Id="rId16" Type="http://schemas.openxmlformats.org/officeDocument/2006/relationships/hyperlink" Target="https://www.aalco.co.uk/datasheets/?gId=22" TargetMode="External"/><Relationship Id="rId17" Type="http://schemas.openxmlformats.org/officeDocument/2006/relationships/hyperlink" Target="https://www.thyssenkrupp-materials.co.uk/stainless-steel-304-14301.html" TargetMode="External"/><Relationship Id="rId18" Type="http://schemas.openxmlformats.org/officeDocument/2006/relationships/hyperlink" Target="https://www.magnetexpert.com/blog/a-guide-to-the-different-permanent-magnet-materials/" TargetMode="External"/><Relationship Id="rId19" Type="http://schemas.openxmlformats.org/officeDocument/2006/relationships/hyperlink" Target="https://www.ons.gov.uk/businessindustryandtrade/manufacturingandproductionindustry/bulletins/ukmanufacturerssalesbyproductprodcom/2025" TargetMode="External"/><Relationship Id="rId20" Type="http://schemas.openxmlformats.org/officeDocument/2006/relationships/hyperlink" Target="https://www.uktradeinfo.com/api-documentation" TargetMode="External"/><Relationship Id="rId21" Type="http://schemas.openxmlformats.org/officeDocument/2006/relationships/hyperlink" Target="https://www.ons.gov.uk/economy/environmentalaccounts/datasets/ukenvironmentalaccountsmaterialflowsaccountunitedkingdom" TargetMode="External"/><Relationship Id="rId22" Type="http://schemas.openxmlformats.org/officeDocument/2006/relationships/hyperlink" Target="https://www.bgs.ac.uk/mineralsuk/statistics/uk/" TargetMode="External"/><Relationship Id="rId23" Type="http://schemas.openxmlformats.org/officeDocument/2006/relationships/hyperlink" Target="https://nora.nerc.ac.uk/id/eprint/539735/" TargetMode="External"/><Relationship Id="rId24" Type="http://schemas.openxmlformats.org/officeDocument/2006/relationships/hyperlink" Target="https://nora.nerc.ac.uk/id/eprint/540737/" TargetMode="External"/><Relationship Id="rId25" Type="http://schemas.openxmlformats.org/officeDocument/2006/relationships/hyperlink" Target="https://nora.nerc.ac.uk/id/eprint/541637/" TargetMode="External"/><Relationship Id="rId26" Type="http://schemas.openxmlformats.org/officeDocument/2006/relationships/hyperlink" Target="https://www.bpf.co.uk/plastipedia/additives/Default.aspx" TargetMode="External"/><Relationship Id="rId27" Type="http://schemas.openxmlformats.org/officeDocument/2006/relationships/hyperlink" Target="https://www.avonmetals.com/aluminium-alloys/aluminium-casting-alloys/" TargetMode="External"/><Relationship Id="rId28" Type="http://schemas.openxmlformats.org/officeDocument/2006/relationships/hyperlink" Target="https://www.avonmetals.com/ferro-allo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metals and polymers: manufacturing-led inventory</dc:title>
  <dc:subject>First-stage material identity, UK evidence and recovery research</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