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6336000" cy="3565895"/>
            <wp:docPr id="1" name="Picture 1"/>
            <wp:cNvGraphicFramePr>
              <a:graphicFrameLocks noChangeAspect="1"/>
            </wp:cNvGraphicFramePr>
            <a:graphic>
              <a:graphicData uri="http://schemas.openxmlformats.org/drawingml/2006/picture">
                <pic:pic>
                  <pic:nvPicPr>
                    <pic:cNvPr id="0" name="image-edit-target-d1d12964f353cda6.png"/>
                    <pic:cNvPicPr/>
                  </pic:nvPicPr>
                  <pic:blipFill>
                    <a:blip r:embed="rId11"/>
                    <a:stretch>
                      <a:fillRect/>
                    </a:stretch>
                  </pic:blipFill>
                  <pic:spPr>
                    <a:xfrm>
                      <a:off x="0" y="0"/>
                      <a:ext cx="6336000" cy="3565895"/>
                    </a:xfrm>
                    <a:prstGeom prst="rect"/>
                  </pic:spPr>
                </pic:pic>
              </a:graphicData>
            </a:graphic>
          </wp:inline>
        </w:drawing>
      </w:r>
    </w:p>
    <w:p>
      <w:pPr>
        <w:pStyle w:val="Title"/>
      </w:pPr>
      <w:r>
        <w:t>The Perennial</w:t>
        <w:br/>
        <w:t>Resilience Plan</w:t>
      </w:r>
    </w:p>
    <w:p>
      <w:r>
        <w:rPr>
          <w:b/>
          <w:color w:val="1F6B4F"/>
          <w:sz w:val="28"/>
        </w:rPr>
        <w:t>Food in two years • cooler ground in weeks • water security • controlled-environment recovery</w:t>
      </w:r>
    </w:p>
    <w:p>
      <w:r>
        <w:rPr>
          <w:color w:val="56645D"/>
        </w:rPr>
        <w:t>A practical proposal for UK farmers, water-using businesses, investors, local authorities and national government.</w:t>
      </w:r>
    </w:p>
    <w:tbl>
      <w:tblPr>
        <w:tblW w:type="auto" w:w="0"/>
        <w:jc w:val="center"/>
        <w:tblLayout w:type="fixed"/>
        <w:tblLook w:firstColumn="1" w:firstRow="1" w:lastColumn="0" w:lastRow="0" w:noHBand="0" w:noVBand="1" w:val="04A0"/>
      </w:tblPr>
      <w:tblGrid>
        <w:gridCol w:w="198"/>
        <w:gridCol w:w="9298"/>
      </w:tblGrid>
      <w:tr>
        <w:tc>
          <w:tcPr>
            <w:tcW w:type="dxa" w:w="4989"/>
            <w:shd w:fill="1F6B4F"/>
            <w:vAlign w:val="center"/>
            <w:tcMar>
              <w:top w:w="80" w:type="dxa"/>
              <w:start w:w="90" w:type="dxa"/>
              <w:bottom w:w="80" w:type="dxa"/>
              <w:end w:w="90" w:type="dxa"/>
            </w:tcMar>
          </w:tcPr>
          <w:p>
            <w:pPr>
              <w:spacing w:after="0"/>
            </w:pPr>
            <w:r/>
            <w:r>
              <w:rPr>
                <w:rFonts w:ascii="Arial" w:hAnsi="Arial"/>
                <w:b w:val="0"/>
                <w:color w:val="FFFFFF"/>
                <w:sz w:val="16"/>
              </w:rPr>
            </w:r>
          </w:p>
        </w:tc>
        <w:tc>
          <w:tcPr>
            <w:tcW w:type="dxa" w:w="4989"/>
            <w:shd w:fill="EAF2DC"/>
            <w:tcMar>
              <w:top w:w="120" w:type="dxa"/>
              <w:start w:w="160" w:type="dxa"/>
              <w:bottom w:w="120" w:type="dxa"/>
              <w:end w:w="160" w:type="dxa"/>
            </w:tcMar>
          </w:tcPr>
          <w:p>
            <w:r/>
            <w:r>
              <w:rPr>
                <w:b/>
                <w:color w:val="183128"/>
                <w:sz w:val="20"/>
              </w:rPr>
              <w:t>Three linked sections</w:t>
              <w:br/>
            </w:r>
            <w:r>
              <w:rPr>
                <w:color w:val="56645D"/>
                <w:sz w:val="18"/>
              </w:rPr>
              <w:t>1. Productive perennial agroforestry.  2. Green Tent systems for difficult land.  3. A full aquaponics operating model.</w:t>
            </w:r>
          </w:p>
        </w:tc>
      </w:tr>
    </w:tbl>
    <w:p>
      <w:pPr>
        <w:spacing w:after="0"/>
      </w:pPr>
    </w:p>
    <w:p>
      <w:pPr>
        <w:pStyle w:val="Smallnote"/>
      </w:pPr>
      <w:r>
        <w:t>Decision draft • United Kingdom • 19 August 2026</w:t>
      </w:r>
    </w:p>
    <w:p>
      <w:r>
        <w:br w:type="page"/>
      </w:r>
    </w:p>
    <w:p>
      <w:pPr>
        <w:pStyle w:val="Heading1"/>
      </w:pPr>
      <w:r>
        <w:t>Document status and engineering guardrails</w:t>
      </w:r>
    </w:p>
    <w:p>
      <w:r>
        <w:t>This is a policy and pilot-development document. It identifies a credible direction, species portfolio, operating model, evidence base and stage gates. Site-specific designs, structural loads, pressure systems, hydrogen plant, electrical work, food safety, fish welfare and planning submissions must be completed and signed off by appropriately qualified professionals.</w:t>
      </w:r>
    </w:p>
    <w:tbl>
      <w:tblPr>
        <w:tblW w:type="auto" w:w="0"/>
        <w:jc w:val="center"/>
        <w:tblLayout w:type="fixed"/>
        <w:tblLook w:firstColumn="1" w:firstRow="1" w:lastColumn="0" w:lastRow="0" w:noHBand="0" w:noVBand="1" w:val="04A0"/>
      </w:tblPr>
      <w:tblGrid>
        <w:gridCol w:w="198"/>
        <w:gridCol w:w="9298"/>
      </w:tblGrid>
      <w:tr>
        <w:tc>
          <w:tcPr>
            <w:tcW w:type="dxa" w:w="4989"/>
            <w:shd w:fill="B34B45"/>
            <w:vAlign w:val="center"/>
            <w:tcMar>
              <w:top w:w="80" w:type="dxa"/>
              <w:start w:w="90" w:type="dxa"/>
              <w:bottom w:w="80" w:type="dxa"/>
              <w:end w:w="90" w:type="dxa"/>
            </w:tcMar>
          </w:tcPr>
          <w:p>
            <w:pPr>
              <w:spacing w:after="0"/>
            </w:pPr>
            <w:r/>
            <w:r>
              <w:rPr>
                <w:rFonts w:ascii="Arial" w:hAnsi="Arial"/>
                <w:b w:val="0"/>
                <w:color w:val="FFFFFF"/>
                <w:sz w:val="16"/>
              </w:rPr>
            </w:r>
          </w:p>
        </w:tc>
        <w:tc>
          <w:tcPr>
            <w:tcW w:type="dxa" w:w="4989"/>
            <w:shd w:fill="F7E7E5"/>
            <w:tcMar>
              <w:top w:w="120" w:type="dxa"/>
              <w:start w:w="160" w:type="dxa"/>
              <w:bottom w:w="120" w:type="dxa"/>
              <w:end w:w="160" w:type="dxa"/>
            </w:tcMar>
          </w:tcPr>
          <w:p>
            <w:r/>
            <w:r>
              <w:rPr>
                <w:b/>
                <w:color w:val="183128"/>
                <w:sz w:val="20"/>
              </w:rPr>
              <w:t>Safety correction</w:t>
              <w:br/>
            </w:r>
            <w:r>
              <w:rPr>
                <w:color w:val="56645D"/>
                <w:sz w:val="18"/>
              </w:rPr>
              <w:t>The proposal does not store mixed “HHO” gas and does not claim net energy creation. Electrolysis produces separate hydrogen and oxygen streams. Electricity and useful heat are prioritised; an ORC or steam expander is considered only when scale, temperature and economics justify it.</w:t>
            </w:r>
          </w:p>
        </w:tc>
      </w:tr>
    </w:tbl>
    <w:p>
      <w:pPr>
        <w:spacing w:after="0"/>
      </w:pPr>
    </w:p>
    <w:tbl>
      <w:tblPr>
        <w:tblW w:type="auto" w:w="0"/>
        <w:jc w:val="center"/>
        <w:tblLayout w:type="fixed"/>
        <w:tblLook w:firstColumn="1" w:firstRow="1" w:lastColumn="0" w:lastRow="0" w:noHBand="0" w:noVBand="1" w:val="04A0"/>
      </w:tblPr>
      <w:tblGrid>
        <w:gridCol w:w="198"/>
        <w:gridCol w:w="9298"/>
      </w:tblGrid>
      <w:tr>
        <w:tc>
          <w:tcPr>
            <w:tcW w:type="dxa" w:w="4989"/>
            <w:shd w:fill="3B879E"/>
            <w:vAlign w:val="center"/>
            <w:tcMar>
              <w:top w:w="80" w:type="dxa"/>
              <w:start w:w="90" w:type="dxa"/>
              <w:bottom w:w="80" w:type="dxa"/>
              <w:end w:w="90" w:type="dxa"/>
            </w:tcMar>
          </w:tcPr>
          <w:p>
            <w:pPr>
              <w:spacing w:after="0"/>
            </w:pPr>
            <w:r/>
            <w:r>
              <w:rPr>
                <w:rFonts w:ascii="Arial" w:hAnsi="Arial"/>
                <w:b w:val="0"/>
                <w:color w:val="FFFFFF"/>
                <w:sz w:val="16"/>
              </w:rPr>
            </w:r>
          </w:p>
        </w:tc>
        <w:tc>
          <w:tcPr>
            <w:tcW w:type="dxa" w:w="4989"/>
            <w:shd w:fill="D9EEF5"/>
            <w:tcMar>
              <w:top w:w="120" w:type="dxa"/>
              <w:start w:w="160" w:type="dxa"/>
              <w:bottom w:w="120" w:type="dxa"/>
              <w:end w:w="160" w:type="dxa"/>
            </w:tcMar>
          </w:tcPr>
          <w:p>
            <w:r/>
            <w:r>
              <w:rPr>
                <w:b/>
                <w:color w:val="183128"/>
                <w:sz w:val="20"/>
              </w:rPr>
              <w:t>Loop separation</w:t>
              <w:br/>
            </w:r>
            <w:r>
              <w:rPr>
                <w:color w:val="56645D"/>
                <w:sz w:val="18"/>
              </w:rPr>
              <w:t>Clean steam/feedwater, aquaponic nutrient water, greenhouse humidity condensate and potable water remain separate, connected only through engineered heat exchangers or validated treatment barriers.</w:t>
            </w:r>
          </w:p>
        </w:tc>
      </w:tr>
    </w:tbl>
    <w:p>
      <w:pPr>
        <w:spacing w:after="0"/>
      </w:pPr>
    </w:p>
    <w:p>
      <w:pPr>
        <w:pStyle w:val="Heading2"/>
      </w:pPr>
      <w:r>
        <w:t>Contents</w:t>
      </w:r>
    </w:p>
    <w:p>
      <w:pPr>
        <w:pStyle w:val="ListBullet"/>
      </w:pPr>
      <w:r>
        <w:t>Executive summary and national case</w:t>
      </w:r>
    </w:p>
    <w:p>
      <w:pPr>
        <w:pStyle w:val="ListBullet"/>
      </w:pPr>
      <w:r>
        <w:t>Section 1 — Perennial farming, planting, benefits, water, herbs, bees and stewardship</w:t>
      </w:r>
    </w:p>
    <w:p>
      <w:pPr>
        <w:pStyle w:val="ListBullet"/>
      </w:pPr>
      <w:r>
        <w:t>Section 2 — Green Tent recovery system for difficult land</w:t>
      </w:r>
    </w:p>
    <w:p>
      <w:pPr>
        <w:pStyle w:val="ListBullet"/>
      </w:pPr>
      <w:r>
        <w:t>Section 3 — Aquaponics: biology, media, hydraulics, commissioning, operation and UK compliance</w:t>
      </w:r>
    </w:p>
    <w:p>
      <w:pPr>
        <w:pStyle w:val="ListBullet"/>
      </w:pPr>
      <w:r>
        <w:t>Implementation plan, metrics, decision asks and references</w:t>
      </w:r>
    </w:p>
    <w:p>
      <w:r>
        <w:br w:type="page"/>
      </w:r>
    </w:p>
    <w:p>
      <w:pPr>
        <w:pStyle w:val="Heading1"/>
      </w:pPr>
      <w:r>
        <w:t>Executive summary</w:t>
      </w:r>
    </w:p>
    <w:p>
      <w:r>
        <w:t>The proposal is deliberately staged. Existing trees, hedges, wet features and soil cover deliver protection immediately. Bearing-age or grafted fruit, soft fruit and perennial herbs can provide early food—often within one or two growing seasons on a suitable site. Orchard, nut and canopy benefits deepen over five years and beyond. Difficult land is addressed separately through controlled systems rather than pretending every hectare can be made safe by planting directly into it.</w:t>
      </w:r>
    </w:p>
    <w:tbl>
      <w:tblPr>
        <w:tblStyle w:val="TableGrid"/>
        <w:tblW w:type="auto" w:w="0"/>
        <w:jc w:val="center"/>
        <w:tblLayout w:type="fixed"/>
        <w:tblLook w:firstColumn="1" w:firstRow="1" w:lastColumn="0" w:lastRow="0" w:noHBand="0" w:noVBand="1" w:val="04A0"/>
      </w:tblPr>
      <w:tblGrid>
        <w:gridCol w:w="1871"/>
        <w:gridCol w:w="3798"/>
        <w:gridCol w:w="3798"/>
      </w:tblGrid>
      <w:tr>
        <w:trPr>
          <w:tblHeader w:val="true"/>
        </w:trPr>
        <w:tc>
          <w:tcPr>
            <w:tcW w:type="dxa" w:w="3326"/>
            <w:shd w:fill="15362A"/>
            <w:vAlign w:val="center"/>
            <w:tcMar>
              <w:top w:w="80" w:type="dxa"/>
              <w:start w:w="90" w:type="dxa"/>
              <w:bottom w:w="80" w:type="dxa"/>
              <w:end w:w="90" w:type="dxa"/>
            </w:tcMar>
          </w:tcPr>
          <w:p>
            <w:pPr>
              <w:spacing w:after="0"/>
            </w:pPr>
            <w:r/>
            <w:r>
              <w:rPr>
                <w:rFonts w:ascii="Arial" w:hAnsi="Arial"/>
                <w:b/>
                <w:color w:val="FFFFFF"/>
                <w:sz w:val="16"/>
              </w:rPr>
              <w:t>Programme</w:t>
            </w:r>
          </w:p>
        </w:tc>
        <w:tc>
          <w:tcPr>
            <w:tcW w:type="dxa" w:w="3326"/>
            <w:shd w:fill="15362A"/>
            <w:vAlign w:val="center"/>
            <w:tcMar>
              <w:top w:w="80" w:type="dxa"/>
              <w:start w:w="90" w:type="dxa"/>
              <w:bottom w:w="80" w:type="dxa"/>
              <w:end w:w="90" w:type="dxa"/>
            </w:tcMar>
          </w:tcPr>
          <w:p>
            <w:pPr>
              <w:spacing w:after="0"/>
            </w:pPr>
            <w:r/>
            <w:r>
              <w:rPr>
                <w:rFonts w:ascii="Arial" w:hAnsi="Arial"/>
                <w:b/>
                <w:color w:val="FFFFFF"/>
                <w:sz w:val="16"/>
              </w:rPr>
              <w:t>Immediate decision</w:t>
            </w:r>
          </w:p>
        </w:tc>
        <w:tc>
          <w:tcPr>
            <w:tcW w:type="dxa" w:w="3326"/>
            <w:shd w:fill="15362A"/>
            <w:vAlign w:val="center"/>
            <w:tcMar>
              <w:top w:w="80" w:type="dxa"/>
              <w:start w:w="90" w:type="dxa"/>
              <w:bottom w:w="80" w:type="dxa"/>
              <w:end w:w="90" w:type="dxa"/>
            </w:tcMar>
          </w:tcPr>
          <w:p>
            <w:pPr>
              <w:spacing w:after="0"/>
            </w:pPr>
            <w:r/>
            <w:r>
              <w:rPr>
                <w:rFonts w:ascii="Arial" w:hAnsi="Arial"/>
                <w:b/>
                <w:color w:val="FFFFFF"/>
                <w:sz w:val="16"/>
              </w:rPr>
              <w:t>24-month proof</w:t>
            </w:r>
          </w:p>
        </w:tc>
      </w:tr>
      <w:tr>
        <w:tc>
          <w:tcPr>
            <w:tcW w:type="dxa" w:w="1871"/>
            <w:vAlign w:val="center"/>
            <w:tcMar>
              <w:top w:w="80" w:type="dxa"/>
              <w:start w:w="90" w:type="dxa"/>
              <w:bottom w:w="80" w:type="dxa"/>
              <w:end w:w="90" w:type="dxa"/>
            </w:tcMar>
          </w:tcPr>
          <w:p>
            <w:pPr>
              <w:spacing w:after="0"/>
            </w:pPr>
            <w:r/>
            <w:r>
              <w:rPr>
                <w:rFonts w:ascii="Arial" w:hAnsi="Arial"/>
                <w:b/>
                <w:color w:val="183128"/>
                <w:sz w:val="16"/>
              </w:rPr>
              <w:t>Perennial farms</w:t>
            </w:r>
          </w:p>
        </w:tc>
        <w:tc>
          <w:tcPr>
            <w:tcW w:type="dxa" w:w="3798"/>
            <w:vAlign w:val="center"/>
            <w:tcMar>
              <w:top w:w="80" w:type="dxa"/>
              <w:start w:w="90" w:type="dxa"/>
              <w:bottom w:w="80" w:type="dxa"/>
              <w:end w:w="90" w:type="dxa"/>
            </w:tcMar>
          </w:tcPr>
          <w:p>
            <w:pPr>
              <w:spacing w:after="0"/>
            </w:pPr>
            <w:r/>
            <w:r>
              <w:rPr>
                <w:rFonts w:ascii="Arial" w:hAnsi="Arial"/>
                <w:b w:val="0"/>
                <w:color w:val="183128"/>
                <w:sz w:val="16"/>
              </w:rPr>
              <w:t>Fund site plans, fast-bearing strips and two years of aftercare.</w:t>
            </w:r>
          </w:p>
        </w:tc>
        <w:tc>
          <w:tcPr>
            <w:tcW w:type="dxa" w:w="3798"/>
            <w:vAlign w:val="center"/>
            <w:tcMar>
              <w:top w:w="80" w:type="dxa"/>
              <w:start w:w="90" w:type="dxa"/>
              <w:bottom w:w="80" w:type="dxa"/>
              <w:end w:w="90" w:type="dxa"/>
            </w:tcMar>
          </w:tcPr>
          <w:p>
            <w:pPr>
              <w:spacing w:after="0"/>
            </w:pPr>
            <w:r/>
            <w:r>
              <w:rPr>
                <w:rFonts w:ascii="Arial" w:hAnsi="Arial"/>
                <w:b w:val="0"/>
                <w:color w:val="183128"/>
                <w:sz w:val="16"/>
              </w:rPr>
              <w:t>Tree survival, yield, water use, farm operations, biodiversity and margin.</w:t>
            </w:r>
          </w:p>
        </w:tc>
      </w:tr>
      <w:tr>
        <w:tc>
          <w:tcPr>
            <w:tcW w:type="dxa" w:w="1871"/>
            <w:shd w:fill="F1F3EF"/>
            <w:vAlign w:val="center"/>
            <w:tcMar>
              <w:top w:w="80" w:type="dxa"/>
              <w:start w:w="90" w:type="dxa"/>
              <w:bottom w:w="80" w:type="dxa"/>
              <w:end w:w="90" w:type="dxa"/>
            </w:tcMar>
          </w:tcPr>
          <w:p>
            <w:pPr>
              <w:spacing w:after="0"/>
            </w:pPr>
            <w:r/>
            <w:r>
              <w:rPr>
                <w:rFonts w:ascii="Arial" w:hAnsi="Arial"/>
                <w:b/>
                <w:color w:val="183128"/>
                <w:sz w:val="16"/>
              </w:rPr>
              <w:t>Business water</w:t>
            </w:r>
          </w:p>
        </w:tc>
        <w:tc>
          <w:tcPr>
            <w:tcW w:type="dxa" w:w="3798"/>
            <w:shd w:fill="F1F3EF"/>
            <w:vAlign w:val="center"/>
            <w:tcMar>
              <w:top w:w="80" w:type="dxa"/>
              <w:start w:w="90" w:type="dxa"/>
              <w:bottom w:w="80" w:type="dxa"/>
              <w:end w:w="90" w:type="dxa"/>
            </w:tcMar>
          </w:tcPr>
          <w:p>
            <w:pPr>
              <w:spacing w:after="0"/>
            </w:pPr>
            <w:r/>
            <w:r>
              <w:rPr>
                <w:rFonts w:ascii="Arial" w:hAnsi="Arial"/>
                <w:b w:val="0"/>
                <w:color w:val="183128"/>
                <w:sz w:val="16"/>
              </w:rPr>
              <w:t>Introduce annual water-balance and annual-equivalent resilience planning for every materially water-dependent business.</w:t>
            </w:r>
          </w:p>
        </w:tc>
        <w:tc>
          <w:tcPr>
            <w:tcW w:type="dxa" w:w="3798"/>
            <w:shd w:fill="F1F3EF"/>
            <w:vAlign w:val="center"/>
            <w:tcMar>
              <w:top w:w="80" w:type="dxa"/>
              <w:start w:w="90" w:type="dxa"/>
              <w:bottom w:w="80" w:type="dxa"/>
              <w:end w:w="90" w:type="dxa"/>
            </w:tcMar>
          </w:tcPr>
          <w:p>
            <w:pPr>
              <w:spacing w:after="0"/>
            </w:pPr>
            <w:r/>
            <w:r>
              <w:rPr>
                <w:rFonts w:ascii="Arial" w:hAnsi="Arial"/>
                <w:b w:val="0"/>
                <w:color w:val="183128"/>
                <w:sz w:val="16"/>
              </w:rPr>
              <w:t>Stored/reused/shared capacity, quality, demand reduction and continuity performance.</w:t>
            </w:r>
          </w:p>
        </w:tc>
      </w:tr>
      <w:tr>
        <w:tc>
          <w:tcPr>
            <w:tcW w:type="dxa" w:w="1871"/>
            <w:vAlign w:val="center"/>
            <w:tcMar>
              <w:top w:w="80" w:type="dxa"/>
              <w:start w:w="90" w:type="dxa"/>
              <w:bottom w:w="80" w:type="dxa"/>
              <w:end w:w="90" w:type="dxa"/>
            </w:tcMar>
          </w:tcPr>
          <w:p>
            <w:pPr>
              <w:spacing w:after="0"/>
            </w:pPr>
            <w:r/>
            <w:r>
              <w:rPr>
                <w:rFonts w:ascii="Arial" w:hAnsi="Arial"/>
                <w:b/>
                <w:color w:val="183128"/>
                <w:sz w:val="16"/>
              </w:rPr>
              <w:t>Green Tent</w:t>
            </w:r>
          </w:p>
        </w:tc>
        <w:tc>
          <w:tcPr>
            <w:tcW w:type="dxa" w:w="3798"/>
            <w:vAlign w:val="center"/>
            <w:tcMar>
              <w:top w:w="80" w:type="dxa"/>
              <w:start w:w="90" w:type="dxa"/>
              <w:bottom w:w="80" w:type="dxa"/>
              <w:end w:w="90" w:type="dxa"/>
            </w:tcMar>
          </w:tcPr>
          <w:p>
            <w:pPr>
              <w:spacing w:after="0"/>
            </w:pPr>
            <w:r/>
            <w:r>
              <w:rPr>
                <w:rFonts w:ascii="Arial" w:hAnsi="Arial"/>
                <w:b w:val="0"/>
                <w:color w:val="183128"/>
                <w:sz w:val="16"/>
              </w:rPr>
              <w:t>Commission one independently reviewed demonstrator on a defined difficult-land category.</w:t>
            </w:r>
          </w:p>
        </w:tc>
        <w:tc>
          <w:tcPr>
            <w:tcW w:type="dxa" w:w="3798"/>
            <w:vAlign w:val="center"/>
            <w:tcMar>
              <w:top w:w="80" w:type="dxa"/>
              <w:start w:w="90" w:type="dxa"/>
              <w:bottom w:w="80" w:type="dxa"/>
              <w:end w:w="90" w:type="dxa"/>
            </w:tcMar>
          </w:tcPr>
          <w:p>
            <w:pPr>
              <w:spacing w:after="0"/>
            </w:pPr>
            <w:r/>
            <w:r>
              <w:rPr>
                <w:rFonts w:ascii="Arial" w:hAnsi="Arial"/>
                <w:b w:val="0"/>
                <w:color w:val="183128"/>
                <w:sz w:val="16"/>
              </w:rPr>
              <w:t>Net energy, useful heat, water recovery, emissions, capex/opex, uptime and safety.</w:t>
            </w:r>
          </w:p>
        </w:tc>
      </w:tr>
      <w:tr>
        <w:tc>
          <w:tcPr>
            <w:tcW w:type="dxa" w:w="1871"/>
            <w:shd w:fill="F1F3EF"/>
            <w:vAlign w:val="center"/>
            <w:tcMar>
              <w:top w:w="80" w:type="dxa"/>
              <w:start w:w="90" w:type="dxa"/>
              <w:bottom w:w="80" w:type="dxa"/>
              <w:end w:w="90" w:type="dxa"/>
            </w:tcMar>
          </w:tcPr>
          <w:p>
            <w:pPr>
              <w:spacing w:after="0"/>
            </w:pPr>
            <w:r/>
            <w:r>
              <w:rPr>
                <w:rFonts w:ascii="Arial" w:hAnsi="Arial"/>
                <w:b/>
                <w:color w:val="183128"/>
                <w:sz w:val="16"/>
              </w:rPr>
              <w:t>Aquaponics</w:t>
            </w:r>
          </w:p>
        </w:tc>
        <w:tc>
          <w:tcPr>
            <w:tcW w:type="dxa" w:w="3798"/>
            <w:shd w:fill="F1F3EF"/>
            <w:vAlign w:val="center"/>
            <w:tcMar>
              <w:top w:w="80" w:type="dxa"/>
              <w:start w:w="90" w:type="dxa"/>
              <w:bottom w:w="80" w:type="dxa"/>
              <w:end w:w="90" w:type="dxa"/>
            </w:tcMar>
          </w:tcPr>
          <w:p>
            <w:pPr>
              <w:spacing w:after="0"/>
            </w:pPr>
            <w:r/>
            <w:r>
              <w:rPr>
                <w:rFonts w:ascii="Arial" w:hAnsi="Arial"/>
                <w:b w:val="0"/>
                <w:color w:val="183128"/>
                <w:sz w:val="16"/>
              </w:rPr>
              <w:t>Build as a life-support and biofiltration system with redundancy and registration.</w:t>
            </w:r>
          </w:p>
        </w:tc>
        <w:tc>
          <w:tcPr>
            <w:tcW w:type="dxa" w:w="3798"/>
            <w:shd w:fill="F1F3EF"/>
            <w:vAlign w:val="center"/>
            <w:tcMar>
              <w:top w:w="80" w:type="dxa"/>
              <w:start w:w="90" w:type="dxa"/>
              <w:bottom w:w="80" w:type="dxa"/>
              <w:end w:w="90" w:type="dxa"/>
            </w:tcMar>
          </w:tcPr>
          <w:p>
            <w:pPr>
              <w:spacing w:after="0"/>
            </w:pPr>
            <w:r/>
            <w:r>
              <w:rPr>
                <w:rFonts w:ascii="Arial" w:hAnsi="Arial"/>
                <w:b w:val="0"/>
                <w:color w:val="183128"/>
                <w:sz w:val="16"/>
              </w:rPr>
              <w:t>Fish welfare, conversion, crop output, nutrient additions, water quality and labour.</w:t>
            </w:r>
          </w:p>
        </w:tc>
      </w:tr>
    </w:tbl>
    <w:p>
      <w:pPr>
        <w:spacing w:after="0"/>
      </w:pPr>
    </w:p>
    <w:p>
      <w:pPr>
        <w:pStyle w:val="Heading2"/>
      </w:pPr>
      <w:r>
        <w:t>Why this framing has the best chance of adoption</w:t>
      </w:r>
    </w:p>
    <w:p>
      <w:pPr>
        <w:pStyle w:val="ListBullet"/>
      </w:pPr>
      <w:r>
        <w:t>It protects farm operations and cash flow rather than treating food production as a land-use problem.</w:t>
      </w:r>
    </w:p>
    <w:p>
      <w:pPr>
        <w:pStyle w:val="ListBullet"/>
      </w:pPr>
      <w:r>
        <w:t>It makes early benefits explicit while avoiding blanket promises.</w:t>
      </w:r>
    </w:p>
    <w:p>
      <w:pPr>
        <w:pStyle w:val="ListBullet"/>
      </w:pPr>
      <w:r>
        <w:t>It uses current funding where the planting specification fits, but does not distort rootstock or layout merely to chase a payment.</w:t>
      </w:r>
    </w:p>
    <w:p>
      <w:pPr>
        <w:pStyle w:val="ListBullet"/>
      </w:pPr>
      <w:r>
        <w:t>It translates universal ambitions into flexible, auditable compliance routes.</w:t>
      </w:r>
    </w:p>
    <w:p>
      <w:pPr>
        <w:pStyle w:val="ListBullet"/>
      </w:pPr>
      <w:r>
        <w:t>It makes ambitious engineering falsifiable: meter the input, output, losses, water and carbon fate.</w:t>
      </w:r>
    </w:p>
    <w:p>
      <w:pPr>
        <w:pStyle w:val="Heading1"/>
      </w:pPr>
      <w:r>
        <w:t>The national case</w:t>
      </w:r>
    </w:p>
    <w:p>
      <w:r>
        <w:t>The Environment Agency’s 2025 National Framework estimates a 4,940 Ml/day public-water deficit for England by 2055 before additional action, with potential wider-economy needs around 1,000 Ml/day. The UK Pesticides National Action Plan 2025 sets a target to reduce each of 20 Pesticide Load Indicator metrics by at least 10% by 2030 from a 2018 baseline. Forest Research found 59% of surveyed cereal farmers likely or extremely likely to plant trees within five years, while also identifying cost, uncertainty, labour and machinery conflict as practical barriers.</w:t>
      </w:r>
    </w:p>
    <w:tbl>
      <w:tblPr>
        <w:tblW w:type="auto" w:w="0"/>
        <w:jc w:val="center"/>
        <w:tblLayout w:type="fixed"/>
        <w:tblLook w:firstColumn="1" w:firstRow="1" w:lastColumn="0" w:lastRow="0" w:noHBand="0" w:noVBand="1" w:val="04A0"/>
      </w:tblPr>
      <w:tblGrid>
        <w:gridCol w:w="198"/>
        <w:gridCol w:w="9298"/>
      </w:tblGrid>
      <w:tr>
        <w:tc>
          <w:tcPr>
            <w:tcW w:type="dxa" w:w="4989"/>
            <w:shd w:fill="1F6B4F"/>
            <w:vAlign w:val="center"/>
            <w:tcMar>
              <w:top w:w="80" w:type="dxa"/>
              <w:start w:w="90" w:type="dxa"/>
              <w:bottom w:w="80" w:type="dxa"/>
              <w:end w:w="90" w:type="dxa"/>
            </w:tcMar>
          </w:tcPr>
          <w:p>
            <w:pPr>
              <w:spacing w:after="0"/>
            </w:pPr>
            <w:r/>
            <w:r>
              <w:rPr>
                <w:rFonts w:ascii="Arial" w:hAnsi="Arial"/>
                <w:b w:val="0"/>
                <w:color w:val="FFFFFF"/>
                <w:sz w:val="16"/>
              </w:rPr>
            </w:r>
          </w:p>
        </w:tc>
        <w:tc>
          <w:tcPr>
            <w:tcW w:type="dxa" w:w="4989"/>
            <w:shd w:fill="EAF2DC"/>
            <w:tcMar>
              <w:top w:w="120" w:type="dxa"/>
              <w:start w:w="160" w:type="dxa"/>
              <w:bottom w:w="120" w:type="dxa"/>
              <w:end w:w="160" w:type="dxa"/>
            </w:tcMar>
          </w:tcPr>
          <w:p>
            <w:r/>
            <w:r>
              <w:rPr>
                <w:b/>
                <w:color w:val="183128"/>
                <w:sz w:val="20"/>
              </w:rPr>
              <w:t>Adoption principle</w:t>
              <w:br/>
            </w:r>
            <w:r>
              <w:rPr>
                <w:color w:val="56645D"/>
                <w:sz w:val="18"/>
              </w:rPr>
              <w:t>“Farm with trees” is stronger than “replace farming with trees”. Start with alleys, edges, shelter, runoff paths and orchard blocks that respect machinery, tenancy, labour and market access.</w:t>
            </w:r>
          </w:p>
        </w:tc>
      </w:tr>
    </w:tbl>
    <w:p>
      <w:pPr>
        <w:spacing w:after="0"/>
      </w:pPr>
    </w:p>
    <w:p>
      <w:r>
        <w:br w:type="page"/>
      </w:r>
    </w:p>
    <w:tbl>
      <w:tblPr>
        <w:tblW w:type="auto" w:w="0"/>
        <w:jc w:val="center"/>
        <w:tblLook w:firstColumn="1" w:firstRow="1" w:lastColumn="0" w:lastRow="0" w:noHBand="0" w:noVBand="1" w:val="04A0"/>
      </w:tblPr>
      <w:tblGrid>
        <w:gridCol w:w="9978"/>
      </w:tblGrid>
      <w:tr>
        <w:tc>
          <w:tcPr>
            <w:tcW w:type="dxa" w:w="9978"/>
            <w:shd w:fill="15362A"/>
            <w:tcMar>
              <w:top w:w="260" w:type="dxa"/>
              <w:start w:w="250" w:type="dxa"/>
              <w:bottom w:w="260" w:type="dxa"/>
              <w:end w:w="250" w:type="dxa"/>
            </w:tcMar>
          </w:tcPr>
          <w:p>
            <w:r/>
            <w:r>
              <w:rPr>
                <w:b/>
                <w:color w:val="D5A34A"/>
                <w:sz w:val="20"/>
              </w:rPr>
              <w:t>SECTION 1</w:t>
              <w:br/>
            </w:r>
            <w:r>
              <w:rPr>
                <w:b/>
                <w:color w:val="FFFFFF"/>
                <w:sz w:val="56"/>
              </w:rPr>
              <w:t>Farm with trees. Keep the farm working.</w:t>
              <w:br/>
            </w:r>
            <w:r>
              <w:rPr>
                <w:color w:val="DDE9E2"/>
                <w:sz w:val="26"/>
              </w:rPr>
              <w:t>Perennial food, shade, water, living soils, herbs, bees and lawful stewardship.</w:t>
            </w:r>
          </w:p>
        </w:tc>
      </w:tr>
    </w:tbl>
    <w:p>
      <w:pPr>
        <w:jc w:val="center"/>
      </w:pPr>
      <w:r>
        <w:drawing>
          <wp:inline xmlns:a="http://schemas.openxmlformats.org/drawingml/2006/main" xmlns:pic="http://schemas.openxmlformats.org/drawingml/2006/picture">
            <wp:extent cx="6228000" cy="3505112"/>
            <wp:docPr id="2" name="Picture 2"/>
            <wp:cNvGraphicFramePr>
              <a:graphicFrameLocks noChangeAspect="1"/>
            </wp:cNvGraphicFramePr>
            <a:graphic>
              <a:graphicData uri="http://schemas.openxmlformats.org/drawingml/2006/picture">
                <pic:pic>
                  <pic:nvPicPr>
                    <pic:cNvPr id="0" name="exec-06900a26-192e-42d0-9bf0-3ebb51028397.png"/>
                    <pic:cNvPicPr/>
                  </pic:nvPicPr>
                  <pic:blipFill>
                    <a:blip r:embed="rId12"/>
                    <a:stretch>
                      <a:fillRect/>
                    </a:stretch>
                  </pic:blipFill>
                  <pic:spPr>
                    <a:xfrm>
                      <a:off x="0" y="0"/>
                      <a:ext cx="6228000" cy="3505112"/>
                    </a:xfrm>
                    <a:prstGeom prst="rect"/>
                  </pic:spPr>
                </pic:pic>
              </a:graphicData>
            </a:graphic>
          </wp:inline>
        </w:drawing>
      </w:r>
    </w:p>
    <w:p>
      <w:pPr>
        <w:pStyle w:val="Heading1"/>
      </w:pPr>
      <w:r>
        <w:t>1.1 Principles and benefit stages</w:t>
      </w:r>
    </w:p>
    <w:tbl>
      <w:tblPr>
        <w:tblStyle w:val="TableGrid"/>
        <w:tblW w:type="auto" w:w="0"/>
        <w:jc w:val="center"/>
        <w:tblLayout w:type="fixed"/>
        <w:tblLook w:firstColumn="1" w:firstRow="1" w:lastColumn="0" w:lastRow="0" w:noHBand="0" w:noVBand="1" w:val="04A0"/>
      </w:tblPr>
      <w:tblGrid>
        <w:gridCol w:w="1247"/>
        <w:gridCol w:w="3969"/>
        <w:gridCol w:w="4252"/>
      </w:tblGrid>
      <w:tr>
        <w:trPr>
          <w:tblHeader w:val="true"/>
        </w:trPr>
        <w:tc>
          <w:tcPr>
            <w:tcW w:type="dxa" w:w="3326"/>
            <w:shd w:fill="15362A"/>
            <w:vAlign w:val="center"/>
            <w:tcMar>
              <w:top w:w="80" w:type="dxa"/>
              <w:start w:w="90" w:type="dxa"/>
              <w:bottom w:w="80" w:type="dxa"/>
              <w:end w:w="90" w:type="dxa"/>
            </w:tcMar>
          </w:tcPr>
          <w:p>
            <w:pPr>
              <w:spacing w:after="0"/>
            </w:pPr>
            <w:r/>
            <w:r>
              <w:rPr>
                <w:rFonts w:ascii="Arial" w:hAnsi="Arial"/>
                <w:b/>
                <w:color w:val="FFFFFF"/>
                <w:sz w:val="16"/>
              </w:rPr>
              <w:t>Stage</w:t>
            </w:r>
          </w:p>
        </w:tc>
        <w:tc>
          <w:tcPr>
            <w:tcW w:type="dxa" w:w="3326"/>
            <w:shd w:fill="15362A"/>
            <w:vAlign w:val="center"/>
            <w:tcMar>
              <w:top w:w="80" w:type="dxa"/>
              <w:start w:w="90" w:type="dxa"/>
              <w:bottom w:w="80" w:type="dxa"/>
              <w:end w:w="90" w:type="dxa"/>
            </w:tcMar>
          </w:tcPr>
          <w:p>
            <w:pPr>
              <w:spacing w:after="0"/>
            </w:pPr>
            <w:r/>
            <w:r>
              <w:rPr>
                <w:rFonts w:ascii="Arial" w:hAnsi="Arial"/>
                <w:b/>
                <w:color w:val="FFFFFF"/>
                <w:sz w:val="16"/>
              </w:rPr>
              <w:t>What changes</w:t>
            </w:r>
          </w:p>
        </w:tc>
        <w:tc>
          <w:tcPr>
            <w:tcW w:type="dxa" w:w="3326"/>
            <w:shd w:fill="15362A"/>
            <w:vAlign w:val="center"/>
            <w:tcMar>
              <w:top w:w="80" w:type="dxa"/>
              <w:start w:w="90" w:type="dxa"/>
              <w:bottom w:w="80" w:type="dxa"/>
              <w:end w:w="90" w:type="dxa"/>
            </w:tcMar>
          </w:tcPr>
          <w:p>
            <w:pPr>
              <w:spacing w:after="0"/>
            </w:pPr>
            <w:r/>
            <w:r>
              <w:rPr>
                <w:rFonts w:ascii="Arial" w:hAnsi="Arial"/>
                <w:b/>
                <w:color w:val="FFFFFF"/>
                <w:sz w:val="16"/>
              </w:rPr>
              <w:t>Benefits that can be measured</w:t>
            </w:r>
          </w:p>
        </w:tc>
      </w:tr>
      <w:tr>
        <w:tc>
          <w:tcPr>
            <w:tcW w:type="dxa" w:w="1247"/>
            <w:vAlign w:val="center"/>
            <w:tcMar>
              <w:top w:w="80" w:type="dxa"/>
              <w:start w:w="90" w:type="dxa"/>
              <w:bottom w:w="80" w:type="dxa"/>
              <w:end w:w="90" w:type="dxa"/>
            </w:tcMar>
          </w:tcPr>
          <w:p>
            <w:pPr>
              <w:spacing w:after="0"/>
            </w:pPr>
            <w:r/>
            <w:r>
              <w:rPr>
                <w:rFonts w:ascii="Arial" w:hAnsi="Arial"/>
                <w:b/>
                <w:color w:val="183128"/>
                <w:sz w:val="16"/>
              </w:rPr>
              <w:t>Day 1</w:t>
            </w:r>
          </w:p>
        </w:tc>
        <w:tc>
          <w:tcPr>
            <w:tcW w:type="dxa" w:w="3969"/>
            <w:vAlign w:val="center"/>
            <w:tcMar>
              <w:top w:w="80" w:type="dxa"/>
              <w:start w:w="90" w:type="dxa"/>
              <w:bottom w:w="80" w:type="dxa"/>
              <w:end w:w="90" w:type="dxa"/>
            </w:tcMar>
          </w:tcPr>
          <w:p>
            <w:pPr>
              <w:spacing w:after="0"/>
            </w:pPr>
            <w:r/>
            <w:r>
              <w:rPr>
                <w:rFonts w:ascii="Arial" w:hAnsi="Arial"/>
                <w:b w:val="0"/>
                <w:color w:val="183128"/>
                <w:sz w:val="16"/>
              </w:rPr>
              <w:t>Retain veteran trees, hedges, shade, wet features and permanent cover.</w:t>
            </w:r>
          </w:p>
        </w:tc>
        <w:tc>
          <w:tcPr>
            <w:tcW w:type="dxa" w:w="4252"/>
            <w:vAlign w:val="center"/>
            <w:tcMar>
              <w:top w:w="80" w:type="dxa"/>
              <w:start w:w="90" w:type="dxa"/>
              <w:bottom w:w="80" w:type="dxa"/>
              <w:end w:w="90" w:type="dxa"/>
            </w:tcMar>
          </w:tcPr>
          <w:p>
            <w:pPr>
              <w:spacing w:after="0"/>
            </w:pPr>
            <w:r/>
            <w:r>
              <w:rPr>
                <w:rFonts w:ascii="Arial" w:hAnsi="Arial"/>
                <w:b w:val="0"/>
                <w:color w:val="183128"/>
                <w:sz w:val="16"/>
              </w:rPr>
              <w:t>Avoided canopy loss; mapped fire/water assets; protected habitat.</w:t>
            </w:r>
          </w:p>
        </w:tc>
      </w:tr>
      <w:tr>
        <w:tc>
          <w:tcPr>
            <w:tcW w:type="dxa" w:w="1247"/>
            <w:shd w:fill="F1F3EF"/>
            <w:vAlign w:val="center"/>
            <w:tcMar>
              <w:top w:w="80" w:type="dxa"/>
              <w:start w:w="90" w:type="dxa"/>
              <w:bottom w:w="80" w:type="dxa"/>
              <w:end w:w="90" w:type="dxa"/>
            </w:tcMar>
          </w:tcPr>
          <w:p>
            <w:pPr>
              <w:spacing w:after="0"/>
            </w:pPr>
            <w:r/>
            <w:r>
              <w:rPr>
                <w:rFonts w:ascii="Arial" w:hAnsi="Arial"/>
                <w:b/>
                <w:color w:val="183128"/>
                <w:sz w:val="16"/>
              </w:rPr>
              <w:t>Weeks</w:t>
            </w:r>
          </w:p>
        </w:tc>
        <w:tc>
          <w:tcPr>
            <w:tcW w:type="dxa" w:w="3969"/>
            <w:shd w:fill="F1F3EF"/>
            <w:vAlign w:val="center"/>
            <w:tcMar>
              <w:top w:w="80" w:type="dxa"/>
              <w:start w:w="90" w:type="dxa"/>
              <w:bottom w:w="80" w:type="dxa"/>
              <w:end w:w="90" w:type="dxa"/>
            </w:tcMar>
          </w:tcPr>
          <w:p>
            <w:pPr>
              <w:spacing w:after="0"/>
            </w:pPr>
            <w:r/>
            <w:r>
              <w:rPr>
                <w:rFonts w:ascii="Arial" w:hAnsi="Arial"/>
                <w:b w:val="0"/>
                <w:color w:val="183128"/>
                <w:sz w:val="16"/>
              </w:rPr>
              <w:t>Mulch and living groundcover protect exposed soil.</w:t>
            </w:r>
          </w:p>
        </w:tc>
        <w:tc>
          <w:tcPr>
            <w:tcW w:type="dxa" w:w="4252"/>
            <w:shd w:fill="F1F3EF"/>
            <w:vAlign w:val="center"/>
            <w:tcMar>
              <w:top w:w="80" w:type="dxa"/>
              <w:start w:w="90" w:type="dxa"/>
              <w:bottom w:w="80" w:type="dxa"/>
              <w:end w:w="90" w:type="dxa"/>
            </w:tcMar>
          </w:tcPr>
          <w:p>
            <w:pPr>
              <w:spacing w:after="0"/>
            </w:pPr>
            <w:r/>
            <w:r>
              <w:rPr>
                <w:rFonts w:ascii="Arial" w:hAnsi="Arial"/>
                <w:b w:val="0"/>
                <w:color w:val="183128"/>
                <w:sz w:val="16"/>
              </w:rPr>
              <w:t>Lower surface temperature, less splash/erosion, better infiltration conditions.</w:t>
            </w:r>
          </w:p>
        </w:tc>
      </w:tr>
      <w:tr>
        <w:tc>
          <w:tcPr>
            <w:tcW w:type="dxa" w:w="1247"/>
            <w:vAlign w:val="center"/>
            <w:tcMar>
              <w:top w:w="80" w:type="dxa"/>
              <w:start w:w="90" w:type="dxa"/>
              <w:bottom w:w="80" w:type="dxa"/>
              <w:end w:w="90" w:type="dxa"/>
            </w:tcMar>
          </w:tcPr>
          <w:p>
            <w:pPr>
              <w:spacing w:after="0"/>
            </w:pPr>
            <w:r/>
            <w:r>
              <w:rPr>
                <w:rFonts w:ascii="Arial" w:hAnsi="Arial"/>
                <w:b/>
                <w:color w:val="183128"/>
                <w:sz w:val="16"/>
              </w:rPr>
              <w:t>Months</w:t>
            </w:r>
          </w:p>
        </w:tc>
        <w:tc>
          <w:tcPr>
            <w:tcW w:type="dxa" w:w="3969"/>
            <w:vAlign w:val="center"/>
            <w:tcMar>
              <w:top w:w="80" w:type="dxa"/>
              <w:start w:w="90" w:type="dxa"/>
              <w:bottom w:w="80" w:type="dxa"/>
              <w:end w:w="90" w:type="dxa"/>
            </w:tcMar>
          </w:tcPr>
          <w:p>
            <w:pPr>
              <w:spacing w:after="0"/>
            </w:pPr>
            <w:r/>
            <w:r>
              <w:rPr>
                <w:rFonts w:ascii="Arial" w:hAnsi="Arial"/>
                <w:b w:val="0"/>
                <w:color w:val="183128"/>
                <w:sz w:val="16"/>
              </w:rPr>
              <w:t>Young roots, shelter and flowering strips establish.</w:t>
            </w:r>
          </w:p>
        </w:tc>
        <w:tc>
          <w:tcPr>
            <w:tcW w:type="dxa" w:w="4252"/>
            <w:vAlign w:val="center"/>
            <w:tcMar>
              <w:top w:w="80" w:type="dxa"/>
              <w:start w:w="90" w:type="dxa"/>
              <w:bottom w:w="80" w:type="dxa"/>
              <w:end w:w="90" w:type="dxa"/>
            </w:tcMar>
          </w:tcPr>
          <w:p>
            <w:pPr>
              <w:spacing w:after="0"/>
            </w:pPr>
            <w:r/>
            <w:r>
              <w:rPr>
                <w:rFonts w:ascii="Arial" w:hAnsi="Arial"/>
                <w:b w:val="0"/>
                <w:color w:val="183128"/>
                <w:sz w:val="16"/>
              </w:rPr>
              <w:t>Wind reduction, root channels, pollinator use, runoff observations.</w:t>
            </w:r>
          </w:p>
        </w:tc>
      </w:tr>
      <w:tr>
        <w:tc>
          <w:tcPr>
            <w:tcW w:type="dxa" w:w="1247"/>
            <w:shd w:fill="F1F3EF"/>
            <w:vAlign w:val="center"/>
            <w:tcMar>
              <w:top w:w="80" w:type="dxa"/>
              <w:start w:w="90" w:type="dxa"/>
              <w:bottom w:w="80" w:type="dxa"/>
              <w:end w:w="90" w:type="dxa"/>
            </w:tcMar>
          </w:tcPr>
          <w:p>
            <w:pPr>
              <w:spacing w:after="0"/>
            </w:pPr>
            <w:r/>
            <w:r>
              <w:rPr>
                <w:rFonts w:ascii="Arial" w:hAnsi="Arial"/>
                <w:b/>
                <w:color w:val="183128"/>
                <w:sz w:val="16"/>
              </w:rPr>
              <w:t>1–2 years</w:t>
            </w:r>
          </w:p>
        </w:tc>
        <w:tc>
          <w:tcPr>
            <w:tcW w:type="dxa" w:w="3969"/>
            <w:shd w:fill="F1F3EF"/>
            <w:vAlign w:val="center"/>
            <w:tcMar>
              <w:top w:w="80" w:type="dxa"/>
              <w:start w:w="90" w:type="dxa"/>
              <w:bottom w:w="80" w:type="dxa"/>
              <w:end w:w="90" w:type="dxa"/>
            </w:tcMar>
          </w:tcPr>
          <w:p>
            <w:pPr>
              <w:spacing w:after="0"/>
            </w:pPr>
            <w:r/>
            <w:r>
              <w:rPr>
                <w:rFonts w:ascii="Arial" w:hAnsi="Arial"/>
                <w:b w:val="0"/>
                <w:color w:val="183128"/>
                <w:sz w:val="16"/>
              </w:rPr>
              <w:t>Early fruit, shrubs and herbs produce; shade footprint grows.</w:t>
            </w:r>
          </w:p>
        </w:tc>
        <w:tc>
          <w:tcPr>
            <w:tcW w:type="dxa" w:w="4252"/>
            <w:shd w:fill="F1F3EF"/>
            <w:vAlign w:val="center"/>
            <w:tcMar>
              <w:top w:w="80" w:type="dxa"/>
              <w:start w:w="90" w:type="dxa"/>
              <w:bottom w:w="80" w:type="dxa"/>
              <w:end w:w="90" w:type="dxa"/>
            </w:tcMar>
          </w:tcPr>
          <w:p>
            <w:pPr>
              <w:spacing w:after="0"/>
            </w:pPr>
            <w:r/>
            <w:r>
              <w:rPr>
                <w:rFonts w:ascii="Arial" w:hAnsi="Arial"/>
                <w:b w:val="0"/>
                <w:color w:val="183128"/>
                <w:sz w:val="16"/>
              </w:rPr>
              <w:t>Kg harvested, canopy area, survival, irrigation and pesticide records.</w:t>
            </w:r>
          </w:p>
        </w:tc>
      </w:tr>
      <w:tr>
        <w:tc>
          <w:tcPr>
            <w:tcW w:type="dxa" w:w="1247"/>
            <w:vAlign w:val="center"/>
            <w:tcMar>
              <w:top w:w="80" w:type="dxa"/>
              <w:start w:w="90" w:type="dxa"/>
              <w:bottom w:w="80" w:type="dxa"/>
              <w:end w:w="90" w:type="dxa"/>
            </w:tcMar>
          </w:tcPr>
          <w:p>
            <w:pPr>
              <w:spacing w:after="0"/>
            </w:pPr>
            <w:r/>
            <w:r>
              <w:rPr>
                <w:rFonts w:ascii="Arial" w:hAnsi="Arial"/>
                <w:b/>
                <w:color w:val="183128"/>
                <w:sz w:val="16"/>
              </w:rPr>
              <w:t>2–5 years</w:t>
            </w:r>
          </w:p>
        </w:tc>
        <w:tc>
          <w:tcPr>
            <w:tcW w:type="dxa" w:w="3969"/>
            <w:vAlign w:val="center"/>
            <w:tcMar>
              <w:top w:w="80" w:type="dxa"/>
              <w:start w:w="90" w:type="dxa"/>
              <w:bottom w:w="80" w:type="dxa"/>
              <w:end w:w="90" w:type="dxa"/>
            </w:tcMar>
          </w:tcPr>
          <w:p>
            <w:pPr>
              <w:spacing w:after="0"/>
            </w:pPr>
            <w:r/>
            <w:r>
              <w:rPr>
                <w:rFonts w:ascii="Arial" w:hAnsi="Arial"/>
                <w:b w:val="0"/>
                <w:color w:val="183128"/>
                <w:sz w:val="16"/>
              </w:rPr>
              <w:t>Orchard production rises and some nuts begin.</w:t>
            </w:r>
          </w:p>
        </w:tc>
        <w:tc>
          <w:tcPr>
            <w:tcW w:type="dxa" w:w="4252"/>
            <w:vAlign w:val="center"/>
            <w:tcMar>
              <w:top w:w="80" w:type="dxa"/>
              <w:start w:w="90" w:type="dxa"/>
              <w:bottom w:w="80" w:type="dxa"/>
              <w:end w:w="90" w:type="dxa"/>
            </w:tcMar>
          </w:tcPr>
          <w:p>
            <w:pPr>
              <w:spacing w:after="0"/>
            </w:pPr>
            <w:r/>
            <w:r>
              <w:rPr>
                <w:rFonts w:ascii="Arial" w:hAnsi="Arial"/>
                <w:b w:val="0"/>
                <w:color w:val="183128"/>
                <w:sz w:val="16"/>
              </w:rPr>
              <w:t>Diversified revenue, soil cover, microclimate, habitat and water indicators.</w:t>
            </w:r>
          </w:p>
        </w:tc>
      </w:tr>
      <w:tr>
        <w:tc>
          <w:tcPr>
            <w:tcW w:type="dxa" w:w="1247"/>
            <w:shd w:fill="F1F3EF"/>
            <w:vAlign w:val="center"/>
            <w:tcMar>
              <w:top w:w="80" w:type="dxa"/>
              <w:start w:w="90" w:type="dxa"/>
              <w:bottom w:w="80" w:type="dxa"/>
              <w:end w:w="90" w:type="dxa"/>
            </w:tcMar>
          </w:tcPr>
          <w:p>
            <w:pPr>
              <w:spacing w:after="0"/>
            </w:pPr>
            <w:r/>
            <w:r>
              <w:rPr>
                <w:rFonts w:ascii="Arial" w:hAnsi="Arial"/>
                <w:b/>
                <w:color w:val="183128"/>
                <w:sz w:val="16"/>
              </w:rPr>
              <w:t>5+ years</w:t>
            </w:r>
          </w:p>
        </w:tc>
        <w:tc>
          <w:tcPr>
            <w:tcW w:type="dxa" w:w="3969"/>
            <w:shd w:fill="F1F3EF"/>
            <w:vAlign w:val="center"/>
            <w:tcMar>
              <w:top w:w="80" w:type="dxa"/>
              <w:start w:w="90" w:type="dxa"/>
              <w:bottom w:w="80" w:type="dxa"/>
              <w:end w:w="90" w:type="dxa"/>
            </w:tcMar>
          </w:tcPr>
          <w:p>
            <w:pPr>
              <w:spacing w:after="0"/>
            </w:pPr>
            <w:r/>
            <w:r>
              <w:rPr>
                <w:rFonts w:ascii="Arial" w:hAnsi="Arial"/>
                <w:b w:val="0"/>
                <w:color w:val="183128"/>
                <w:sz w:val="16"/>
              </w:rPr>
              <w:t>Mature perennial structure provides long-lived services.</w:t>
            </w:r>
          </w:p>
        </w:tc>
        <w:tc>
          <w:tcPr>
            <w:tcW w:type="dxa" w:w="4252"/>
            <w:shd w:fill="F1F3EF"/>
            <w:vAlign w:val="center"/>
            <w:tcMar>
              <w:top w:w="80" w:type="dxa"/>
              <w:start w:w="90" w:type="dxa"/>
              <w:bottom w:w="80" w:type="dxa"/>
              <w:end w:w="90" w:type="dxa"/>
            </w:tcMar>
          </w:tcPr>
          <w:p>
            <w:pPr>
              <w:spacing w:after="0"/>
            </w:pPr>
            <w:r/>
            <w:r>
              <w:rPr>
                <w:rFonts w:ascii="Arial" w:hAnsi="Arial"/>
                <w:b w:val="0"/>
                <w:color w:val="183128"/>
                <w:sz w:val="16"/>
              </w:rPr>
              <w:t>Stable output, lower disturbance, carbon stock and landscape-scale resilience.</w:t>
            </w:r>
          </w:p>
        </w:tc>
      </w:tr>
    </w:tbl>
    <w:p>
      <w:pPr>
        <w:spacing w:after="0"/>
      </w:pPr>
    </w:p>
    <w:p>
      <w:r>
        <w:t>Cooling starts before the first crop. Leaves intercept radiation and transpire water; mulch and living cover reduce direct solar loading of bare ground. The size of the effect depends on canopy, soil moisture, weather, surface colour and wind, so pilot sites should measure shaded and unshaded surface and soil temperatures rather than quote a universal number.</w:t>
      </w:r>
    </w:p>
    <w:p>
      <w:pPr>
        <w:pStyle w:val="Heading1"/>
      </w:pPr>
      <w:r>
        <w:t>1.2 Layout patterns, grants and operating access</w:t>
      </w:r>
    </w:p>
    <w:tbl>
      <w:tblPr>
        <w:tblStyle w:val="TableGrid"/>
        <w:tblW w:type="auto" w:w="0"/>
        <w:jc w:val="center"/>
        <w:tblLayout w:type="fixed"/>
        <w:tblLook w:firstColumn="1" w:firstRow="1" w:lastColumn="0" w:lastRow="0" w:noHBand="0" w:noVBand="1" w:val="04A0"/>
      </w:tblPr>
      <w:tblGrid>
        <w:gridCol w:w="1814"/>
        <w:gridCol w:w="3231"/>
        <w:gridCol w:w="4422"/>
      </w:tblGrid>
      <w:tr>
        <w:trPr>
          <w:tblHeader w:val="true"/>
        </w:trPr>
        <w:tc>
          <w:tcPr>
            <w:tcW w:type="dxa" w:w="3326"/>
            <w:shd w:fill="15362A"/>
            <w:vAlign w:val="center"/>
            <w:tcMar>
              <w:top w:w="80" w:type="dxa"/>
              <w:start w:w="90" w:type="dxa"/>
              <w:bottom w:w="80" w:type="dxa"/>
              <w:end w:w="90" w:type="dxa"/>
            </w:tcMar>
          </w:tcPr>
          <w:p>
            <w:pPr>
              <w:spacing w:after="0"/>
            </w:pPr>
            <w:r/>
            <w:r>
              <w:rPr>
                <w:rFonts w:ascii="Arial" w:hAnsi="Arial"/>
                <w:b/>
                <w:color w:val="FFFFFF"/>
                <w:sz w:val="16"/>
              </w:rPr>
              <w:t>Pattern</w:t>
            </w:r>
          </w:p>
        </w:tc>
        <w:tc>
          <w:tcPr>
            <w:tcW w:type="dxa" w:w="3326"/>
            <w:shd w:fill="15362A"/>
            <w:vAlign w:val="center"/>
            <w:tcMar>
              <w:top w:w="80" w:type="dxa"/>
              <w:start w:w="90" w:type="dxa"/>
              <w:bottom w:w="80" w:type="dxa"/>
              <w:end w:w="90" w:type="dxa"/>
            </w:tcMar>
          </w:tcPr>
          <w:p>
            <w:pPr>
              <w:spacing w:after="0"/>
            </w:pPr>
            <w:r/>
            <w:r>
              <w:rPr>
                <w:rFonts w:ascii="Arial" w:hAnsi="Arial"/>
                <w:b/>
                <w:color w:val="FFFFFF"/>
                <w:sz w:val="16"/>
              </w:rPr>
              <w:t>Best use</w:t>
            </w:r>
          </w:p>
        </w:tc>
        <w:tc>
          <w:tcPr>
            <w:tcW w:type="dxa" w:w="3326"/>
            <w:shd w:fill="15362A"/>
            <w:vAlign w:val="center"/>
            <w:tcMar>
              <w:top w:w="80" w:type="dxa"/>
              <w:start w:w="90" w:type="dxa"/>
              <w:bottom w:w="80" w:type="dxa"/>
              <w:end w:w="90" w:type="dxa"/>
            </w:tcMar>
          </w:tcPr>
          <w:p>
            <w:pPr>
              <w:spacing w:after="0"/>
            </w:pPr>
            <w:r/>
            <w:r>
              <w:rPr>
                <w:rFonts w:ascii="Arial" w:hAnsi="Arial"/>
                <w:b/>
                <w:color w:val="FFFFFF"/>
                <w:sz w:val="16"/>
              </w:rPr>
              <w:t>Design notes</w:t>
            </w:r>
          </w:p>
        </w:tc>
      </w:tr>
      <w:tr>
        <w:tc>
          <w:tcPr>
            <w:tcW w:type="dxa" w:w="1814"/>
            <w:vAlign w:val="center"/>
            <w:tcMar>
              <w:top w:w="80" w:type="dxa"/>
              <w:start w:w="90" w:type="dxa"/>
              <w:bottom w:w="80" w:type="dxa"/>
              <w:end w:w="90" w:type="dxa"/>
            </w:tcMar>
          </w:tcPr>
          <w:p>
            <w:pPr>
              <w:spacing w:after="0"/>
            </w:pPr>
            <w:r/>
            <w:r>
              <w:rPr>
                <w:rFonts w:ascii="Arial" w:hAnsi="Arial"/>
                <w:b/>
                <w:color w:val="183128"/>
                <w:sz w:val="16"/>
              </w:rPr>
              <w:t>Alley cropping</w:t>
            </w:r>
          </w:p>
        </w:tc>
        <w:tc>
          <w:tcPr>
            <w:tcW w:type="dxa" w:w="3231"/>
            <w:vAlign w:val="center"/>
            <w:tcMar>
              <w:top w:w="80" w:type="dxa"/>
              <w:start w:w="90" w:type="dxa"/>
              <w:bottom w:w="80" w:type="dxa"/>
              <w:end w:w="90" w:type="dxa"/>
            </w:tcMar>
          </w:tcPr>
          <w:p>
            <w:pPr>
              <w:spacing w:after="0"/>
            </w:pPr>
            <w:r/>
            <w:r>
              <w:rPr>
                <w:rFonts w:ascii="Arial" w:hAnsi="Arial"/>
                <w:b w:val="0"/>
                <w:color w:val="183128"/>
                <w:sz w:val="16"/>
              </w:rPr>
              <w:t>Arable or horticultural farms that must keep machinery access.</w:t>
            </w:r>
          </w:p>
        </w:tc>
        <w:tc>
          <w:tcPr>
            <w:tcW w:type="dxa" w:w="4422"/>
            <w:vAlign w:val="center"/>
            <w:tcMar>
              <w:top w:w="80" w:type="dxa"/>
              <w:start w:w="90" w:type="dxa"/>
              <w:bottom w:w="80" w:type="dxa"/>
              <w:end w:w="90" w:type="dxa"/>
            </w:tcMar>
          </w:tcPr>
          <w:p>
            <w:pPr>
              <w:spacing w:after="0"/>
            </w:pPr>
            <w:r/>
            <w:r>
              <w:rPr>
                <w:rFonts w:ascii="Arial" w:hAnsi="Arial"/>
                <w:b w:val="0"/>
                <w:color w:val="183128"/>
                <w:sz w:val="16"/>
              </w:rPr>
              <w:t>Orient and space rows around real equipment, tramlines, turning and light. Planned England alleys may be 10–51 m; verify the current action.</w:t>
            </w:r>
          </w:p>
        </w:tc>
      </w:tr>
      <w:tr>
        <w:tc>
          <w:tcPr>
            <w:tcW w:type="dxa" w:w="1814"/>
            <w:shd w:fill="F1F3EF"/>
            <w:vAlign w:val="center"/>
            <w:tcMar>
              <w:top w:w="80" w:type="dxa"/>
              <w:start w:w="90" w:type="dxa"/>
              <w:bottom w:w="80" w:type="dxa"/>
              <w:end w:w="90" w:type="dxa"/>
            </w:tcMar>
          </w:tcPr>
          <w:p>
            <w:pPr>
              <w:spacing w:after="0"/>
            </w:pPr>
            <w:r/>
            <w:r>
              <w:rPr>
                <w:rFonts w:ascii="Arial" w:hAnsi="Arial"/>
                <w:b/>
                <w:color w:val="183128"/>
                <w:sz w:val="16"/>
              </w:rPr>
              <w:t>Silvopasture</w:t>
            </w:r>
          </w:p>
        </w:tc>
        <w:tc>
          <w:tcPr>
            <w:tcW w:type="dxa" w:w="3231"/>
            <w:shd w:fill="F1F3EF"/>
            <w:vAlign w:val="center"/>
            <w:tcMar>
              <w:top w:w="80" w:type="dxa"/>
              <w:start w:w="90" w:type="dxa"/>
              <w:bottom w:w="80" w:type="dxa"/>
              <w:end w:w="90" w:type="dxa"/>
            </w:tcMar>
          </w:tcPr>
          <w:p>
            <w:pPr>
              <w:spacing w:after="0"/>
            </w:pPr>
            <w:r/>
            <w:r>
              <w:rPr>
                <w:rFonts w:ascii="Arial" w:hAnsi="Arial"/>
                <w:b w:val="0"/>
                <w:color w:val="183128"/>
                <w:sz w:val="16"/>
              </w:rPr>
              <w:t>Livestock shade, shelter and fodder.</w:t>
            </w:r>
          </w:p>
        </w:tc>
        <w:tc>
          <w:tcPr>
            <w:tcW w:type="dxa" w:w="4422"/>
            <w:shd w:fill="F1F3EF"/>
            <w:vAlign w:val="center"/>
            <w:tcMar>
              <w:top w:w="80" w:type="dxa"/>
              <w:start w:w="90" w:type="dxa"/>
              <w:bottom w:w="80" w:type="dxa"/>
              <w:end w:w="90" w:type="dxa"/>
            </w:tcMar>
          </w:tcPr>
          <w:p>
            <w:pPr>
              <w:spacing w:after="0"/>
            </w:pPr>
            <w:r/>
            <w:r>
              <w:rPr>
                <w:rFonts w:ascii="Arial" w:hAnsi="Arial"/>
                <w:b w:val="0"/>
                <w:color w:val="183128"/>
                <w:sz w:val="16"/>
              </w:rPr>
              <w:t>Guard young trees; manage grazing timing and soil compaction; keep water points from tree bases.</w:t>
            </w:r>
          </w:p>
        </w:tc>
      </w:tr>
      <w:tr>
        <w:tc>
          <w:tcPr>
            <w:tcW w:type="dxa" w:w="1814"/>
            <w:vAlign w:val="center"/>
            <w:tcMar>
              <w:top w:w="80" w:type="dxa"/>
              <w:start w:w="90" w:type="dxa"/>
              <w:bottom w:w="80" w:type="dxa"/>
              <w:end w:w="90" w:type="dxa"/>
            </w:tcMar>
          </w:tcPr>
          <w:p>
            <w:pPr>
              <w:spacing w:after="0"/>
            </w:pPr>
            <w:r/>
            <w:r>
              <w:rPr>
                <w:rFonts w:ascii="Arial" w:hAnsi="Arial"/>
                <w:b/>
                <w:color w:val="183128"/>
                <w:sz w:val="16"/>
              </w:rPr>
              <w:t>Orchard + understory</w:t>
            </w:r>
          </w:p>
        </w:tc>
        <w:tc>
          <w:tcPr>
            <w:tcW w:type="dxa" w:w="3231"/>
            <w:vAlign w:val="center"/>
            <w:tcMar>
              <w:top w:w="80" w:type="dxa"/>
              <w:start w:w="90" w:type="dxa"/>
              <w:bottom w:w="80" w:type="dxa"/>
              <w:end w:w="90" w:type="dxa"/>
            </w:tcMar>
          </w:tcPr>
          <w:p>
            <w:pPr>
              <w:spacing w:after="0"/>
            </w:pPr>
            <w:r/>
            <w:r>
              <w:rPr>
                <w:rFonts w:ascii="Arial" w:hAnsi="Arial"/>
                <w:b w:val="0"/>
                <w:color w:val="183128"/>
                <w:sz w:val="16"/>
              </w:rPr>
              <w:t>High-diversity food and direct sales.</w:t>
            </w:r>
          </w:p>
        </w:tc>
        <w:tc>
          <w:tcPr>
            <w:tcW w:type="dxa" w:w="4422"/>
            <w:vAlign w:val="center"/>
            <w:tcMar>
              <w:top w:w="80" w:type="dxa"/>
              <w:start w:w="90" w:type="dxa"/>
              <w:bottom w:w="80" w:type="dxa"/>
              <w:end w:w="90" w:type="dxa"/>
            </w:tcMar>
          </w:tcPr>
          <w:p>
            <w:pPr>
              <w:spacing w:after="0"/>
            </w:pPr>
            <w:r/>
            <w:r>
              <w:rPr>
                <w:rFonts w:ascii="Arial" w:hAnsi="Arial"/>
                <w:b w:val="0"/>
                <w:color w:val="183128"/>
                <w:sz w:val="16"/>
              </w:rPr>
              <w:t>Fruit/nuts above soft fruit, perennial vegetables, herbs and managed groundcover.</w:t>
            </w:r>
          </w:p>
        </w:tc>
      </w:tr>
      <w:tr>
        <w:tc>
          <w:tcPr>
            <w:tcW w:type="dxa" w:w="1814"/>
            <w:shd w:fill="F1F3EF"/>
            <w:vAlign w:val="center"/>
            <w:tcMar>
              <w:top w:w="80" w:type="dxa"/>
              <w:start w:w="90" w:type="dxa"/>
              <w:bottom w:w="80" w:type="dxa"/>
              <w:end w:w="90" w:type="dxa"/>
            </w:tcMar>
          </w:tcPr>
          <w:p>
            <w:pPr>
              <w:spacing w:after="0"/>
            </w:pPr>
            <w:r/>
            <w:r>
              <w:rPr>
                <w:rFonts w:ascii="Arial" w:hAnsi="Arial"/>
                <w:b/>
                <w:color w:val="183128"/>
                <w:sz w:val="16"/>
              </w:rPr>
              <w:t>Riparian/runoff belt</w:t>
            </w:r>
          </w:p>
        </w:tc>
        <w:tc>
          <w:tcPr>
            <w:tcW w:type="dxa" w:w="3231"/>
            <w:shd w:fill="F1F3EF"/>
            <w:vAlign w:val="center"/>
            <w:tcMar>
              <w:top w:w="80" w:type="dxa"/>
              <w:start w:w="90" w:type="dxa"/>
              <w:bottom w:w="80" w:type="dxa"/>
              <w:end w:w="90" w:type="dxa"/>
            </w:tcMar>
          </w:tcPr>
          <w:p>
            <w:pPr>
              <w:spacing w:after="0"/>
            </w:pPr>
            <w:r/>
            <w:r>
              <w:rPr>
                <w:rFonts w:ascii="Arial" w:hAnsi="Arial"/>
                <w:b w:val="0"/>
                <w:color w:val="183128"/>
                <w:sz w:val="16"/>
              </w:rPr>
              <w:t>Water quality, flow interception and erosion control.</w:t>
            </w:r>
          </w:p>
        </w:tc>
        <w:tc>
          <w:tcPr>
            <w:tcW w:type="dxa" w:w="4422"/>
            <w:shd w:fill="F1F3EF"/>
            <w:vAlign w:val="center"/>
            <w:tcMar>
              <w:top w:w="80" w:type="dxa"/>
              <w:start w:w="90" w:type="dxa"/>
              <w:bottom w:w="80" w:type="dxa"/>
              <w:end w:w="90" w:type="dxa"/>
            </w:tcMar>
          </w:tcPr>
          <w:p>
            <w:pPr>
              <w:spacing w:after="0"/>
            </w:pPr>
            <w:r/>
            <w:r>
              <w:rPr>
                <w:rFonts w:ascii="Arial" w:hAnsi="Arial"/>
                <w:b w:val="0"/>
                <w:color w:val="183128"/>
                <w:sz w:val="16"/>
              </w:rPr>
              <w:t>Use contour, buffer and flood-risk evidence; preserve access and drainage function.</w:t>
            </w:r>
          </w:p>
        </w:tc>
      </w:tr>
      <w:tr>
        <w:tc>
          <w:tcPr>
            <w:tcW w:type="dxa" w:w="1814"/>
            <w:vAlign w:val="center"/>
            <w:tcMar>
              <w:top w:w="80" w:type="dxa"/>
              <w:start w:w="90" w:type="dxa"/>
              <w:bottom w:w="80" w:type="dxa"/>
              <w:end w:w="90" w:type="dxa"/>
            </w:tcMar>
          </w:tcPr>
          <w:p>
            <w:pPr>
              <w:spacing w:after="0"/>
            </w:pPr>
            <w:r/>
            <w:r>
              <w:rPr>
                <w:rFonts w:ascii="Arial" w:hAnsi="Arial"/>
                <w:b/>
                <w:color w:val="183128"/>
                <w:sz w:val="16"/>
              </w:rPr>
              <w:t>Hedge/shelterbelt</w:t>
            </w:r>
          </w:p>
        </w:tc>
        <w:tc>
          <w:tcPr>
            <w:tcW w:type="dxa" w:w="3231"/>
            <w:vAlign w:val="center"/>
            <w:tcMar>
              <w:top w:w="80" w:type="dxa"/>
              <w:start w:w="90" w:type="dxa"/>
              <w:bottom w:w="80" w:type="dxa"/>
              <w:end w:w="90" w:type="dxa"/>
            </w:tcMar>
          </w:tcPr>
          <w:p>
            <w:pPr>
              <w:spacing w:after="0"/>
            </w:pPr>
            <w:r/>
            <w:r>
              <w:rPr>
                <w:rFonts w:ascii="Arial" w:hAnsi="Arial"/>
                <w:b w:val="0"/>
                <w:color w:val="183128"/>
                <w:sz w:val="16"/>
              </w:rPr>
              <w:t>Low land-take entry point.</w:t>
            </w:r>
          </w:p>
        </w:tc>
        <w:tc>
          <w:tcPr>
            <w:tcW w:type="dxa" w:w="4422"/>
            <w:vAlign w:val="center"/>
            <w:tcMar>
              <w:top w:w="80" w:type="dxa"/>
              <w:start w:w="90" w:type="dxa"/>
              <w:bottom w:w="80" w:type="dxa"/>
              <w:end w:w="90" w:type="dxa"/>
            </w:tcMar>
          </w:tcPr>
          <w:p>
            <w:pPr>
              <w:spacing w:after="0"/>
            </w:pPr>
            <w:r/>
            <w:r>
              <w:rPr>
                <w:rFonts w:ascii="Arial" w:hAnsi="Arial"/>
                <w:b w:val="0"/>
                <w:color w:val="183128"/>
                <w:sz w:val="16"/>
              </w:rPr>
              <w:t>Edges, corners, wind lines and habitat links; avoid shading high-value crops unexpectedly.</w:t>
            </w:r>
          </w:p>
        </w:tc>
      </w:tr>
    </w:tbl>
    <w:p>
      <w:pPr>
        <w:spacing w:after="0"/>
      </w:pPr>
    </w:p>
    <w:p>
      <w:r>
        <w:t>England’s 2026 agroforestry funding includes planning and tree-establishment actions, but eligibility is specification-dependent. One key nuance is that funded agroforestry fruit trees may require semi-vigorous or vigorous rootstocks. An ultra-dwarf early-bearing orchard may therefore be a useful commercial layer without qualifying for the same action. Wales, Scotland and Northern Ireland operate different schemes and must be checked at application date.</w:t>
      </w:r>
    </w:p>
    <w:p>
      <w:pPr>
        <w:pStyle w:val="Heading1"/>
      </w:pPr>
      <w:r>
        <w:t>1.3 Species and benefit portfolio</w:t>
      </w:r>
    </w:p>
    <w:p>
      <w:r>
        <w:t>“First useful harvest” is an indicative range for healthy, suitably sourced stock with adequate establishment water. It is not a guarantee. Bearing-age trees can shorten the wait but cost more and may transplant less easily. Rootstock, cultivar, pollination partners, frost pockets, soil and pruning materially change timing.</w:t>
      </w:r>
    </w:p>
    <w:tbl>
      <w:tblPr>
        <w:tblStyle w:val="TableGrid"/>
        <w:tblW w:type="auto" w:w="0"/>
        <w:jc w:val="center"/>
        <w:tblLayout w:type="fixed"/>
        <w:tblLook w:firstColumn="1" w:firstRow="1" w:lastColumn="0" w:lastRow="0" w:noHBand="0" w:noVBand="1" w:val="04A0"/>
      </w:tblPr>
      <w:tblGrid>
        <w:gridCol w:w="1417"/>
        <w:gridCol w:w="1587"/>
        <w:gridCol w:w="1304"/>
        <w:gridCol w:w="1814"/>
        <w:gridCol w:w="3402"/>
      </w:tblGrid>
      <w:tr>
        <w:trPr>
          <w:tblHeader w:val="true"/>
        </w:trPr>
        <w:tc>
          <w:tcPr>
            <w:tcW w:type="dxa" w:w="1996"/>
            <w:shd w:fill="15362A"/>
            <w:vAlign w:val="center"/>
            <w:tcMar>
              <w:top w:w="80" w:type="dxa"/>
              <w:start w:w="90" w:type="dxa"/>
              <w:bottom w:w="80" w:type="dxa"/>
              <w:end w:w="90" w:type="dxa"/>
            </w:tcMar>
          </w:tcPr>
          <w:p>
            <w:pPr>
              <w:spacing w:after="0"/>
            </w:pPr>
            <w:r/>
            <w:r>
              <w:rPr>
                <w:rFonts w:ascii="Arial" w:hAnsi="Arial"/>
                <w:b/>
                <w:color w:val="FFFFFF"/>
                <w:sz w:val="14"/>
              </w:rPr>
              <w:t>Species / layer</w:t>
            </w:r>
          </w:p>
        </w:tc>
        <w:tc>
          <w:tcPr>
            <w:tcW w:type="dxa" w:w="1996"/>
            <w:shd w:fill="15362A"/>
            <w:vAlign w:val="center"/>
            <w:tcMar>
              <w:top w:w="80" w:type="dxa"/>
              <w:start w:w="90" w:type="dxa"/>
              <w:bottom w:w="80" w:type="dxa"/>
              <w:end w:w="90" w:type="dxa"/>
            </w:tcMar>
          </w:tcPr>
          <w:p>
            <w:pPr>
              <w:spacing w:after="0"/>
            </w:pPr>
            <w:r/>
            <w:r>
              <w:rPr>
                <w:rFonts w:ascii="Arial" w:hAnsi="Arial"/>
                <w:b/>
                <w:color w:val="FFFFFF"/>
                <w:sz w:val="14"/>
              </w:rPr>
              <w:t>Food role</w:t>
            </w:r>
          </w:p>
        </w:tc>
        <w:tc>
          <w:tcPr>
            <w:tcW w:type="dxa" w:w="1996"/>
            <w:shd w:fill="15362A"/>
            <w:vAlign w:val="center"/>
            <w:tcMar>
              <w:top w:w="80" w:type="dxa"/>
              <w:start w:w="90" w:type="dxa"/>
              <w:bottom w:w="80" w:type="dxa"/>
              <w:end w:w="90" w:type="dxa"/>
            </w:tcMar>
          </w:tcPr>
          <w:p>
            <w:pPr>
              <w:spacing w:after="0"/>
            </w:pPr>
            <w:r/>
            <w:r>
              <w:rPr>
                <w:rFonts w:ascii="Arial" w:hAnsi="Arial"/>
                <w:b/>
                <w:color w:val="FFFFFF"/>
                <w:sz w:val="14"/>
              </w:rPr>
              <w:t>First useful harvest</w:t>
            </w:r>
          </w:p>
        </w:tc>
        <w:tc>
          <w:tcPr>
            <w:tcW w:type="dxa" w:w="1996"/>
            <w:shd w:fill="15362A"/>
            <w:vAlign w:val="center"/>
            <w:tcMar>
              <w:top w:w="80" w:type="dxa"/>
              <w:start w:w="90" w:type="dxa"/>
              <w:bottom w:w="80" w:type="dxa"/>
              <w:end w:w="90" w:type="dxa"/>
            </w:tcMar>
          </w:tcPr>
          <w:p>
            <w:pPr>
              <w:spacing w:after="0"/>
            </w:pPr>
            <w:r/>
            <w:r>
              <w:rPr>
                <w:rFonts w:ascii="Arial" w:hAnsi="Arial"/>
                <w:b/>
                <w:color w:val="FFFFFF"/>
                <w:sz w:val="14"/>
              </w:rPr>
              <w:t>Main benefit</w:t>
            </w:r>
          </w:p>
        </w:tc>
        <w:tc>
          <w:tcPr>
            <w:tcW w:type="dxa" w:w="1996"/>
            <w:shd w:fill="15362A"/>
            <w:vAlign w:val="center"/>
            <w:tcMar>
              <w:top w:w="80" w:type="dxa"/>
              <w:start w:w="90" w:type="dxa"/>
              <w:bottom w:w="80" w:type="dxa"/>
              <w:end w:w="90" w:type="dxa"/>
            </w:tcMar>
          </w:tcPr>
          <w:p>
            <w:pPr>
              <w:spacing w:after="0"/>
            </w:pPr>
            <w:r/>
            <w:r>
              <w:rPr>
                <w:rFonts w:ascii="Arial" w:hAnsi="Arial"/>
                <w:b/>
                <w:color w:val="FFFFFF"/>
                <w:sz w:val="14"/>
              </w:rPr>
              <w:t>UK note / risk</w:t>
            </w:r>
          </w:p>
        </w:tc>
      </w:tr>
      <w:tr>
        <w:tc>
          <w:tcPr>
            <w:tcW w:type="dxa" w:w="1417"/>
            <w:vAlign w:val="center"/>
            <w:tcMar>
              <w:top w:w="80" w:type="dxa"/>
              <w:start w:w="90" w:type="dxa"/>
              <w:bottom w:w="80" w:type="dxa"/>
              <w:end w:w="90" w:type="dxa"/>
            </w:tcMar>
          </w:tcPr>
          <w:p>
            <w:pPr>
              <w:spacing w:after="0"/>
            </w:pPr>
            <w:r/>
            <w:r>
              <w:rPr>
                <w:rFonts w:ascii="Arial" w:hAnsi="Arial"/>
                <w:b/>
                <w:color w:val="183128"/>
                <w:sz w:val="14"/>
              </w:rPr>
              <w:t>Apple</w:t>
            </w:r>
          </w:p>
        </w:tc>
        <w:tc>
          <w:tcPr>
            <w:tcW w:type="dxa" w:w="1587"/>
            <w:vAlign w:val="center"/>
            <w:tcMar>
              <w:top w:w="80" w:type="dxa"/>
              <w:start w:w="90" w:type="dxa"/>
              <w:bottom w:w="80" w:type="dxa"/>
              <w:end w:w="90" w:type="dxa"/>
            </w:tcMar>
          </w:tcPr>
          <w:p>
            <w:pPr>
              <w:spacing w:after="0"/>
            </w:pPr>
            <w:r/>
            <w:r>
              <w:rPr>
                <w:rFonts w:ascii="Arial" w:hAnsi="Arial"/>
                <w:b w:val="0"/>
                <w:color w:val="183128"/>
                <w:sz w:val="14"/>
              </w:rPr>
              <w:t>Sweet, storage, juice</w:t>
            </w:r>
          </w:p>
        </w:tc>
        <w:tc>
          <w:tcPr>
            <w:tcW w:type="dxa" w:w="1304"/>
            <w:vAlign w:val="center"/>
            <w:tcMar>
              <w:top w:w="80" w:type="dxa"/>
              <w:start w:w="90" w:type="dxa"/>
              <w:bottom w:w="80" w:type="dxa"/>
              <w:end w:w="90" w:type="dxa"/>
            </w:tcMar>
          </w:tcPr>
          <w:p>
            <w:pPr>
              <w:spacing w:after="0"/>
            </w:pPr>
            <w:r/>
            <w:r>
              <w:rPr>
                <w:rFonts w:ascii="Arial" w:hAnsi="Arial"/>
                <w:b w:val="0"/>
                <w:color w:val="183128"/>
                <w:sz w:val="14"/>
              </w:rPr>
              <w:t>1–3</w:t>
            </w:r>
          </w:p>
        </w:tc>
        <w:tc>
          <w:tcPr>
            <w:tcW w:type="dxa" w:w="1814"/>
            <w:vAlign w:val="center"/>
            <w:tcMar>
              <w:top w:w="80" w:type="dxa"/>
              <w:start w:w="90" w:type="dxa"/>
              <w:bottom w:w="80" w:type="dxa"/>
              <w:end w:w="90" w:type="dxa"/>
            </w:tcMar>
          </w:tcPr>
          <w:p>
            <w:pPr>
              <w:spacing w:after="0"/>
            </w:pPr>
            <w:r/>
            <w:r>
              <w:rPr>
                <w:rFonts w:ascii="Arial" w:hAnsi="Arial"/>
                <w:b w:val="0"/>
                <w:color w:val="183128"/>
                <w:sz w:val="14"/>
              </w:rPr>
              <w:t>Early food; blossom; later shade</w:t>
            </w:r>
          </w:p>
        </w:tc>
        <w:tc>
          <w:tcPr>
            <w:tcW w:type="dxa" w:w="3402"/>
            <w:vAlign w:val="center"/>
            <w:tcMar>
              <w:top w:w="80" w:type="dxa"/>
              <w:start w:w="90" w:type="dxa"/>
              <w:bottom w:w="80" w:type="dxa"/>
              <w:end w:w="90" w:type="dxa"/>
            </w:tcMar>
          </w:tcPr>
          <w:p>
            <w:pPr>
              <w:spacing w:after="0"/>
            </w:pPr>
            <w:r/>
            <w:r>
              <w:rPr>
                <w:rFonts w:ascii="Arial" w:hAnsi="Arial"/>
                <w:b w:val="0"/>
                <w:color w:val="183128"/>
                <w:sz w:val="14"/>
              </w:rPr>
              <w:t>Dwarf trees crop early; larger rootstocks give resilience/scale and may fit grants.</w:t>
            </w:r>
          </w:p>
        </w:tc>
      </w:tr>
      <w:tr>
        <w:tc>
          <w:tcPr>
            <w:tcW w:type="dxa" w:w="1417"/>
            <w:shd w:fill="F1F3EF"/>
            <w:vAlign w:val="center"/>
            <w:tcMar>
              <w:top w:w="80" w:type="dxa"/>
              <w:start w:w="90" w:type="dxa"/>
              <w:bottom w:w="80" w:type="dxa"/>
              <w:end w:w="90" w:type="dxa"/>
            </w:tcMar>
          </w:tcPr>
          <w:p>
            <w:pPr>
              <w:spacing w:after="0"/>
            </w:pPr>
            <w:r/>
            <w:r>
              <w:rPr>
                <w:rFonts w:ascii="Arial" w:hAnsi="Arial"/>
                <w:b/>
                <w:color w:val="183128"/>
                <w:sz w:val="14"/>
              </w:rPr>
              <w:t>Pear</w:t>
            </w:r>
          </w:p>
        </w:tc>
        <w:tc>
          <w:tcPr>
            <w:tcW w:type="dxa" w:w="1587"/>
            <w:shd w:fill="F1F3EF"/>
            <w:vAlign w:val="center"/>
            <w:tcMar>
              <w:top w:w="80" w:type="dxa"/>
              <w:start w:w="90" w:type="dxa"/>
              <w:bottom w:w="80" w:type="dxa"/>
              <w:end w:w="90" w:type="dxa"/>
            </w:tcMar>
          </w:tcPr>
          <w:p>
            <w:pPr>
              <w:spacing w:after="0"/>
            </w:pPr>
            <w:r/>
            <w:r>
              <w:rPr>
                <w:rFonts w:ascii="Arial" w:hAnsi="Arial"/>
                <w:b w:val="0"/>
                <w:color w:val="183128"/>
                <w:sz w:val="14"/>
              </w:rPr>
              <w:t>Sweet/storage</w:t>
            </w:r>
          </w:p>
        </w:tc>
        <w:tc>
          <w:tcPr>
            <w:tcW w:type="dxa" w:w="1304"/>
            <w:shd w:fill="F1F3EF"/>
            <w:vAlign w:val="center"/>
            <w:tcMar>
              <w:top w:w="80" w:type="dxa"/>
              <w:start w:w="90" w:type="dxa"/>
              <w:bottom w:w="80" w:type="dxa"/>
              <w:end w:w="90" w:type="dxa"/>
            </w:tcMar>
          </w:tcPr>
          <w:p>
            <w:pPr>
              <w:spacing w:after="0"/>
            </w:pPr>
            <w:r/>
            <w:r>
              <w:rPr>
                <w:rFonts w:ascii="Arial" w:hAnsi="Arial"/>
                <w:b w:val="0"/>
                <w:color w:val="183128"/>
                <w:sz w:val="14"/>
              </w:rPr>
              <w:t>2–4</w:t>
            </w:r>
          </w:p>
        </w:tc>
        <w:tc>
          <w:tcPr>
            <w:tcW w:type="dxa" w:w="1814"/>
            <w:shd w:fill="F1F3EF"/>
            <w:vAlign w:val="center"/>
            <w:tcMar>
              <w:top w:w="80" w:type="dxa"/>
              <w:start w:w="90" w:type="dxa"/>
              <w:bottom w:w="80" w:type="dxa"/>
              <w:end w:w="90" w:type="dxa"/>
            </w:tcMar>
          </w:tcPr>
          <w:p>
            <w:pPr>
              <w:spacing w:after="0"/>
            </w:pPr>
            <w:r/>
            <w:r>
              <w:rPr>
                <w:rFonts w:ascii="Arial" w:hAnsi="Arial"/>
                <w:b w:val="0"/>
                <w:color w:val="183128"/>
                <w:sz w:val="14"/>
              </w:rPr>
              <w:t>Fruit; blossom; medium canopy</w:t>
            </w:r>
          </w:p>
        </w:tc>
        <w:tc>
          <w:tcPr>
            <w:tcW w:type="dxa" w:w="3402"/>
            <w:shd w:fill="F1F3EF"/>
            <w:vAlign w:val="center"/>
            <w:tcMar>
              <w:top w:w="80" w:type="dxa"/>
              <w:start w:w="90" w:type="dxa"/>
              <w:bottom w:w="80" w:type="dxa"/>
              <w:end w:w="90" w:type="dxa"/>
            </w:tcMar>
          </w:tcPr>
          <w:p>
            <w:pPr>
              <w:spacing w:after="0"/>
            </w:pPr>
            <w:r/>
            <w:r>
              <w:rPr>
                <w:rFonts w:ascii="Arial" w:hAnsi="Arial"/>
                <w:b w:val="0"/>
                <w:color w:val="183128"/>
                <w:sz w:val="14"/>
              </w:rPr>
              <w:t>Choose compatible pollination group and site away from severe frost pockets.</w:t>
            </w:r>
          </w:p>
        </w:tc>
      </w:tr>
      <w:tr>
        <w:tc>
          <w:tcPr>
            <w:tcW w:type="dxa" w:w="1417"/>
            <w:vAlign w:val="center"/>
            <w:tcMar>
              <w:top w:w="80" w:type="dxa"/>
              <w:start w:w="90" w:type="dxa"/>
              <w:bottom w:w="80" w:type="dxa"/>
              <w:end w:w="90" w:type="dxa"/>
            </w:tcMar>
          </w:tcPr>
          <w:p>
            <w:pPr>
              <w:spacing w:after="0"/>
            </w:pPr>
            <w:r/>
            <w:r>
              <w:rPr>
                <w:rFonts w:ascii="Arial" w:hAnsi="Arial"/>
                <w:b/>
                <w:color w:val="183128"/>
                <w:sz w:val="14"/>
              </w:rPr>
              <w:t>Plum / damson</w:t>
            </w:r>
          </w:p>
        </w:tc>
        <w:tc>
          <w:tcPr>
            <w:tcW w:type="dxa" w:w="1587"/>
            <w:vAlign w:val="center"/>
            <w:tcMar>
              <w:top w:w="80" w:type="dxa"/>
              <w:start w:w="90" w:type="dxa"/>
              <w:bottom w:w="80" w:type="dxa"/>
              <w:end w:w="90" w:type="dxa"/>
            </w:tcMar>
          </w:tcPr>
          <w:p>
            <w:pPr>
              <w:spacing w:after="0"/>
            </w:pPr>
            <w:r/>
            <w:r>
              <w:rPr>
                <w:rFonts w:ascii="Arial" w:hAnsi="Arial"/>
                <w:b w:val="0"/>
                <w:color w:val="183128"/>
                <w:sz w:val="14"/>
              </w:rPr>
              <w:t>Sweet/savoury processing</w:t>
            </w:r>
          </w:p>
        </w:tc>
        <w:tc>
          <w:tcPr>
            <w:tcW w:type="dxa" w:w="1304"/>
            <w:vAlign w:val="center"/>
            <w:tcMar>
              <w:top w:w="80" w:type="dxa"/>
              <w:start w:w="90" w:type="dxa"/>
              <w:bottom w:w="80" w:type="dxa"/>
              <w:end w:w="90" w:type="dxa"/>
            </w:tcMar>
          </w:tcPr>
          <w:p>
            <w:pPr>
              <w:spacing w:after="0"/>
            </w:pPr>
            <w:r/>
            <w:r>
              <w:rPr>
                <w:rFonts w:ascii="Arial" w:hAnsi="Arial"/>
                <w:b w:val="0"/>
                <w:color w:val="183128"/>
                <w:sz w:val="14"/>
              </w:rPr>
              <w:t>2–4</w:t>
            </w:r>
          </w:p>
        </w:tc>
        <w:tc>
          <w:tcPr>
            <w:tcW w:type="dxa" w:w="1814"/>
            <w:vAlign w:val="center"/>
            <w:tcMar>
              <w:top w:w="80" w:type="dxa"/>
              <w:start w:w="90" w:type="dxa"/>
              <w:bottom w:w="80" w:type="dxa"/>
              <w:end w:w="90" w:type="dxa"/>
            </w:tcMar>
          </w:tcPr>
          <w:p>
            <w:pPr>
              <w:spacing w:after="0"/>
            </w:pPr>
            <w:r/>
            <w:r>
              <w:rPr>
                <w:rFonts w:ascii="Arial" w:hAnsi="Arial"/>
                <w:b w:val="0"/>
                <w:color w:val="183128"/>
                <w:sz w:val="14"/>
              </w:rPr>
              <w:t>Early fruit; preserves; blossom</w:t>
            </w:r>
          </w:p>
        </w:tc>
        <w:tc>
          <w:tcPr>
            <w:tcW w:type="dxa" w:w="3402"/>
            <w:vAlign w:val="center"/>
            <w:tcMar>
              <w:top w:w="80" w:type="dxa"/>
              <w:start w:w="90" w:type="dxa"/>
              <w:bottom w:w="80" w:type="dxa"/>
              <w:end w:w="90" w:type="dxa"/>
            </w:tcMar>
          </w:tcPr>
          <w:p>
            <w:pPr>
              <w:spacing w:after="0"/>
            </w:pPr>
            <w:r/>
            <w:r>
              <w:rPr>
                <w:rFonts w:ascii="Arial" w:hAnsi="Arial"/>
                <w:b w:val="0"/>
                <w:color w:val="183128"/>
                <w:sz w:val="14"/>
              </w:rPr>
              <w:t>Some self-fertile cultivars; manage silver leaf risk and prune at correct season.</w:t>
            </w:r>
          </w:p>
        </w:tc>
      </w:tr>
      <w:tr>
        <w:tc>
          <w:tcPr>
            <w:tcW w:type="dxa" w:w="1417"/>
            <w:shd w:fill="F1F3EF"/>
            <w:vAlign w:val="center"/>
            <w:tcMar>
              <w:top w:w="80" w:type="dxa"/>
              <w:start w:w="90" w:type="dxa"/>
              <w:bottom w:w="80" w:type="dxa"/>
              <w:end w:w="90" w:type="dxa"/>
            </w:tcMar>
          </w:tcPr>
          <w:p>
            <w:pPr>
              <w:spacing w:after="0"/>
            </w:pPr>
            <w:r/>
            <w:r>
              <w:rPr>
                <w:rFonts w:ascii="Arial" w:hAnsi="Arial"/>
                <w:b/>
                <w:color w:val="183128"/>
                <w:sz w:val="14"/>
              </w:rPr>
              <w:t>Sour cherry</w:t>
            </w:r>
          </w:p>
        </w:tc>
        <w:tc>
          <w:tcPr>
            <w:tcW w:type="dxa" w:w="1587"/>
            <w:shd w:fill="F1F3EF"/>
            <w:vAlign w:val="center"/>
            <w:tcMar>
              <w:top w:w="80" w:type="dxa"/>
              <w:start w:w="90" w:type="dxa"/>
              <w:bottom w:w="80" w:type="dxa"/>
              <w:end w:w="90" w:type="dxa"/>
            </w:tcMar>
          </w:tcPr>
          <w:p>
            <w:pPr>
              <w:spacing w:after="0"/>
            </w:pPr>
            <w:r/>
            <w:r>
              <w:rPr>
                <w:rFonts w:ascii="Arial" w:hAnsi="Arial"/>
                <w:b w:val="0"/>
                <w:color w:val="183128"/>
                <w:sz w:val="14"/>
              </w:rPr>
              <w:t>Fruit/processing</w:t>
            </w:r>
          </w:p>
        </w:tc>
        <w:tc>
          <w:tcPr>
            <w:tcW w:type="dxa" w:w="1304"/>
            <w:shd w:fill="F1F3EF"/>
            <w:vAlign w:val="center"/>
            <w:tcMar>
              <w:top w:w="80" w:type="dxa"/>
              <w:start w:w="90" w:type="dxa"/>
              <w:bottom w:w="80" w:type="dxa"/>
              <w:end w:w="90" w:type="dxa"/>
            </w:tcMar>
          </w:tcPr>
          <w:p>
            <w:pPr>
              <w:spacing w:after="0"/>
            </w:pPr>
            <w:r/>
            <w:r>
              <w:rPr>
                <w:rFonts w:ascii="Arial" w:hAnsi="Arial"/>
                <w:b w:val="0"/>
                <w:color w:val="183128"/>
                <w:sz w:val="14"/>
              </w:rPr>
              <w:t>2–4</w:t>
            </w:r>
          </w:p>
        </w:tc>
        <w:tc>
          <w:tcPr>
            <w:tcW w:type="dxa" w:w="1814"/>
            <w:shd w:fill="F1F3EF"/>
            <w:vAlign w:val="center"/>
            <w:tcMar>
              <w:top w:w="80" w:type="dxa"/>
              <w:start w:w="90" w:type="dxa"/>
              <w:bottom w:w="80" w:type="dxa"/>
              <w:end w:w="90" w:type="dxa"/>
            </w:tcMar>
          </w:tcPr>
          <w:p>
            <w:pPr>
              <w:spacing w:after="0"/>
            </w:pPr>
            <w:r/>
            <w:r>
              <w:rPr>
                <w:rFonts w:ascii="Arial" w:hAnsi="Arial"/>
                <w:b w:val="0"/>
                <w:color w:val="183128"/>
                <w:sz w:val="14"/>
              </w:rPr>
              <w:t>Compact fruit layer</w:t>
            </w:r>
          </w:p>
        </w:tc>
        <w:tc>
          <w:tcPr>
            <w:tcW w:type="dxa" w:w="3402"/>
            <w:shd w:fill="F1F3EF"/>
            <w:vAlign w:val="center"/>
            <w:tcMar>
              <w:top w:w="80" w:type="dxa"/>
              <w:start w:w="90" w:type="dxa"/>
              <w:bottom w:w="80" w:type="dxa"/>
              <w:end w:w="90" w:type="dxa"/>
            </w:tcMar>
          </w:tcPr>
          <w:p>
            <w:pPr>
              <w:spacing w:after="0"/>
            </w:pPr>
            <w:r/>
            <w:r>
              <w:rPr>
                <w:rFonts w:ascii="Arial" w:hAnsi="Arial"/>
                <w:b w:val="0"/>
                <w:color w:val="183128"/>
                <w:sz w:val="14"/>
              </w:rPr>
              <w:t>Bird protection and rain-cracking considerations.</w:t>
            </w:r>
          </w:p>
        </w:tc>
      </w:tr>
      <w:tr>
        <w:tc>
          <w:tcPr>
            <w:tcW w:type="dxa" w:w="1417"/>
            <w:vAlign w:val="center"/>
            <w:tcMar>
              <w:top w:w="80" w:type="dxa"/>
              <w:start w:w="90" w:type="dxa"/>
              <w:bottom w:w="80" w:type="dxa"/>
              <w:end w:w="90" w:type="dxa"/>
            </w:tcMar>
          </w:tcPr>
          <w:p>
            <w:pPr>
              <w:spacing w:after="0"/>
            </w:pPr>
            <w:r/>
            <w:r>
              <w:rPr>
                <w:rFonts w:ascii="Arial" w:hAnsi="Arial"/>
                <w:b/>
                <w:color w:val="183128"/>
                <w:sz w:val="14"/>
              </w:rPr>
              <w:t>Quince</w:t>
            </w:r>
          </w:p>
        </w:tc>
        <w:tc>
          <w:tcPr>
            <w:tcW w:type="dxa" w:w="1587"/>
            <w:vAlign w:val="center"/>
            <w:tcMar>
              <w:top w:w="80" w:type="dxa"/>
              <w:start w:w="90" w:type="dxa"/>
              <w:bottom w:w="80" w:type="dxa"/>
              <w:end w:w="90" w:type="dxa"/>
            </w:tcMar>
          </w:tcPr>
          <w:p>
            <w:pPr>
              <w:spacing w:after="0"/>
            </w:pPr>
            <w:r/>
            <w:r>
              <w:rPr>
                <w:rFonts w:ascii="Arial" w:hAnsi="Arial"/>
                <w:b w:val="0"/>
                <w:color w:val="183128"/>
                <w:sz w:val="14"/>
              </w:rPr>
              <w:t>Fruit/pectin</w:t>
            </w:r>
          </w:p>
        </w:tc>
        <w:tc>
          <w:tcPr>
            <w:tcW w:type="dxa" w:w="1304"/>
            <w:vAlign w:val="center"/>
            <w:tcMar>
              <w:top w:w="80" w:type="dxa"/>
              <w:start w:w="90" w:type="dxa"/>
              <w:bottom w:w="80" w:type="dxa"/>
              <w:end w:w="90" w:type="dxa"/>
            </w:tcMar>
          </w:tcPr>
          <w:p>
            <w:pPr>
              <w:spacing w:after="0"/>
            </w:pPr>
            <w:r/>
            <w:r>
              <w:rPr>
                <w:rFonts w:ascii="Arial" w:hAnsi="Arial"/>
                <w:b w:val="0"/>
                <w:color w:val="183128"/>
                <w:sz w:val="14"/>
              </w:rPr>
              <w:t>2–4</w:t>
            </w:r>
          </w:p>
        </w:tc>
        <w:tc>
          <w:tcPr>
            <w:tcW w:type="dxa" w:w="1814"/>
            <w:vAlign w:val="center"/>
            <w:tcMar>
              <w:top w:w="80" w:type="dxa"/>
              <w:start w:w="90" w:type="dxa"/>
              <w:bottom w:w="80" w:type="dxa"/>
              <w:end w:w="90" w:type="dxa"/>
            </w:tcMar>
          </w:tcPr>
          <w:p>
            <w:pPr>
              <w:spacing w:after="0"/>
            </w:pPr>
            <w:r/>
            <w:r>
              <w:rPr>
                <w:rFonts w:ascii="Arial" w:hAnsi="Arial"/>
                <w:b w:val="0"/>
                <w:color w:val="183128"/>
                <w:sz w:val="14"/>
              </w:rPr>
              <w:t>Processed staple; blossom</w:t>
            </w:r>
          </w:p>
        </w:tc>
        <w:tc>
          <w:tcPr>
            <w:tcW w:type="dxa" w:w="3402"/>
            <w:vAlign w:val="center"/>
            <w:tcMar>
              <w:top w:w="80" w:type="dxa"/>
              <w:start w:w="90" w:type="dxa"/>
              <w:bottom w:w="80" w:type="dxa"/>
              <w:end w:w="90" w:type="dxa"/>
            </w:tcMar>
          </w:tcPr>
          <w:p>
            <w:pPr>
              <w:spacing w:after="0"/>
            </w:pPr>
            <w:r/>
            <w:r>
              <w:rPr>
                <w:rFonts w:ascii="Arial" w:hAnsi="Arial"/>
                <w:b w:val="0"/>
                <w:color w:val="183128"/>
                <w:sz w:val="14"/>
              </w:rPr>
              <w:t>Prefers moisture-retentive but drained soil.</w:t>
            </w:r>
          </w:p>
        </w:tc>
      </w:tr>
      <w:tr>
        <w:tc>
          <w:tcPr>
            <w:tcW w:type="dxa" w:w="1417"/>
            <w:shd w:fill="F1F3EF"/>
            <w:vAlign w:val="center"/>
            <w:tcMar>
              <w:top w:w="80" w:type="dxa"/>
              <w:start w:w="90" w:type="dxa"/>
              <w:bottom w:w="80" w:type="dxa"/>
              <w:end w:w="90" w:type="dxa"/>
            </w:tcMar>
          </w:tcPr>
          <w:p>
            <w:pPr>
              <w:spacing w:after="0"/>
            </w:pPr>
            <w:r/>
            <w:r>
              <w:rPr>
                <w:rFonts w:ascii="Arial" w:hAnsi="Arial"/>
                <w:b/>
                <w:color w:val="183128"/>
                <w:sz w:val="14"/>
              </w:rPr>
              <w:t>Fig</w:t>
            </w:r>
          </w:p>
        </w:tc>
        <w:tc>
          <w:tcPr>
            <w:tcW w:type="dxa" w:w="1587"/>
            <w:shd w:fill="F1F3EF"/>
            <w:vAlign w:val="center"/>
            <w:tcMar>
              <w:top w:w="80" w:type="dxa"/>
              <w:start w:w="90" w:type="dxa"/>
              <w:bottom w:w="80" w:type="dxa"/>
              <w:end w:w="90" w:type="dxa"/>
            </w:tcMar>
          </w:tcPr>
          <w:p>
            <w:pPr>
              <w:spacing w:after="0"/>
            </w:pPr>
            <w:r/>
            <w:r>
              <w:rPr>
                <w:rFonts w:ascii="Arial" w:hAnsi="Arial"/>
                <w:b w:val="0"/>
                <w:color w:val="183128"/>
                <w:sz w:val="14"/>
              </w:rPr>
              <w:t>Sweet</w:t>
            </w:r>
          </w:p>
        </w:tc>
        <w:tc>
          <w:tcPr>
            <w:tcW w:type="dxa" w:w="1304"/>
            <w:shd w:fill="F1F3EF"/>
            <w:vAlign w:val="center"/>
            <w:tcMar>
              <w:top w:w="80" w:type="dxa"/>
              <w:start w:w="90" w:type="dxa"/>
              <w:bottom w:w="80" w:type="dxa"/>
              <w:end w:w="90" w:type="dxa"/>
            </w:tcMar>
          </w:tcPr>
          <w:p>
            <w:pPr>
              <w:spacing w:after="0"/>
            </w:pPr>
            <w:r/>
            <w:r>
              <w:rPr>
                <w:rFonts w:ascii="Arial" w:hAnsi="Arial"/>
                <w:b w:val="0"/>
                <w:color w:val="183128"/>
                <w:sz w:val="14"/>
              </w:rPr>
              <w:t>1–2</w:t>
            </w:r>
          </w:p>
        </w:tc>
        <w:tc>
          <w:tcPr>
            <w:tcW w:type="dxa" w:w="1814"/>
            <w:shd w:fill="F1F3EF"/>
            <w:vAlign w:val="center"/>
            <w:tcMar>
              <w:top w:w="80" w:type="dxa"/>
              <w:start w:w="90" w:type="dxa"/>
              <w:bottom w:w="80" w:type="dxa"/>
              <w:end w:w="90" w:type="dxa"/>
            </w:tcMar>
          </w:tcPr>
          <w:p>
            <w:pPr>
              <w:spacing w:after="0"/>
            </w:pPr>
            <w:r/>
            <w:r>
              <w:rPr>
                <w:rFonts w:ascii="Arial" w:hAnsi="Arial"/>
                <w:b w:val="0"/>
                <w:color w:val="183128"/>
                <w:sz w:val="14"/>
              </w:rPr>
              <w:t>Very early food in warm microclimate</w:t>
            </w:r>
          </w:p>
        </w:tc>
        <w:tc>
          <w:tcPr>
            <w:tcW w:type="dxa" w:w="3402"/>
            <w:shd w:fill="F1F3EF"/>
            <w:vAlign w:val="center"/>
            <w:tcMar>
              <w:top w:w="80" w:type="dxa"/>
              <w:start w:w="90" w:type="dxa"/>
              <w:bottom w:w="80" w:type="dxa"/>
              <w:end w:w="90" w:type="dxa"/>
            </w:tcMar>
          </w:tcPr>
          <w:p>
            <w:pPr>
              <w:spacing w:after="0"/>
            </w:pPr>
            <w:r/>
            <w:r>
              <w:rPr>
                <w:rFonts w:ascii="Arial" w:hAnsi="Arial"/>
                <w:b w:val="0"/>
                <w:color w:val="183128"/>
                <w:sz w:val="14"/>
              </w:rPr>
              <w:t>Sheltered UK sites; restrict roots where appropriate; winter damage risk.</w:t>
            </w:r>
          </w:p>
        </w:tc>
      </w:tr>
      <w:tr>
        <w:tc>
          <w:tcPr>
            <w:tcW w:type="dxa" w:w="1417"/>
            <w:vAlign w:val="center"/>
            <w:tcMar>
              <w:top w:w="80" w:type="dxa"/>
              <w:start w:w="90" w:type="dxa"/>
              <w:bottom w:w="80" w:type="dxa"/>
              <w:end w:w="90" w:type="dxa"/>
            </w:tcMar>
          </w:tcPr>
          <w:p>
            <w:pPr>
              <w:spacing w:after="0"/>
            </w:pPr>
            <w:r/>
            <w:r>
              <w:rPr>
                <w:rFonts w:ascii="Arial" w:hAnsi="Arial"/>
                <w:b/>
                <w:color w:val="183128"/>
                <w:sz w:val="14"/>
              </w:rPr>
              <w:t>Elder</w:t>
            </w:r>
          </w:p>
        </w:tc>
        <w:tc>
          <w:tcPr>
            <w:tcW w:type="dxa" w:w="1587"/>
            <w:vAlign w:val="center"/>
            <w:tcMar>
              <w:top w:w="80" w:type="dxa"/>
              <w:start w:w="90" w:type="dxa"/>
              <w:bottom w:w="80" w:type="dxa"/>
              <w:end w:w="90" w:type="dxa"/>
            </w:tcMar>
          </w:tcPr>
          <w:p>
            <w:pPr>
              <w:spacing w:after="0"/>
            </w:pPr>
            <w:r/>
            <w:r>
              <w:rPr>
                <w:rFonts w:ascii="Arial" w:hAnsi="Arial"/>
                <w:b w:val="0"/>
                <w:color w:val="183128"/>
                <w:sz w:val="14"/>
              </w:rPr>
              <w:t>Flowers/berries</w:t>
            </w:r>
          </w:p>
        </w:tc>
        <w:tc>
          <w:tcPr>
            <w:tcW w:type="dxa" w:w="1304"/>
            <w:vAlign w:val="center"/>
            <w:tcMar>
              <w:top w:w="80" w:type="dxa"/>
              <w:start w:w="90" w:type="dxa"/>
              <w:bottom w:w="80" w:type="dxa"/>
              <w:end w:w="90" w:type="dxa"/>
            </w:tcMar>
          </w:tcPr>
          <w:p>
            <w:pPr>
              <w:spacing w:after="0"/>
            </w:pPr>
            <w:r/>
            <w:r>
              <w:rPr>
                <w:rFonts w:ascii="Arial" w:hAnsi="Arial"/>
                <w:b w:val="0"/>
                <w:color w:val="183128"/>
                <w:sz w:val="14"/>
              </w:rPr>
              <w:t>1–2</w:t>
            </w:r>
          </w:p>
        </w:tc>
        <w:tc>
          <w:tcPr>
            <w:tcW w:type="dxa" w:w="1814"/>
            <w:vAlign w:val="center"/>
            <w:tcMar>
              <w:top w:w="80" w:type="dxa"/>
              <w:start w:w="90" w:type="dxa"/>
              <w:bottom w:w="80" w:type="dxa"/>
              <w:end w:w="90" w:type="dxa"/>
            </w:tcMar>
          </w:tcPr>
          <w:p>
            <w:pPr>
              <w:spacing w:after="0"/>
            </w:pPr>
            <w:r/>
            <w:r>
              <w:rPr>
                <w:rFonts w:ascii="Arial" w:hAnsi="Arial"/>
                <w:b w:val="0"/>
                <w:color w:val="183128"/>
                <w:sz w:val="14"/>
              </w:rPr>
              <w:t>Fast habitat and processing crop</w:t>
            </w:r>
          </w:p>
        </w:tc>
        <w:tc>
          <w:tcPr>
            <w:tcW w:type="dxa" w:w="3402"/>
            <w:vAlign w:val="center"/>
            <w:tcMar>
              <w:top w:w="80" w:type="dxa"/>
              <w:start w:w="90" w:type="dxa"/>
              <w:bottom w:w="80" w:type="dxa"/>
              <w:end w:w="90" w:type="dxa"/>
            </w:tcMar>
          </w:tcPr>
          <w:p>
            <w:pPr>
              <w:spacing w:after="0"/>
            </w:pPr>
            <w:r/>
            <w:r>
              <w:rPr>
                <w:rFonts w:ascii="Arial" w:hAnsi="Arial"/>
                <w:b w:val="0"/>
                <w:color w:val="183128"/>
                <w:sz w:val="14"/>
              </w:rPr>
              <w:t>Cook/process berries appropriately; manage suckering.</w:t>
            </w:r>
          </w:p>
        </w:tc>
      </w:tr>
      <w:tr>
        <w:tc>
          <w:tcPr>
            <w:tcW w:type="dxa" w:w="1417"/>
            <w:shd w:fill="F1F3EF"/>
            <w:vAlign w:val="center"/>
            <w:tcMar>
              <w:top w:w="80" w:type="dxa"/>
              <w:start w:w="90" w:type="dxa"/>
              <w:bottom w:w="80" w:type="dxa"/>
              <w:end w:w="90" w:type="dxa"/>
            </w:tcMar>
          </w:tcPr>
          <w:p>
            <w:pPr>
              <w:spacing w:after="0"/>
            </w:pPr>
            <w:r/>
            <w:r>
              <w:rPr>
                <w:rFonts w:ascii="Arial" w:hAnsi="Arial"/>
                <w:b/>
                <w:color w:val="183128"/>
                <w:sz w:val="14"/>
              </w:rPr>
              <w:t>Currant/gooseberry/raspberry</w:t>
            </w:r>
          </w:p>
        </w:tc>
        <w:tc>
          <w:tcPr>
            <w:tcW w:type="dxa" w:w="1587"/>
            <w:shd w:fill="F1F3EF"/>
            <w:vAlign w:val="center"/>
            <w:tcMar>
              <w:top w:w="80" w:type="dxa"/>
              <w:start w:w="90" w:type="dxa"/>
              <w:bottom w:w="80" w:type="dxa"/>
              <w:end w:w="90" w:type="dxa"/>
            </w:tcMar>
          </w:tcPr>
          <w:p>
            <w:pPr>
              <w:spacing w:after="0"/>
            </w:pPr>
            <w:r/>
            <w:r>
              <w:rPr>
                <w:rFonts w:ascii="Arial" w:hAnsi="Arial"/>
                <w:b w:val="0"/>
                <w:color w:val="183128"/>
                <w:sz w:val="14"/>
              </w:rPr>
              <w:t>Soft fruit</w:t>
            </w:r>
          </w:p>
        </w:tc>
        <w:tc>
          <w:tcPr>
            <w:tcW w:type="dxa" w:w="1304"/>
            <w:shd w:fill="F1F3EF"/>
            <w:vAlign w:val="center"/>
            <w:tcMar>
              <w:top w:w="80" w:type="dxa"/>
              <w:start w:w="90" w:type="dxa"/>
              <w:bottom w:w="80" w:type="dxa"/>
              <w:end w:w="90" w:type="dxa"/>
            </w:tcMar>
          </w:tcPr>
          <w:p>
            <w:pPr>
              <w:spacing w:after="0"/>
            </w:pPr>
            <w:r/>
            <w:r>
              <w:rPr>
                <w:rFonts w:ascii="Arial" w:hAnsi="Arial"/>
                <w:b w:val="0"/>
                <w:color w:val="183128"/>
                <w:sz w:val="14"/>
              </w:rPr>
              <w:t>1–2</w:t>
            </w:r>
          </w:p>
        </w:tc>
        <w:tc>
          <w:tcPr>
            <w:tcW w:type="dxa" w:w="1814"/>
            <w:shd w:fill="F1F3EF"/>
            <w:vAlign w:val="center"/>
            <w:tcMar>
              <w:top w:w="80" w:type="dxa"/>
              <w:start w:w="90" w:type="dxa"/>
              <w:bottom w:w="80" w:type="dxa"/>
              <w:end w:w="90" w:type="dxa"/>
            </w:tcMar>
          </w:tcPr>
          <w:p>
            <w:pPr>
              <w:spacing w:after="0"/>
            </w:pPr>
            <w:r/>
            <w:r>
              <w:rPr>
                <w:rFonts w:ascii="Arial" w:hAnsi="Arial"/>
                <w:b w:val="0"/>
                <w:color w:val="183128"/>
                <w:sz w:val="14"/>
              </w:rPr>
              <w:t>Fast cash-flow understory</w:t>
            </w:r>
          </w:p>
        </w:tc>
        <w:tc>
          <w:tcPr>
            <w:tcW w:type="dxa" w:w="3402"/>
            <w:shd w:fill="F1F3EF"/>
            <w:vAlign w:val="center"/>
            <w:tcMar>
              <w:top w:w="80" w:type="dxa"/>
              <w:start w:w="90" w:type="dxa"/>
              <w:bottom w:w="80" w:type="dxa"/>
              <w:end w:w="90" w:type="dxa"/>
            </w:tcMar>
          </w:tcPr>
          <w:p>
            <w:pPr>
              <w:spacing w:after="0"/>
            </w:pPr>
            <w:r/>
            <w:r>
              <w:rPr>
                <w:rFonts w:ascii="Arial" w:hAnsi="Arial"/>
                <w:b w:val="0"/>
                <w:color w:val="183128"/>
                <w:sz w:val="14"/>
              </w:rPr>
              <w:t>Not trees, but crucial to the two-year food promise.</w:t>
            </w:r>
          </w:p>
        </w:tc>
      </w:tr>
      <w:tr>
        <w:tc>
          <w:tcPr>
            <w:tcW w:type="dxa" w:w="1417"/>
            <w:vAlign w:val="center"/>
            <w:tcMar>
              <w:top w:w="80" w:type="dxa"/>
              <w:start w:w="90" w:type="dxa"/>
              <w:bottom w:w="80" w:type="dxa"/>
              <w:end w:w="90" w:type="dxa"/>
            </w:tcMar>
          </w:tcPr>
          <w:p>
            <w:pPr>
              <w:spacing w:after="0"/>
            </w:pPr>
            <w:r/>
            <w:r>
              <w:rPr>
                <w:rFonts w:ascii="Arial" w:hAnsi="Arial"/>
                <w:b/>
                <w:color w:val="183128"/>
                <w:sz w:val="14"/>
              </w:rPr>
              <w:t>Medlar / mulberry</w:t>
            </w:r>
          </w:p>
        </w:tc>
        <w:tc>
          <w:tcPr>
            <w:tcW w:type="dxa" w:w="1587"/>
            <w:vAlign w:val="center"/>
            <w:tcMar>
              <w:top w:w="80" w:type="dxa"/>
              <w:start w:w="90" w:type="dxa"/>
              <w:bottom w:w="80" w:type="dxa"/>
              <w:end w:w="90" w:type="dxa"/>
            </w:tcMar>
          </w:tcPr>
          <w:p>
            <w:pPr>
              <w:spacing w:after="0"/>
            </w:pPr>
            <w:r/>
            <w:r>
              <w:rPr>
                <w:rFonts w:ascii="Arial" w:hAnsi="Arial"/>
                <w:b w:val="0"/>
                <w:color w:val="183128"/>
                <w:sz w:val="14"/>
              </w:rPr>
              <w:t>Speciality fruit</w:t>
            </w:r>
          </w:p>
        </w:tc>
        <w:tc>
          <w:tcPr>
            <w:tcW w:type="dxa" w:w="1304"/>
            <w:vAlign w:val="center"/>
            <w:tcMar>
              <w:top w:w="80" w:type="dxa"/>
              <w:start w:w="90" w:type="dxa"/>
              <w:bottom w:w="80" w:type="dxa"/>
              <w:end w:w="90" w:type="dxa"/>
            </w:tcMar>
          </w:tcPr>
          <w:p>
            <w:pPr>
              <w:spacing w:after="0"/>
            </w:pPr>
            <w:r/>
            <w:r>
              <w:rPr>
                <w:rFonts w:ascii="Arial" w:hAnsi="Arial"/>
                <w:b w:val="0"/>
                <w:color w:val="183128"/>
                <w:sz w:val="14"/>
              </w:rPr>
              <w:t>2–5</w:t>
            </w:r>
          </w:p>
        </w:tc>
        <w:tc>
          <w:tcPr>
            <w:tcW w:type="dxa" w:w="1814"/>
            <w:vAlign w:val="center"/>
            <w:tcMar>
              <w:top w:w="80" w:type="dxa"/>
              <w:start w:w="90" w:type="dxa"/>
              <w:bottom w:w="80" w:type="dxa"/>
              <w:end w:w="90" w:type="dxa"/>
            </w:tcMar>
          </w:tcPr>
          <w:p>
            <w:pPr>
              <w:spacing w:after="0"/>
            </w:pPr>
            <w:r/>
            <w:r>
              <w:rPr>
                <w:rFonts w:ascii="Arial" w:hAnsi="Arial"/>
                <w:b w:val="0"/>
                <w:color w:val="183128"/>
                <w:sz w:val="14"/>
              </w:rPr>
              <w:t>Diversification and long life</w:t>
            </w:r>
          </w:p>
        </w:tc>
        <w:tc>
          <w:tcPr>
            <w:tcW w:type="dxa" w:w="3402"/>
            <w:vAlign w:val="center"/>
            <w:tcMar>
              <w:top w:w="80" w:type="dxa"/>
              <w:start w:w="90" w:type="dxa"/>
              <w:bottom w:w="80" w:type="dxa"/>
              <w:end w:w="90" w:type="dxa"/>
            </w:tcMar>
          </w:tcPr>
          <w:p>
            <w:pPr>
              <w:spacing w:after="0"/>
            </w:pPr>
            <w:r/>
            <w:r>
              <w:rPr>
                <w:rFonts w:ascii="Arial" w:hAnsi="Arial"/>
                <w:b w:val="0"/>
                <w:color w:val="183128"/>
                <w:sz w:val="14"/>
              </w:rPr>
              <w:t>Site/cultivar dependent; market development needed.</w:t>
            </w:r>
          </w:p>
        </w:tc>
      </w:tr>
      <w:tr>
        <w:tc>
          <w:tcPr>
            <w:tcW w:type="dxa" w:w="1417"/>
            <w:shd w:fill="F1F3EF"/>
            <w:vAlign w:val="center"/>
            <w:tcMar>
              <w:top w:w="80" w:type="dxa"/>
              <w:start w:w="90" w:type="dxa"/>
              <w:bottom w:w="80" w:type="dxa"/>
              <w:end w:w="90" w:type="dxa"/>
            </w:tcMar>
          </w:tcPr>
          <w:p>
            <w:pPr>
              <w:spacing w:after="0"/>
            </w:pPr>
            <w:r/>
            <w:r>
              <w:rPr>
                <w:rFonts w:ascii="Arial" w:hAnsi="Arial"/>
                <w:b/>
                <w:color w:val="183128"/>
                <w:sz w:val="14"/>
              </w:rPr>
              <w:t>Sea buckthorn</w:t>
            </w:r>
          </w:p>
        </w:tc>
        <w:tc>
          <w:tcPr>
            <w:tcW w:type="dxa" w:w="1587"/>
            <w:shd w:fill="F1F3EF"/>
            <w:vAlign w:val="center"/>
            <w:tcMar>
              <w:top w:w="80" w:type="dxa"/>
              <w:start w:w="90" w:type="dxa"/>
              <w:bottom w:w="80" w:type="dxa"/>
              <w:end w:w="90" w:type="dxa"/>
            </w:tcMar>
          </w:tcPr>
          <w:p>
            <w:pPr>
              <w:spacing w:after="0"/>
            </w:pPr>
            <w:r/>
            <w:r>
              <w:rPr>
                <w:rFonts w:ascii="Arial" w:hAnsi="Arial"/>
                <w:b w:val="0"/>
                <w:color w:val="183128"/>
                <w:sz w:val="14"/>
              </w:rPr>
              <w:t>Acid fruit</w:t>
            </w:r>
          </w:p>
        </w:tc>
        <w:tc>
          <w:tcPr>
            <w:tcW w:type="dxa" w:w="1304"/>
            <w:shd w:fill="F1F3EF"/>
            <w:vAlign w:val="center"/>
            <w:tcMar>
              <w:top w:w="80" w:type="dxa"/>
              <w:start w:w="90" w:type="dxa"/>
              <w:bottom w:w="80" w:type="dxa"/>
              <w:end w:w="90" w:type="dxa"/>
            </w:tcMar>
          </w:tcPr>
          <w:p>
            <w:pPr>
              <w:spacing w:after="0"/>
            </w:pPr>
            <w:r/>
            <w:r>
              <w:rPr>
                <w:rFonts w:ascii="Arial" w:hAnsi="Arial"/>
                <w:b w:val="0"/>
                <w:color w:val="183128"/>
                <w:sz w:val="14"/>
              </w:rPr>
              <w:t>2–4</w:t>
            </w:r>
          </w:p>
        </w:tc>
        <w:tc>
          <w:tcPr>
            <w:tcW w:type="dxa" w:w="1814"/>
            <w:shd w:fill="F1F3EF"/>
            <w:vAlign w:val="center"/>
            <w:tcMar>
              <w:top w:w="80" w:type="dxa"/>
              <w:start w:w="90" w:type="dxa"/>
              <w:bottom w:w="80" w:type="dxa"/>
              <w:end w:w="90" w:type="dxa"/>
            </w:tcMar>
          </w:tcPr>
          <w:p>
            <w:pPr>
              <w:spacing w:after="0"/>
            </w:pPr>
            <w:r/>
            <w:r>
              <w:rPr>
                <w:rFonts w:ascii="Arial" w:hAnsi="Arial"/>
                <w:b w:val="0"/>
                <w:color w:val="183128"/>
                <w:sz w:val="14"/>
              </w:rPr>
              <w:t>Wind tolerance, dense habitat</w:t>
            </w:r>
          </w:p>
        </w:tc>
        <w:tc>
          <w:tcPr>
            <w:tcW w:type="dxa" w:w="3402"/>
            <w:shd w:fill="F1F3EF"/>
            <w:vAlign w:val="center"/>
            <w:tcMar>
              <w:top w:w="80" w:type="dxa"/>
              <w:start w:w="90" w:type="dxa"/>
              <w:bottom w:w="80" w:type="dxa"/>
              <w:end w:w="90" w:type="dxa"/>
            </w:tcMar>
          </w:tcPr>
          <w:p>
            <w:pPr>
              <w:spacing w:after="0"/>
            </w:pPr>
            <w:r/>
            <w:r>
              <w:rPr>
                <w:rFonts w:ascii="Arial" w:hAnsi="Arial"/>
                <w:b w:val="0"/>
                <w:color w:val="183128"/>
                <w:sz w:val="14"/>
              </w:rPr>
              <w:t>Spreads; usually needs male/female plants; harvest can be difficult.</w:t>
            </w:r>
          </w:p>
        </w:tc>
      </w:tr>
      <w:tr>
        <w:tc>
          <w:tcPr>
            <w:tcW w:type="dxa" w:w="1417"/>
            <w:vAlign w:val="center"/>
            <w:tcMar>
              <w:top w:w="80" w:type="dxa"/>
              <w:start w:w="90" w:type="dxa"/>
              <w:bottom w:w="80" w:type="dxa"/>
              <w:end w:w="90" w:type="dxa"/>
            </w:tcMar>
          </w:tcPr>
          <w:p>
            <w:pPr>
              <w:spacing w:after="0"/>
            </w:pPr>
            <w:r/>
            <w:r>
              <w:rPr>
                <w:rFonts w:ascii="Arial" w:hAnsi="Arial"/>
                <w:b/>
                <w:color w:val="183128"/>
                <w:sz w:val="14"/>
              </w:rPr>
              <w:t>Hazel</w:t>
            </w:r>
          </w:p>
        </w:tc>
        <w:tc>
          <w:tcPr>
            <w:tcW w:type="dxa" w:w="1587"/>
            <w:vAlign w:val="center"/>
            <w:tcMar>
              <w:top w:w="80" w:type="dxa"/>
              <w:start w:w="90" w:type="dxa"/>
              <w:bottom w:w="80" w:type="dxa"/>
              <w:end w:w="90" w:type="dxa"/>
            </w:tcMar>
          </w:tcPr>
          <w:p>
            <w:pPr>
              <w:spacing w:after="0"/>
            </w:pPr>
            <w:r/>
            <w:r>
              <w:rPr>
                <w:rFonts w:ascii="Arial" w:hAnsi="Arial"/>
                <w:b w:val="0"/>
                <w:color w:val="183128"/>
                <w:sz w:val="14"/>
              </w:rPr>
              <w:t>Nut</w:t>
            </w:r>
          </w:p>
        </w:tc>
        <w:tc>
          <w:tcPr>
            <w:tcW w:type="dxa" w:w="1304"/>
            <w:vAlign w:val="center"/>
            <w:tcMar>
              <w:top w:w="80" w:type="dxa"/>
              <w:start w:w="90" w:type="dxa"/>
              <w:bottom w:w="80" w:type="dxa"/>
              <w:end w:w="90" w:type="dxa"/>
            </w:tcMar>
          </w:tcPr>
          <w:p>
            <w:pPr>
              <w:spacing w:after="0"/>
            </w:pPr>
            <w:r/>
            <w:r>
              <w:rPr>
                <w:rFonts w:ascii="Arial" w:hAnsi="Arial"/>
                <w:b w:val="0"/>
                <w:color w:val="183128"/>
                <w:sz w:val="14"/>
              </w:rPr>
              <w:t>3–5</w:t>
            </w:r>
          </w:p>
        </w:tc>
        <w:tc>
          <w:tcPr>
            <w:tcW w:type="dxa" w:w="1814"/>
            <w:vAlign w:val="center"/>
            <w:tcMar>
              <w:top w:w="80" w:type="dxa"/>
              <w:start w:w="90" w:type="dxa"/>
              <w:bottom w:w="80" w:type="dxa"/>
              <w:end w:w="90" w:type="dxa"/>
            </w:tcMar>
          </w:tcPr>
          <w:p>
            <w:pPr>
              <w:spacing w:after="0"/>
            </w:pPr>
            <w:r/>
            <w:r>
              <w:rPr>
                <w:rFonts w:ascii="Arial" w:hAnsi="Arial"/>
                <w:b w:val="0"/>
                <w:color w:val="183128"/>
                <w:sz w:val="14"/>
              </w:rPr>
              <w:t>Protein/fat; coppice/habitat</w:t>
            </w:r>
          </w:p>
        </w:tc>
        <w:tc>
          <w:tcPr>
            <w:tcW w:type="dxa" w:w="3402"/>
            <w:vAlign w:val="center"/>
            <w:tcMar>
              <w:top w:w="80" w:type="dxa"/>
              <w:start w:w="90" w:type="dxa"/>
              <w:bottom w:w="80" w:type="dxa"/>
              <w:end w:w="90" w:type="dxa"/>
            </w:tcMar>
          </w:tcPr>
          <w:p>
            <w:pPr>
              <w:spacing w:after="0"/>
            </w:pPr>
            <w:r/>
            <w:r>
              <w:rPr>
                <w:rFonts w:ascii="Arial" w:hAnsi="Arial"/>
                <w:b w:val="0"/>
                <w:color w:val="183128"/>
                <w:sz w:val="14"/>
              </w:rPr>
              <w:t>Squirrel pressure and cultivar/pollination planning.</w:t>
            </w:r>
          </w:p>
        </w:tc>
      </w:tr>
      <w:tr>
        <w:tc>
          <w:tcPr>
            <w:tcW w:type="dxa" w:w="1417"/>
            <w:shd w:fill="F1F3EF"/>
            <w:vAlign w:val="center"/>
            <w:tcMar>
              <w:top w:w="80" w:type="dxa"/>
              <w:start w:w="90" w:type="dxa"/>
              <w:bottom w:w="80" w:type="dxa"/>
              <w:end w:w="90" w:type="dxa"/>
            </w:tcMar>
          </w:tcPr>
          <w:p>
            <w:pPr>
              <w:spacing w:after="0"/>
            </w:pPr>
            <w:r/>
            <w:r>
              <w:rPr>
                <w:rFonts w:ascii="Arial" w:hAnsi="Arial"/>
                <w:b/>
                <w:color w:val="183128"/>
                <w:sz w:val="14"/>
              </w:rPr>
              <w:t>Sweet chestnut</w:t>
            </w:r>
          </w:p>
        </w:tc>
        <w:tc>
          <w:tcPr>
            <w:tcW w:type="dxa" w:w="1587"/>
            <w:shd w:fill="F1F3EF"/>
            <w:vAlign w:val="center"/>
            <w:tcMar>
              <w:top w:w="80" w:type="dxa"/>
              <w:start w:w="90" w:type="dxa"/>
              <w:bottom w:w="80" w:type="dxa"/>
              <w:end w:w="90" w:type="dxa"/>
            </w:tcMar>
          </w:tcPr>
          <w:p>
            <w:pPr>
              <w:spacing w:after="0"/>
            </w:pPr>
            <w:r/>
            <w:r>
              <w:rPr>
                <w:rFonts w:ascii="Arial" w:hAnsi="Arial"/>
                <w:b w:val="0"/>
                <w:color w:val="183128"/>
                <w:sz w:val="14"/>
              </w:rPr>
              <w:t>Starch nut</w:t>
            </w:r>
          </w:p>
        </w:tc>
        <w:tc>
          <w:tcPr>
            <w:tcW w:type="dxa" w:w="1304"/>
            <w:shd w:fill="F1F3EF"/>
            <w:vAlign w:val="center"/>
            <w:tcMar>
              <w:top w:w="80" w:type="dxa"/>
              <w:start w:w="90" w:type="dxa"/>
              <w:bottom w:w="80" w:type="dxa"/>
              <w:end w:w="90" w:type="dxa"/>
            </w:tcMar>
          </w:tcPr>
          <w:p>
            <w:pPr>
              <w:spacing w:after="0"/>
            </w:pPr>
            <w:r/>
            <w:r>
              <w:rPr>
                <w:rFonts w:ascii="Arial" w:hAnsi="Arial"/>
                <w:b w:val="0"/>
                <w:color w:val="183128"/>
                <w:sz w:val="14"/>
              </w:rPr>
              <w:t>5–8+</w:t>
            </w:r>
          </w:p>
        </w:tc>
        <w:tc>
          <w:tcPr>
            <w:tcW w:type="dxa" w:w="1814"/>
            <w:shd w:fill="F1F3EF"/>
            <w:vAlign w:val="center"/>
            <w:tcMar>
              <w:top w:w="80" w:type="dxa"/>
              <w:start w:w="90" w:type="dxa"/>
              <w:bottom w:w="80" w:type="dxa"/>
              <w:end w:w="90" w:type="dxa"/>
            </w:tcMar>
          </w:tcPr>
          <w:p>
            <w:pPr>
              <w:spacing w:after="0"/>
            </w:pPr>
            <w:r/>
            <w:r>
              <w:rPr>
                <w:rFonts w:ascii="Arial" w:hAnsi="Arial"/>
                <w:b w:val="0"/>
                <w:color w:val="183128"/>
                <w:sz w:val="14"/>
              </w:rPr>
              <w:t>Long-term staple and canopy</w:t>
            </w:r>
          </w:p>
        </w:tc>
        <w:tc>
          <w:tcPr>
            <w:tcW w:type="dxa" w:w="3402"/>
            <w:shd w:fill="F1F3EF"/>
            <w:vAlign w:val="center"/>
            <w:tcMar>
              <w:top w:w="80" w:type="dxa"/>
              <w:start w:w="90" w:type="dxa"/>
              <w:bottom w:w="80" w:type="dxa"/>
              <w:end w:w="90" w:type="dxa"/>
            </w:tcMar>
          </w:tcPr>
          <w:p>
            <w:pPr>
              <w:spacing w:after="0"/>
            </w:pPr>
            <w:r/>
            <w:r>
              <w:rPr>
                <w:rFonts w:ascii="Arial" w:hAnsi="Arial"/>
                <w:b w:val="0"/>
                <w:color w:val="183128"/>
                <w:sz w:val="14"/>
              </w:rPr>
              <w:t>Needs space and suitable climate/soil; later return.</w:t>
            </w:r>
          </w:p>
        </w:tc>
      </w:tr>
      <w:tr>
        <w:tc>
          <w:tcPr>
            <w:tcW w:type="dxa" w:w="1417"/>
            <w:vAlign w:val="center"/>
            <w:tcMar>
              <w:top w:w="80" w:type="dxa"/>
              <w:start w:w="90" w:type="dxa"/>
              <w:bottom w:w="80" w:type="dxa"/>
              <w:end w:w="90" w:type="dxa"/>
            </w:tcMar>
          </w:tcPr>
          <w:p>
            <w:pPr>
              <w:spacing w:after="0"/>
            </w:pPr>
            <w:r/>
            <w:r>
              <w:rPr>
                <w:rFonts w:ascii="Arial" w:hAnsi="Arial"/>
                <w:b/>
                <w:color w:val="183128"/>
                <w:sz w:val="14"/>
              </w:rPr>
              <w:t>Walnut</w:t>
            </w:r>
          </w:p>
        </w:tc>
        <w:tc>
          <w:tcPr>
            <w:tcW w:type="dxa" w:w="1587"/>
            <w:vAlign w:val="center"/>
            <w:tcMar>
              <w:top w:w="80" w:type="dxa"/>
              <w:start w:w="90" w:type="dxa"/>
              <w:bottom w:w="80" w:type="dxa"/>
              <w:end w:w="90" w:type="dxa"/>
            </w:tcMar>
          </w:tcPr>
          <w:p>
            <w:pPr>
              <w:spacing w:after="0"/>
            </w:pPr>
            <w:r/>
            <w:r>
              <w:rPr>
                <w:rFonts w:ascii="Arial" w:hAnsi="Arial"/>
                <w:b w:val="0"/>
                <w:color w:val="183128"/>
                <w:sz w:val="14"/>
              </w:rPr>
              <w:t>Oil/protein nut</w:t>
            </w:r>
          </w:p>
        </w:tc>
        <w:tc>
          <w:tcPr>
            <w:tcW w:type="dxa" w:w="1304"/>
            <w:vAlign w:val="center"/>
            <w:tcMar>
              <w:top w:w="80" w:type="dxa"/>
              <w:start w:w="90" w:type="dxa"/>
              <w:bottom w:w="80" w:type="dxa"/>
              <w:end w:w="90" w:type="dxa"/>
            </w:tcMar>
          </w:tcPr>
          <w:p>
            <w:pPr>
              <w:spacing w:after="0"/>
            </w:pPr>
            <w:r/>
            <w:r>
              <w:rPr>
                <w:rFonts w:ascii="Arial" w:hAnsi="Arial"/>
                <w:b w:val="0"/>
                <w:color w:val="183128"/>
                <w:sz w:val="14"/>
              </w:rPr>
              <w:t>6–10+</w:t>
            </w:r>
          </w:p>
        </w:tc>
        <w:tc>
          <w:tcPr>
            <w:tcW w:type="dxa" w:w="1814"/>
            <w:vAlign w:val="center"/>
            <w:tcMar>
              <w:top w:w="80" w:type="dxa"/>
              <w:start w:w="90" w:type="dxa"/>
              <w:bottom w:w="80" w:type="dxa"/>
              <w:end w:w="90" w:type="dxa"/>
            </w:tcMar>
          </w:tcPr>
          <w:p>
            <w:pPr>
              <w:spacing w:after="0"/>
            </w:pPr>
            <w:r/>
            <w:r>
              <w:rPr>
                <w:rFonts w:ascii="Arial" w:hAnsi="Arial"/>
                <w:b w:val="0"/>
                <w:color w:val="183128"/>
                <w:sz w:val="14"/>
              </w:rPr>
              <w:t>High-value legacy crop</w:t>
            </w:r>
          </w:p>
        </w:tc>
        <w:tc>
          <w:tcPr>
            <w:tcW w:type="dxa" w:w="3402"/>
            <w:vAlign w:val="center"/>
            <w:tcMar>
              <w:top w:w="80" w:type="dxa"/>
              <w:start w:w="90" w:type="dxa"/>
              <w:bottom w:w="80" w:type="dxa"/>
              <w:end w:w="90" w:type="dxa"/>
            </w:tcMar>
          </w:tcPr>
          <w:p>
            <w:pPr>
              <w:spacing w:after="0"/>
            </w:pPr>
            <w:r/>
            <w:r>
              <w:rPr>
                <w:rFonts w:ascii="Arial" w:hAnsi="Arial"/>
                <w:b w:val="0"/>
                <w:color w:val="183128"/>
                <w:sz w:val="14"/>
              </w:rPr>
              <w:t>Large spacing; allelopathy/competition and late frost need consideration.</w:t>
            </w:r>
          </w:p>
        </w:tc>
      </w:tr>
      <w:tr>
        <w:tc>
          <w:tcPr>
            <w:tcW w:type="dxa" w:w="1417"/>
            <w:shd w:fill="F1F3EF"/>
            <w:vAlign w:val="center"/>
            <w:tcMar>
              <w:top w:w="80" w:type="dxa"/>
              <w:start w:w="90" w:type="dxa"/>
              <w:bottom w:w="80" w:type="dxa"/>
              <w:end w:w="90" w:type="dxa"/>
            </w:tcMar>
          </w:tcPr>
          <w:p>
            <w:pPr>
              <w:spacing w:after="0"/>
            </w:pPr>
            <w:r/>
            <w:r>
              <w:rPr>
                <w:rFonts w:ascii="Arial" w:hAnsi="Arial"/>
                <w:b/>
                <w:color w:val="183128"/>
                <w:sz w:val="14"/>
              </w:rPr>
              <w:t>Carob</w:t>
            </w:r>
          </w:p>
        </w:tc>
        <w:tc>
          <w:tcPr>
            <w:tcW w:type="dxa" w:w="1587"/>
            <w:shd w:fill="F1F3EF"/>
            <w:vAlign w:val="center"/>
            <w:tcMar>
              <w:top w:w="80" w:type="dxa"/>
              <w:start w:w="90" w:type="dxa"/>
              <w:bottom w:w="80" w:type="dxa"/>
              <w:end w:w="90" w:type="dxa"/>
            </w:tcMar>
          </w:tcPr>
          <w:p>
            <w:pPr>
              <w:spacing w:after="0"/>
            </w:pPr>
            <w:r/>
            <w:r>
              <w:rPr>
                <w:rFonts w:ascii="Arial" w:hAnsi="Arial"/>
                <w:b w:val="0"/>
                <w:color w:val="183128"/>
                <w:sz w:val="14"/>
              </w:rPr>
              <w:t>Sweet/savoury pod flour</w:t>
            </w:r>
          </w:p>
        </w:tc>
        <w:tc>
          <w:tcPr>
            <w:tcW w:type="dxa" w:w="1304"/>
            <w:shd w:fill="F1F3EF"/>
            <w:vAlign w:val="center"/>
            <w:tcMar>
              <w:top w:w="80" w:type="dxa"/>
              <w:start w:w="90" w:type="dxa"/>
              <w:bottom w:w="80" w:type="dxa"/>
              <w:end w:w="90" w:type="dxa"/>
            </w:tcMar>
          </w:tcPr>
          <w:p>
            <w:pPr>
              <w:spacing w:after="0"/>
            </w:pPr>
            <w:r/>
            <w:r>
              <w:rPr>
                <w:rFonts w:ascii="Arial" w:hAnsi="Arial"/>
                <w:b w:val="0"/>
                <w:color w:val="183128"/>
                <w:sz w:val="14"/>
              </w:rPr>
              <w:t>4–6+ grafted; longer from seed</w:t>
            </w:r>
          </w:p>
        </w:tc>
        <w:tc>
          <w:tcPr>
            <w:tcW w:type="dxa" w:w="1814"/>
            <w:shd w:fill="F1F3EF"/>
            <w:vAlign w:val="center"/>
            <w:tcMar>
              <w:top w:w="80" w:type="dxa"/>
              <w:start w:w="90" w:type="dxa"/>
              <w:bottom w:w="80" w:type="dxa"/>
              <w:end w:w="90" w:type="dxa"/>
            </w:tcMar>
          </w:tcPr>
          <w:p>
            <w:pPr>
              <w:spacing w:after="0"/>
            </w:pPr>
            <w:r/>
            <w:r>
              <w:rPr>
                <w:rFonts w:ascii="Arial" w:hAnsi="Arial"/>
                <w:b w:val="0"/>
                <w:color w:val="183128"/>
                <w:sz w:val="14"/>
              </w:rPr>
              <w:t>Dryland pod concept</w:t>
            </w:r>
          </w:p>
        </w:tc>
        <w:tc>
          <w:tcPr>
            <w:tcW w:type="dxa" w:w="3402"/>
            <w:shd w:fill="F1F3EF"/>
            <w:vAlign w:val="center"/>
            <w:tcMar>
              <w:top w:w="80" w:type="dxa"/>
              <w:start w:w="90" w:type="dxa"/>
              <w:bottom w:w="80" w:type="dxa"/>
              <w:end w:w="90" w:type="dxa"/>
            </w:tcMar>
          </w:tcPr>
          <w:p>
            <w:pPr>
              <w:spacing w:after="0"/>
            </w:pPr>
            <w:r/>
            <w:r>
              <w:rPr>
                <w:rFonts w:ascii="Arial" w:hAnsi="Arial"/>
                <w:b w:val="0"/>
                <w:color w:val="183128"/>
                <w:sz w:val="14"/>
              </w:rPr>
              <w:t>RHS H3: a UK open-field staple claim is not credible nationally. Use only mild/protected, contained research pilots.</w:t>
            </w:r>
          </w:p>
        </w:tc>
      </w:tr>
      <w:tr>
        <w:tc>
          <w:tcPr>
            <w:tcW w:type="dxa" w:w="1417"/>
            <w:vAlign w:val="center"/>
            <w:tcMar>
              <w:top w:w="80" w:type="dxa"/>
              <w:start w:w="90" w:type="dxa"/>
              <w:bottom w:w="80" w:type="dxa"/>
              <w:end w:w="90" w:type="dxa"/>
            </w:tcMar>
          </w:tcPr>
          <w:p>
            <w:pPr>
              <w:spacing w:after="0"/>
            </w:pPr>
            <w:r/>
            <w:r>
              <w:rPr>
                <w:rFonts w:ascii="Arial" w:hAnsi="Arial"/>
                <w:b/>
                <w:color w:val="183128"/>
                <w:sz w:val="14"/>
              </w:rPr>
              <w:t>Honey locust</w:t>
            </w:r>
          </w:p>
        </w:tc>
        <w:tc>
          <w:tcPr>
            <w:tcW w:type="dxa" w:w="1587"/>
            <w:vAlign w:val="center"/>
            <w:tcMar>
              <w:top w:w="80" w:type="dxa"/>
              <w:start w:w="90" w:type="dxa"/>
              <w:bottom w:w="80" w:type="dxa"/>
              <w:end w:w="90" w:type="dxa"/>
            </w:tcMar>
          </w:tcPr>
          <w:p>
            <w:pPr>
              <w:spacing w:after="0"/>
            </w:pPr>
            <w:r/>
            <w:r>
              <w:rPr>
                <w:rFonts w:ascii="Arial" w:hAnsi="Arial"/>
                <w:b w:val="0"/>
                <w:color w:val="183128"/>
                <w:sz w:val="14"/>
              </w:rPr>
              <w:t>Pods mostly fodder</w:t>
            </w:r>
          </w:p>
        </w:tc>
        <w:tc>
          <w:tcPr>
            <w:tcW w:type="dxa" w:w="1304"/>
            <w:vAlign w:val="center"/>
            <w:tcMar>
              <w:top w:w="80" w:type="dxa"/>
              <w:start w:w="90" w:type="dxa"/>
              <w:bottom w:w="80" w:type="dxa"/>
              <w:end w:w="90" w:type="dxa"/>
            </w:tcMar>
          </w:tcPr>
          <w:p>
            <w:pPr>
              <w:spacing w:after="0"/>
            </w:pPr>
            <w:r/>
            <w:r>
              <w:rPr>
                <w:rFonts w:ascii="Arial" w:hAnsi="Arial"/>
                <w:b w:val="0"/>
                <w:color w:val="183128"/>
                <w:sz w:val="14"/>
              </w:rPr>
              <w:t>4–8+</w:t>
            </w:r>
          </w:p>
        </w:tc>
        <w:tc>
          <w:tcPr>
            <w:tcW w:type="dxa" w:w="1814"/>
            <w:vAlign w:val="center"/>
            <w:tcMar>
              <w:top w:w="80" w:type="dxa"/>
              <w:start w:w="90" w:type="dxa"/>
              <w:bottom w:w="80" w:type="dxa"/>
              <w:end w:w="90" w:type="dxa"/>
            </w:tcMar>
          </w:tcPr>
          <w:p>
            <w:pPr>
              <w:spacing w:after="0"/>
            </w:pPr>
            <w:r/>
            <w:r>
              <w:rPr>
                <w:rFonts w:ascii="Arial" w:hAnsi="Arial"/>
                <w:b w:val="0"/>
                <w:color w:val="183128"/>
                <w:sz w:val="14"/>
              </w:rPr>
              <w:t>Potential fodder/shade</w:t>
            </w:r>
          </w:p>
        </w:tc>
        <w:tc>
          <w:tcPr>
            <w:tcW w:type="dxa" w:w="3402"/>
            <w:vAlign w:val="center"/>
            <w:tcMar>
              <w:top w:w="80" w:type="dxa"/>
              <w:start w:w="90" w:type="dxa"/>
              <w:bottom w:w="80" w:type="dxa"/>
              <w:end w:w="90" w:type="dxa"/>
            </w:tcMar>
          </w:tcPr>
          <w:p>
            <w:pPr>
              <w:spacing w:after="0"/>
            </w:pPr>
            <w:r/>
            <w:r>
              <w:rPr>
                <w:rFonts w:ascii="Arial" w:hAnsi="Arial"/>
                <w:b w:val="0"/>
                <w:color w:val="183128"/>
                <w:sz w:val="14"/>
              </w:rPr>
              <w:t>Use selected thornless cultivars; do not market as a mainstream human staple without food evidence.</w:t>
            </w:r>
          </w:p>
        </w:tc>
      </w:tr>
      <w:tr>
        <w:tc>
          <w:tcPr>
            <w:tcW w:type="dxa" w:w="1417"/>
            <w:shd w:fill="F1F3EF"/>
            <w:vAlign w:val="center"/>
            <w:tcMar>
              <w:top w:w="80" w:type="dxa"/>
              <w:start w:w="90" w:type="dxa"/>
              <w:bottom w:w="80" w:type="dxa"/>
              <w:end w:w="90" w:type="dxa"/>
            </w:tcMar>
          </w:tcPr>
          <w:p>
            <w:pPr>
              <w:spacing w:after="0"/>
            </w:pPr>
            <w:r/>
            <w:r>
              <w:rPr>
                <w:rFonts w:ascii="Arial" w:hAnsi="Arial"/>
                <w:b/>
                <w:color w:val="183128"/>
                <w:sz w:val="14"/>
              </w:rPr>
              <w:t>Oak/acorns</w:t>
            </w:r>
          </w:p>
        </w:tc>
        <w:tc>
          <w:tcPr>
            <w:tcW w:type="dxa" w:w="1587"/>
            <w:shd w:fill="F1F3EF"/>
            <w:vAlign w:val="center"/>
            <w:tcMar>
              <w:top w:w="80" w:type="dxa"/>
              <w:start w:w="90" w:type="dxa"/>
              <w:bottom w:w="80" w:type="dxa"/>
              <w:end w:w="90" w:type="dxa"/>
            </w:tcMar>
          </w:tcPr>
          <w:p>
            <w:pPr>
              <w:spacing w:after="0"/>
            </w:pPr>
            <w:r/>
            <w:r>
              <w:rPr>
                <w:rFonts w:ascii="Arial" w:hAnsi="Arial"/>
                <w:b w:val="0"/>
                <w:color w:val="183128"/>
                <w:sz w:val="14"/>
              </w:rPr>
              <w:t>Processed starch</w:t>
            </w:r>
          </w:p>
        </w:tc>
        <w:tc>
          <w:tcPr>
            <w:tcW w:type="dxa" w:w="1304"/>
            <w:shd w:fill="F1F3EF"/>
            <w:vAlign w:val="center"/>
            <w:tcMar>
              <w:top w:w="80" w:type="dxa"/>
              <w:start w:w="90" w:type="dxa"/>
              <w:bottom w:w="80" w:type="dxa"/>
              <w:end w:w="90" w:type="dxa"/>
            </w:tcMar>
          </w:tcPr>
          <w:p>
            <w:pPr>
              <w:spacing w:after="0"/>
            </w:pPr>
            <w:r/>
            <w:r>
              <w:rPr>
                <w:rFonts w:ascii="Arial" w:hAnsi="Arial"/>
                <w:b w:val="0"/>
                <w:color w:val="183128"/>
                <w:sz w:val="14"/>
              </w:rPr>
              <w:t>Long-term</w:t>
            </w:r>
          </w:p>
        </w:tc>
        <w:tc>
          <w:tcPr>
            <w:tcW w:type="dxa" w:w="1814"/>
            <w:shd w:fill="F1F3EF"/>
            <w:vAlign w:val="center"/>
            <w:tcMar>
              <w:top w:w="80" w:type="dxa"/>
              <w:start w:w="90" w:type="dxa"/>
              <w:bottom w:w="80" w:type="dxa"/>
              <w:end w:w="90" w:type="dxa"/>
            </w:tcMar>
          </w:tcPr>
          <w:p>
            <w:pPr>
              <w:spacing w:after="0"/>
            </w:pPr>
            <w:r/>
            <w:r>
              <w:rPr>
                <w:rFonts w:ascii="Arial" w:hAnsi="Arial"/>
                <w:b w:val="0"/>
                <w:color w:val="183128"/>
                <w:sz w:val="14"/>
              </w:rPr>
              <w:t>Biodiversity and heritage food</w:t>
            </w:r>
          </w:p>
        </w:tc>
        <w:tc>
          <w:tcPr>
            <w:tcW w:type="dxa" w:w="3402"/>
            <w:shd w:fill="F1F3EF"/>
            <w:vAlign w:val="center"/>
            <w:tcMar>
              <w:top w:w="80" w:type="dxa"/>
              <w:start w:w="90" w:type="dxa"/>
              <w:bottom w:w="80" w:type="dxa"/>
              <w:end w:w="90" w:type="dxa"/>
            </w:tcMar>
          </w:tcPr>
          <w:p>
            <w:pPr>
              <w:spacing w:after="0"/>
            </w:pPr>
            <w:r/>
            <w:r>
              <w:rPr>
                <w:rFonts w:ascii="Arial" w:hAnsi="Arial"/>
                <w:b w:val="0"/>
                <w:color w:val="183128"/>
                <w:sz w:val="14"/>
              </w:rPr>
              <w:t>Requires correct species identification and leaching/processing; not a quick crop.</w:t>
            </w:r>
          </w:p>
        </w:tc>
      </w:tr>
    </w:tbl>
    <w:p>
      <w:pPr>
        <w:spacing w:after="0"/>
      </w:pPr>
    </w:p>
    <w:tbl>
      <w:tblPr>
        <w:tblW w:type="auto" w:w="0"/>
        <w:jc w:val="center"/>
        <w:tblLayout w:type="fixed"/>
        <w:tblLook w:firstColumn="1" w:firstRow="1" w:lastColumn="0" w:lastRow="0" w:noHBand="0" w:noVBand="1" w:val="04A0"/>
      </w:tblPr>
      <w:tblGrid>
        <w:gridCol w:w="198"/>
        <w:gridCol w:w="9298"/>
      </w:tblGrid>
      <w:tr>
        <w:tc>
          <w:tcPr>
            <w:tcW w:type="dxa" w:w="4989"/>
            <w:shd w:fill="B34B45"/>
            <w:vAlign w:val="center"/>
            <w:tcMar>
              <w:top w:w="80" w:type="dxa"/>
              <w:start w:w="90" w:type="dxa"/>
              <w:bottom w:w="80" w:type="dxa"/>
              <w:end w:w="90" w:type="dxa"/>
            </w:tcMar>
          </w:tcPr>
          <w:p>
            <w:pPr>
              <w:spacing w:after="0"/>
            </w:pPr>
            <w:r/>
            <w:r>
              <w:rPr>
                <w:rFonts w:ascii="Arial" w:hAnsi="Arial"/>
                <w:b w:val="0"/>
                <w:color w:val="FFFFFF"/>
                <w:sz w:val="16"/>
              </w:rPr>
            </w:r>
          </w:p>
        </w:tc>
        <w:tc>
          <w:tcPr>
            <w:tcW w:type="dxa" w:w="4989"/>
            <w:shd w:fill="F7E7E5"/>
            <w:tcMar>
              <w:top w:w="120" w:type="dxa"/>
              <w:start w:w="160" w:type="dxa"/>
              <w:bottom w:w="120" w:type="dxa"/>
              <w:end w:w="160" w:type="dxa"/>
            </w:tcMar>
          </w:tcPr>
          <w:p>
            <w:r/>
            <w:r>
              <w:rPr>
                <w:b/>
                <w:color w:val="183128"/>
                <w:sz w:val="20"/>
              </w:rPr>
              <w:t>“Bean tree” safety rule</w:t>
              <w:br/>
            </w:r>
            <w:r>
              <w:rPr>
                <w:color w:val="56645D"/>
                <w:sz w:val="18"/>
              </w:rPr>
              <w:t>Catalpa pods and laburnum are not general foods; laburnum is toxic. Black locust is also not a routine food tree. Common names are not evidence of edibility. Require botanical identification, credible food-safety sources and invasive-species review.</w:t>
            </w:r>
          </w:p>
        </w:tc>
      </w:tr>
    </w:tbl>
    <w:p>
      <w:pPr>
        <w:spacing w:after="0"/>
      </w:pPr>
    </w:p>
    <w:p>
      <w:pPr>
        <w:pStyle w:val="Heading1"/>
      </w:pPr>
      <w:r>
        <w:t>1.4 Perennial herbs and vegetables</w:t>
      </w:r>
    </w:p>
    <w:tbl>
      <w:tblPr>
        <w:tblStyle w:val="TableGrid"/>
        <w:tblW w:type="auto" w:w="0"/>
        <w:jc w:val="center"/>
        <w:tblLayout w:type="fixed"/>
        <w:tblLook w:firstColumn="1" w:firstRow="1" w:lastColumn="0" w:lastRow="0" w:noHBand="0" w:noVBand="1" w:val="04A0"/>
      </w:tblPr>
      <w:tblGrid>
        <w:gridCol w:w="1701"/>
        <w:gridCol w:w="3969"/>
        <w:gridCol w:w="3742"/>
      </w:tblGrid>
      <w:tr>
        <w:trPr>
          <w:tblHeader w:val="true"/>
        </w:trPr>
        <w:tc>
          <w:tcPr>
            <w:tcW w:type="dxa" w:w="3326"/>
            <w:shd w:fill="15362A"/>
            <w:vAlign w:val="center"/>
            <w:tcMar>
              <w:top w:w="80" w:type="dxa"/>
              <w:start w:w="90" w:type="dxa"/>
              <w:bottom w:w="80" w:type="dxa"/>
              <w:end w:w="90" w:type="dxa"/>
            </w:tcMar>
          </w:tcPr>
          <w:p>
            <w:pPr>
              <w:spacing w:after="0"/>
            </w:pPr>
            <w:r/>
            <w:r>
              <w:rPr>
                <w:rFonts w:ascii="Arial" w:hAnsi="Arial"/>
                <w:b/>
                <w:color w:val="FFFFFF"/>
                <w:sz w:val="16"/>
              </w:rPr>
              <w:t>Function</w:t>
            </w:r>
          </w:p>
        </w:tc>
        <w:tc>
          <w:tcPr>
            <w:tcW w:type="dxa" w:w="3326"/>
            <w:shd w:fill="15362A"/>
            <w:vAlign w:val="center"/>
            <w:tcMar>
              <w:top w:w="80" w:type="dxa"/>
              <w:start w:w="90" w:type="dxa"/>
              <w:bottom w:w="80" w:type="dxa"/>
              <w:end w:w="90" w:type="dxa"/>
            </w:tcMar>
          </w:tcPr>
          <w:p>
            <w:pPr>
              <w:spacing w:after="0"/>
            </w:pPr>
            <w:r/>
            <w:r>
              <w:rPr>
                <w:rFonts w:ascii="Arial" w:hAnsi="Arial"/>
                <w:b/>
                <w:color w:val="FFFFFF"/>
                <w:sz w:val="16"/>
              </w:rPr>
              <w:t>Examples</w:t>
            </w:r>
          </w:p>
        </w:tc>
        <w:tc>
          <w:tcPr>
            <w:tcW w:type="dxa" w:w="3326"/>
            <w:shd w:fill="15362A"/>
            <w:vAlign w:val="center"/>
            <w:tcMar>
              <w:top w:w="80" w:type="dxa"/>
              <w:start w:w="90" w:type="dxa"/>
              <w:bottom w:w="80" w:type="dxa"/>
              <w:end w:w="90" w:type="dxa"/>
            </w:tcMar>
          </w:tcPr>
          <w:p>
            <w:pPr>
              <w:spacing w:after="0"/>
            </w:pPr>
            <w:r/>
            <w:r>
              <w:rPr>
                <w:rFonts w:ascii="Arial" w:hAnsi="Arial"/>
                <w:b/>
                <w:color w:val="FFFFFF"/>
                <w:sz w:val="16"/>
              </w:rPr>
              <w:t>Management</w:t>
            </w:r>
          </w:p>
        </w:tc>
      </w:tr>
      <w:tr>
        <w:tc>
          <w:tcPr>
            <w:tcW w:type="dxa" w:w="1701"/>
            <w:vAlign w:val="center"/>
            <w:tcMar>
              <w:top w:w="80" w:type="dxa"/>
              <w:start w:w="90" w:type="dxa"/>
              <w:bottom w:w="80" w:type="dxa"/>
              <w:end w:w="90" w:type="dxa"/>
            </w:tcMar>
          </w:tcPr>
          <w:p>
            <w:pPr>
              <w:spacing w:after="0"/>
            </w:pPr>
            <w:r/>
            <w:r>
              <w:rPr>
                <w:rFonts w:ascii="Arial" w:hAnsi="Arial"/>
                <w:b/>
                <w:color w:val="183128"/>
                <w:sz w:val="16"/>
              </w:rPr>
              <w:t>Kitchen herbs</w:t>
            </w:r>
          </w:p>
        </w:tc>
        <w:tc>
          <w:tcPr>
            <w:tcW w:type="dxa" w:w="3969"/>
            <w:vAlign w:val="center"/>
            <w:tcMar>
              <w:top w:w="80" w:type="dxa"/>
              <w:start w:w="90" w:type="dxa"/>
              <w:bottom w:w="80" w:type="dxa"/>
              <w:end w:w="90" w:type="dxa"/>
            </w:tcMar>
          </w:tcPr>
          <w:p>
            <w:pPr>
              <w:spacing w:after="0"/>
            </w:pPr>
            <w:r/>
            <w:r>
              <w:rPr>
                <w:rFonts w:ascii="Arial" w:hAnsi="Arial"/>
                <w:b w:val="0"/>
                <w:color w:val="183128"/>
                <w:sz w:val="16"/>
              </w:rPr>
              <w:t>Rosemary, thyme, sage, oregano, chives, lovage, sorrel, tarragon, fennel.</w:t>
            </w:r>
          </w:p>
        </w:tc>
        <w:tc>
          <w:tcPr>
            <w:tcW w:type="dxa" w:w="3742"/>
            <w:vAlign w:val="center"/>
            <w:tcMar>
              <w:top w:w="80" w:type="dxa"/>
              <w:start w:w="90" w:type="dxa"/>
              <w:bottom w:w="80" w:type="dxa"/>
              <w:end w:w="90" w:type="dxa"/>
            </w:tcMar>
          </w:tcPr>
          <w:p>
            <w:pPr>
              <w:spacing w:after="0"/>
            </w:pPr>
            <w:r/>
            <w:r>
              <w:rPr>
                <w:rFonts w:ascii="Arial" w:hAnsi="Arial"/>
                <w:b w:val="0"/>
                <w:color w:val="183128"/>
                <w:sz w:val="16"/>
              </w:rPr>
              <w:t>Place close to access and harvesting; choose drainage/light by species.</w:t>
            </w:r>
          </w:p>
        </w:tc>
      </w:tr>
      <w:tr>
        <w:tc>
          <w:tcPr>
            <w:tcW w:type="dxa" w:w="1701"/>
            <w:shd w:fill="F1F3EF"/>
            <w:vAlign w:val="center"/>
            <w:tcMar>
              <w:top w:w="80" w:type="dxa"/>
              <w:start w:w="90" w:type="dxa"/>
              <w:bottom w:w="80" w:type="dxa"/>
              <w:end w:w="90" w:type="dxa"/>
            </w:tcMar>
          </w:tcPr>
          <w:p>
            <w:pPr>
              <w:spacing w:after="0"/>
            </w:pPr>
            <w:r/>
            <w:r>
              <w:rPr>
                <w:rFonts w:ascii="Arial" w:hAnsi="Arial"/>
                <w:b/>
                <w:color w:val="183128"/>
                <w:sz w:val="16"/>
              </w:rPr>
              <w:t>Perennial food</w:t>
            </w:r>
          </w:p>
        </w:tc>
        <w:tc>
          <w:tcPr>
            <w:tcW w:type="dxa" w:w="3969"/>
            <w:shd w:fill="F1F3EF"/>
            <w:vAlign w:val="center"/>
            <w:tcMar>
              <w:top w:w="80" w:type="dxa"/>
              <w:start w:w="90" w:type="dxa"/>
              <w:bottom w:w="80" w:type="dxa"/>
              <w:end w:w="90" w:type="dxa"/>
            </w:tcMar>
          </w:tcPr>
          <w:p>
            <w:pPr>
              <w:spacing w:after="0"/>
            </w:pPr>
            <w:r/>
            <w:r>
              <w:rPr>
                <w:rFonts w:ascii="Arial" w:hAnsi="Arial"/>
                <w:b w:val="0"/>
                <w:color w:val="183128"/>
                <w:sz w:val="16"/>
              </w:rPr>
              <w:t>Asparagus, rhubarb, globe artichoke/cardoon, perennial kale, wild garlic, sea beet.</w:t>
            </w:r>
          </w:p>
        </w:tc>
        <w:tc>
          <w:tcPr>
            <w:tcW w:type="dxa" w:w="3742"/>
            <w:shd w:fill="F1F3EF"/>
            <w:vAlign w:val="center"/>
            <w:tcMar>
              <w:top w:w="80" w:type="dxa"/>
              <w:start w:w="90" w:type="dxa"/>
              <w:bottom w:w="80" w:type="dxa"/>
              <w:end w:w="90" w:type="dxa"/>
            </w:tcMar>
          </w:tcPr>
          <w:p>
            <w:pPr>
              <w:spacing w:after="0"/>
            </w:pPr>
            <w:r/>
            <w:r>
              <w:rPr>
                <w:rFonts w:ascii="Arial" w:hAnsi="Arial"/>
                <w:b w:val="0"/>
                <w:color w:val="183128"/>
                <w:sz w:val="16"/>
              </w:rPr>
              <w:t>Allocate permanent beds; do not expect asparagus peak yields immediately.</w:t>
            </w:r>
          </w:p>
        </w:tc>
      </w:tr>
      <w:tr>
        <w:tc>
          <w:tcPr>
            <w:tcW w:type="dxa" w:w="1701"/>
            <w:vAlign w:val="center"/>
            <w:tcMar>
              <w:top w:w="80" w:type="dxa"/>
              <w:start w:w="90" w:type="dxa"/>
              <w:bottom w:w="80" w:type="dxa"/>
              <w:end w:w="90" w:type="dxa"/>
            </w:tcMar>
          </w:tcPr>
          <w:p>
            <w:pPr>
              <w:spacing w:after="0"/>
            </w:pPr>
            <w:r/>
            <w:r>
              <w:rPr>
                <w:rFonts w:ascii="Arial" w:hAnsi="Arial"/>
                <w:b/>
                <w:color w:val="183128"/>
                <w:sz w:val="16"/>
              </w:rPr>
              <w:t>Pollinators</w:t>
            </w:r>
          </w:p>
        </w:tc>
        <w:tc>
          <w:tcPr>
            <w:tcW w:type="dxa" w:w="3969"/>
            <w:vAlign w:val="center"/>
            <w:tcMar>
              <w:top w:w="80" w:type="dxa"/>
              <w:start w:w="90" w:type="dxa"/>
              <w:bottom w:w="80" w:type="dxa"/>
              <w:end w:w="90" w:type="dxa"/>
            </w:tcMar>
          </w:tcPr>
          <w:p>
            <w:pPr>
              <w:spacing w:after="0"/>
            </w:pPr>
            <w:r/>
            <w:r>
              <w:rPr>
                <w:rFonts w:ascii="Arial" w:hAnsi="Arial"/>
                <w:b w:val="0"/>
                <w:color w:val="183128"/>
                <w:sz w:val="16"/>
              </w:rPr>
              <w:t>Lavender, hyssop, yarrow, bee balm, angelica, knapweed, flowering herbs.</w:t>
            </w:r>
          </w:p>
        </w:tc>
        <w:tc>
          <w:tcPr>
            <w:tcW w:type="dxa" w:w="3742"/>
            <w:vAlign w:val="center"/>
            <w:tcMar>
              <w:top w:w="80" w:type="dxa"/>
              <w:start w:w="90" w:type="dxa"/>
              <w:bottom w:w="80" w:type="dxa"/>
              <w:end w:w="90" w:type="dxa"/>
            </w:tcMar>
          </w:tcPr>
          <w:p>
            <w:pPr>
              <w:spacing w:after="0"/>
            </w:pPr>
            <w:r/>
            <w:r>
              <w:rPr>
                <w:rFonts w:ascii="Arial" w:hAnsi="Arial"/>
                <w:b w:val="0"/>
                <w:color w:val="183128"/>
                <w:sz w:val="16"/>
              </w:rPr>
              <w:t>Plan a flowering sequence; avoid pesticide exposure during bloom.</w:t>
            </w:r>
          </w:p>
        </w:tc>
      </w:tr>
      <w:tr>
        <w:tc>
          <w:tcPr>
            <w:tcW w:type="dxa" w:w="1701"/>
            <w:shd w:fill="F1F3EF"/>
            <w:vAlign w:val="center"/>
            <w:tcMar>
              <w:top w:w="80" w:type="dxa"/>
              <w:start w:w="90" w:type="dxa"/>
              <w:bottom w:w="80" w:type="dxa"/>
              <w:end w:w="90" w:type="dxa"/>
            </w:tcMar>
          </w:tcPr>
          <w:p>
            <w:pPr>
              <w:spacing w:after="0"/>
            </w:pPr>
            <w:r/>
            <w:r>
              <w:rPr>
                <w:rFonts w:ascii="Arial" w:hAnsi="Arial"/>
                <w:b/>
                <w:color w:val="183128"/>
                <w:sz w:val="16"/>
              </w:rPr>
              <w:t>Soil/biomass</w:t>
            </w:r>
          </w:p>
        </w:tc>
        <w:tc>
          <w:tcPr>
            <w:tcW w:type="dxa" w:w="3969"/>
            <w:shd w:fill="F1F3EF"/>
            <w:vAlign w:val="center"/>
            <w:tcMar>
              <w:top w:w="80" w:type="dxa"/>
              <w:start w:w="90" w:type="dxa"/>
              <w:bottom w:w="80" w:type="dxa"/>
              <w:end w:w="90" w:type="dxa"/>
            </w:tcMar>
          </w:tcPr>
          <w:p>
            <w:pPr>
              <w:spacing w:after="0"/>
            </w:pPr>
            <w:r/>
            <w:r>
              <w:rPr>
                <w:rFonts w:ascii="Arial" w:hAnsi="Arial"/>
                <w:b w:val="0"/>
                <w:color w:val="183128"/>
                <w:sz w:val="16"/>
              </w:rPr>
              <w:t>White/red clover, vetch, comfrey, managed nettle patches.</w:t>
            </w:r>
          </w:p>
        </w:tc>
        <w:tc>
          <w:tcPr>
            <w:tcW w:type="dxa" w:w="3742"/>
            <w:shd w:fill="F1F3EF"/>
            <w:vAlign w:val="center"/>
            <w:tcMar>
              <w:top w:w="80" w:type="dxa"/>
              <w:start w:w="90" w:type="dxa"/>
              <w:bottom w:w="80" w:type="dxa"/>
              <w:end w:w="90" w:type="dxa"/>
            </w:tcMar>
          </w:tcPr>
          <w:p>
            <w:pPr>
              <w:spacing w:after="0"/>
            </w:pPr>
            <w:r/>
            <w:r>
              <w:rPr>
                <w:rFonts w:ascii="Arial" w:hAnsi="Arial"/>
                <w:b w:val="0"/>
                <w:color w:val="183128"/>
                <w:sz w:val="16"/>
              </w:rPr>
              <w:t>Prevent spread into crops; cut/export biomass where nutrient loading matters.</w:t>
            </w:r>
          </w:p>
        </w:tc>
      </w:tr>
      <w:tr>
        <w:tc>
          <w:tcPr>
            <w:tcW w:type="dxa" w:w="1701"/>
            <w:vAlign w:val="center"/>
            <w:tcMar>
              <w:top w:w="80" w:type="dxa"/>
              <w:start w:w="90" w:type="dxa"/>
              <w:bottom w:w="80" w:type="dxa"/>
              <w:end w:w="90" w:type="dxa"/>
            </w:tcMar>
          </w:tcPr>
          <w:p>
            <w:pPr>
              <w:spacing w:after="0"/>
            </w:pPr>
            <w:r/>
            <w:r>
              <w:rPr>
                <w:rFonts w:ascii="Arial" w:hAnsi="Arial"/>
                <w:b/>
                <w:color w:val="183128"/>
                <w:sz w:val="16"/>
              </w:rPr>
              <w:t>Contained vigorous herbs</w:t>
            </w:r>
          </w:p>
        </w:tc>
        <w:tc>
          <w:tcPr>
            <w:tcW w:type="dxa" w:w="3969"/>
            <w:vAlign w:val="center"/>
            <w:tcMar>
              <w:top w:w="80" w:type="dxa"/>
              <w:start w:w="90" w:type="dxa"/>
              <w:bottom w:w="80" w:type="dxa"/>
              <w:end w:w="90" w:type="dxa"/>
            </w:tcMar>
          </w:tcPr>
          <w:p>
            <w:pPr>
              <w:spacing w:after="0"/>
            </w:pPr>
            <w:r/>
            <w:r>
              <w:rPr>
                <w:rFonts w:ascii="Arial" w:hAnsi="Arial"/>
                <w:b w:val="0"/>
                <w:color w:val="183128"/>
                <w:sz w:val="16"/>
              </w:rPr>
              <w:t>Mint and lemon balm.</w:t>
            </w:r>
          </w:p>
        </w:tc>
        <w:tc>
          <w:tcPr>
            <w:tcW w:type="dxa" w:w="3742"/>
            <w:vAlign w:val="center"/>
            <w:tcMar>
              <w:top w:w="80" w:type="dxa"/>
              <w:start w:w="90" w:type="dxa"/>
              <w:bottom w:w="80" w:type="dxa"/>
              <w:end w:w="90" w:type="dxa"/>
            </w:tcMar>
          </w:tcPr>
          <w:p>
            <w:pPr>
              <w:spacing w:after="0"/>
            </w:pPr>
            <w:r/>
            <w:r>
              <w:rPr>
                <w:rFonts w:ascii="Arial" w:hAnsi="Arial"/>
                <w:b w:val="0"/>
                <w:color w:val="183128"/>
                <w:sz w:val="16"/>
              </w:rPr>
              <w:t>Use barriers, pots or bounded beds where spread would create labour.</w:t>
            </w:r>
          </w:p>
        </w:tc>
      </w:tr>
    </w:tbl>
    <w:p>
      <w:pPr>
        <w:spacing w:after="0"/>
      </w:pPr>
    </w:p>
    <w:p>
      <w:pPr>
        <w:pStyle w:val="Heading1"/>
      </w:pPr>
      <w:r>
        <w:t>1.5 How to plant a tree</w:t>
      </w:r>
    </w:p>
    <w:p>
      <w:pPr>
        <w:jc w:val="center"/>
      </w:pPr>
      <w:r>
        <w:drawing>
          <wp:inline xmlns:a="http://schemas.openxmlformats.org/drawingml/2006/main" xmlns:pic="http://schemas.openxmlformats.org/drawingml/2006/picture">
            <wp:extent cx="3240000" cy="1823469"/>
            <wp:docPr id="3" name="Picture 3"/>
            <wp:cNvGraphicFramePr>
              <a:graphicFrameLocks noChangeAspect="1"/>
            </wp:cNvGraphicFramePr>
            <a:graphic>
              <a:graphicData uri="http://schemas.openxmlformats.org/drawingml/2006/picture">
                <pic:pic>
                  <pic:nvPicPr>
                    <pic:cNvPr id="0" name="exec-5a4a5ca0-23df-47b2-863f-264393cb8503.png"/>
                    <pic:cNvPicPr/>
                  </pic:nvPicPr>
                  <pic:blipFill>
                    <a:blip r:embed="rId13"/>
                    <a:stretch>
                      <a:fillRect/>
                    </a:stretch>
                  </pic:blipFill>
                  <pic:spPr>
                    <a:xfrm>
                      <a:off x="0" y="0"/>
                      <a:ext cx="3240000" cy="1823469"/>
                    </a:xfrm>
                    <a:prstGeom prst="rect"/>
                  </pic:spPr>
                </pic:pic>
              </a:graphicData>
            </a:graphic>
          </wp:inline>
        </w:drawing>
      </w:r>
    </w:p>
    <w:tbl>
      <w:tblPr>
        <w:tblStyle w:val="TableGrid"/>
        <w:tblW w:type="auto" w:w="0"/>
        <w:jc w:val="center"/>
        <w:tblLayout w:type="fixed"/>
        <w:tblLook w:firstColumn="1" w:firstRow="1" w:lastColumn="0" w:lastRow="0" w:noHBand="0" w:noVBand="1" w:val="04A0"/>
      </w:tblPr>
      <w:tblGrid>
        <w:gridCol w:w="1134"/>
        <w:gridCol w:w="4535"/>
        <w:gridCol w:w="3685"/>
      </w:tblGrid>
      <w:tr>
        <w:trPr>
          <w:tblHeader w:val="true"/>
        </w:trPr>
        <w:tc>
          <w:tcPr>
            <w:tcW w:type="dxa" w:w="3326"/>
            <w:shd w:fill="15362A"/>
            <w:vAlign w:val="center"/>
            <w:tcMar>
              <w:top w:w="80" w:type="dxa"/>
              <w:start w:w="90" w:type="dxa"/>
              <w:bottom w:w="80" w:type="dxa"/>
              <w:end w:w="90" w:type="dxa"/>
            </w:tcMar>
          </w:tcPr>
          <w:p>
            <w:pPr>
              <w:spacing w:after="0"/>
            </w:pPr>
            <w:r/>
            <w:r>
              <w:rPr>
                <w:rFonts w:ascii="Arial" w:hAnsi="Arial"/>
                <w:b/>
                <w:color w:val="FFFFFF"/>
                <w:sz w:val="15"/>
              </w:rPr>
              <w:t>Step</w:t>
            </w:r>
          </w:p>
        </w:tc>
        <w:tc>
          <w:tcPr>
            <w:tcW w:type="dxa" w:w="3326"/>
            <w:shd w:fill="15362A"/>
            <w:vAlign w:val="center"/>
            <w:tcMar>
              <w:top w:w="80" w:type="dxa"/>
              <w:start w:w="90" w:type="dxa"/>
              <w:bottom w:w="80" w:type="dxa"/>
              <w:end w:w="90" w:type="dxa"/>
            </w:tcMar>
          </w:tcPr>
          <w:p>
            <w:pPr>
              <w:spacing w:after="0"/>
            </w:pPr>
            <w:r/>
            <w:r>
              <w:rPr>
                <w:rFonts w:ascii="Arial" w:hAnsi="Arial"/>
                <w:b/>
                <w:color w:val="FFFFFF"/>
                <w:sz w:val="15"/>
              </w:rPr>
              <w:t>Method</w:t>
            </w:r>
          </w:p>
        </w:tc>
        <w:tc>
          <w:tcPr>
            <w:tcW w:type="dxa" w:w="3326"/>
            <w:shd w:fill="15362A"/>
            <w:vAlign w:val="center"/>
            <w:tcMar>
              <w:top w:w="80" w:type="dxa"/>
              <w:start w:w="90" w:type="dxa"/>
              <w:bottom w:w="80" w:type="dxa"/>
              <w:end w:w="90" w:type="dxa"/>
            </w:tcMar>
          </w:tcPr>
          <w:p>
            <w:pPr>
              <w:spacing w:after="0"/>
            </w:pPr>
            <w:r/>
            <w:r>
              <w:rPr>
                <w:rFonts w:ascii="Arial" w:hAnsi="Arial"/>
                <w:b/>
                <w:color w:val="FFFFFF"/>
                <w:sz w:val="15"/>
              </w:rPr>
              <w:t>Reason</w:t>
            </w:r>
          </w:p>
        </w:tc>
      </w:tr>
      <w:tr>
        <w:tc>
          <w:tcPr>
            <w:tcW w:type="dxa" w:w="1134"/>
            <w:vAlign w:val="center"/>
            <w:tcMar>
              <w:top w:w="80" w:type="dxa"/>
              <w:start w:w="90" w:type="dxa"/>
              <w:bottom w:w="80" w:type="dxa"/>
              <w:end w:w="90" w:type="dxa"/>
            </w:tcMar>
          </w:tcPr>
          <w:p>
            <w:pPr>
              <w:spacing w:after="0"/>
            </w:pPr>
            <w:r/>
            <w:r>
              <w:rPr>
                <w:rFonts w:ascii="Arial" w:hAnsi="Arial"/>
                <w:b/>
                <w:color w:val="183128"/>
                <w:sz w:val="15"/>
              </w:rPr>
              <w:t>1. Survey</w:t>
            </w:r>
          </w:p>
        </w:tc>
        <w:tc>
          <w:tcPr>
            <w:tcW w:type="dxa" w:w="4535"/>
            <w:vAlign w:val="center"/>
            <w:tcMar>
              <w:top w:w="80" w:type="dxa"/>
              <w:start w:w="90" w:type="dxa"/>
              <w:bottom w:w="80" w:type="dxa"/>
              <w:end w:w="90" w:type="dxa"/>
            </w:tcMar>
          </w:tcPr>
          <w:p>
            <w:pPr>
              <w:spacing w:after="0"/>
            </w:pPr>
            <w:r/>
            <w:r>
              <w:rPr>
                <w:rFonts w:ascii="Arial" w:hAnsi="Arial"/>
                <w:b w:val="0"/>
                <w:color w:val="183128"/>
                <w:sz w:val="15"/>
              </w:rPr>
              <w:t>Map services, drains, access, slopes, shade, wind, soil constraints, designated sites and operational routes.</w:t>
            </w:r>
          </w:p>
        </w:tc>
        <w:tc>
          <w:tcPr>
            <w:tcW w:type="dxa" w:w="3685"/>
            <w:vAlign w:val="center"/>
            <w:tcMar>
              <w:top w:w="80" w:type="dxa"/>
              <w:start w:w="90" w:type="dxa"/>
              <w:bottom w:w="80" w:type="dxa"/>
              <w:end w:w="90" w:type="dxa"/>
            </w:tcMar>
          </w:tcPr>
          <w:p>
            <w:pPr>
              <w:spacing w:after="0"/>
            </w:pPr>
            <w:r/>
            <w:r>
              <w:rPr>
                <w:rFonts w:ascii="Arial" w:hAnsi="Arial"/>
                <w:b w:val="0"/>
                <w:color w:val="183128"/>
                <w:sz w:val="15"/>
              </w:rPr>
              <w:t>Prevents conflict, damage and inappropriate planting.</w:t>
            </w:r>
          </w:p>
        </w:tc>
      </w:tr>
      <w:tr>
        <w:tc>
          <w:tcPr>
            <w:tcW w:type="dxa" w:w="1134"/>
            <w:shd w:fill="F1F3EF"/>
            <w:vAlign w:val="center"/>
            <w:tcMar>
              <w:top w:w="80" w:type="dxa"/>
              <w:start w:w="90" w:type="dxa"/>
              <w:bottom w:w="80" w:type="dxa"/>
              <w:end w:w="90" w:type="dxa"/>
            </w:tcMar>
          </w:tcPr>
          <w:p>
            <w:pPr>
              <w:spacing w:after="0"/>
            </w:pPr>
            <w:r/>
            <w:r>
              <w:rPr>
                <w:rFonts w:ascii="Arial" w:hAnsi="Arial"/>
                <w:b/>
                <w:color w:val="183128"/>
                <w:sz w:val="15"/>
              </w:rPr>
              <w:t>2. Specify</w:t>
            </w:r>
          </w:p>
        </w:tc>
        <w:tc>
          <w:tcPr>
            <w:tcW w:type="dxa" w:w="4535"/>
            <w:shd w:fill="F1F3EF"/>
            <w:vAlign w:val="center"/>
            <w:tcMar>
              <w:top w:w="80" w:type="dxa"/>
              <w:start w:w="90" w:type="dxa"/>
              <w:bottom w:w="80" w:type="dxa"/>
              <w:end w:w="90" w:type="dxa"/>
            </w:tcMar>
          </w:tcPr>
          <w:p>
            <w:pPr>
              <w:spacing w:after="0"/>
            </w:pPr>
            <w:r/>
            <w:r>
              <w:rPr>
                <w:rFonts w:ascii="Arial" w:hAnsi="Arial"/>
                <w:b w:val="0"/>
                <w:color w:val="183128"/>
                <w:sz w:val="15"/>
              </w:rPr>
              <w:t>Choose botanical species, cultivar, rootstock, plant size, pollination partners and guard type.</w:t>
            </w:r>
          </w:p>
        </w:tc>
        <w:tc>
          <w:tcPr>
            <w:tcW w:type="dxa" w:w="3685"/>
            <w:shd w:fill="F1F3EF"/>
            <w:vAlign w:val="center"/>
            <w:tcMar>
              <w:top w:w="80" w:type="dxa"/>
              <w:start w:w="90" w:type="dxa"/>
              <w:bottom w:w="80" w:type="dxa"/>
              <w:end w:w="90" w:type="dxa"/>
            </w:tcMar>
          </w:tcPr>
          <w:p>
            <w:pPr>
              <w:spacing w:after="0"/>
            </w:pPr>
            <w:r/>
            <w:r>
              <w:rPr>
                <w:rFonts w:ascii="Arial" w:hAnsi="Arial"/>
                <w:b w:val="0"/>
                <w:color w:val="183128"/>
                <w:sz w:val="15"/>
              </w:rPr>
              <w:t>The rootstock governs mature size, bearing, anchorage and grant fit.</w:t>
            </w:r>
          </w:p>
        </w:tc>
      </w:tr>
      <w:tr>
        <w:tc>
          <w:tcPr>
            <w:tcW w:type="dxa" w:w="1134"/>
            <w:vAlign w:val="center"/>
            <w:tcMar>
              <w:top w:w="80" w:type="dxa"/>
              <w:start w:w="90" w:type="dxa"/>
              <w:bottom w:w="80" w:type="dxa"/>
              <w:end w:w="90" w:type="dxa"/>
            </w:tcMar>
          </w:tcPr>
          <w:p>
            <w:pPr>
              <w:spacing w:after="0"/>
            </w:pPr>
            <w:r/>
            <w:r>
              <w:rPr>
                <w:rFonts w:ascii="Arial" w:hAnsi="Arial"/>
                <w:b/>
                <w:color w:val="183128"/>
                <w:sz w:val="15"/>
              </w:rPr>
              <w:t>3. Time</w:t>
            </w:r>
          </w:p>
        </w:tc>
        <w:tc>
          <w:tcPr>
            <w:tcW w:type="dxa" w:w="4535"/>
            <w:vAlign w:val="center"/>
            <w:tcMar>
              <w:top w:w="80" w:type="dxa"/>
              <w:start w:w="90" w:type="dxa"/>
              <w:bottom w:w="80" w:type="dxa"/>
              <w:end w:w="90" w:type="dxa"/>
            </w:tcMar>
          </w:tcPr>
          <w:p>
            <w:pPr>
              <w:spacing w:after="0"/>
            </w:pPr>
            <w:r/>
            <w:r>
              <w:rPr>
                <w:rFonts w:ascii="Arial" w:hAnsi="Arial"/>
                <w:b w:val="0"/>
                <w:color w:val="183128"/>
                <w:sz w:val="15"/>
              </w:rPr>
              <w:t>Plant bare-root stock in dormancy when soil is neither frozen nor waterlogged. Container stock can extend the season with irrigation.</w:t>
            </w:r>
          </w:p>
        </w:tc>
        <w:tc>
          <w:tcPr>
            <w:tcW w:type="dxa" w:w="3685"/>
            <w:vAlign w:val="center"/>
            <w:tcMar>
              <w:top w:w="80" w:type="dxa"/>
              <w:start w:w="90" w:type="dxa"/>
              <w:bottom w:w="80" w:type="dxa"/>
              <w:end w:w="90" w:type="dxa"/>
            </w:tcMar>
          </w:tcPr>
          <w:p>
            <w:pPr>
              <w:spacing w:after="0"/>
            </w:pPr>
            <w:r/>
            <w:r>
              <w:rPr>
                <w:rFonts w:ascii="Arial" w:hAnsi="Arial"/>
                <w:b w:val="0"/>
                <w:color w:val="183128"/>
                <w:sz w:val="15"/>
              </w:rPr>
              <w:t>Reduces stress and cost.</w:t>
            </w:r>
          </w:p>
        </w:tc>
      </w:tr>
      <w:tr>
        <w:tc>
          <w:tcPr>
            <w:tcW w:type="dxa" w:w="1134"/>
            <w:shd w:fill="F1F3EF"/>
            <w:vAlign w:val="center"/>
            <w:tcMar>
              <w:top w:w="80" w:type="dxa"/>
              <w:start w:w="90" w:type="dxa"/>
              <w:bottom w:w="80" w:type="dxa"/>
              <w:end w:w="90" w:type="dxa"/>
            </w:tcMar>
          </w:tcPr>
          <w:p>
            <w:pPr>
              <w:spacing w:after="0"/>
            </w:pPr>
            <w:r/>
            <w:r>
              <w:rPr>
                <w:rFonts w:ascii="Arial" w:hAnsi="Arial"/>
                <w:b/>
                <w:color w:val="183128"/>
                <w:sz w:val="15"/>
              </w:rPr>
              <w:t>4. Hole</w:t>
            </w:r>
          </w:p>
        </w:tc>
        <w:tc>
          <w:tcPr>
            <w:tcW w:type="dxa" w:w="4535"/>
            <w:shd w:fill="F1F3EF"/>
            <w:vAlign w:val="center"/>
            <w:tcMar>
              <w:top w:w="80" w:type="dxa"/>
              <w:start w:w="90" w:type="dxa"/>
              <w:bottom w:w="80" w:type="dxa"/>
              <w:end w:w="90" w:type="dxa"/>
            </w:tcMar>
          </w:tcPr>
          <w:p>
            <w:pPr>
              <w:spacing w:after="0"/>
            </w:pPr>
            <w:r/>
            <w:r>
              <w:rPr>
                <w:rFonts w:ascii="Arial" w:hAnsi="Arial"/>
                <w:b w:val="0"/>
                <w:color w:val="183128"/>
                <w:sz w:val="15"/>
              </w:rPr>
              <w:t>Dig broad enough for roots, not deeper than the root system; loosen glazed sides.</w:t>
            </w:r>
          </w:p>
        </w:tc>
        <w:tc>
          <w:tcPr>
            <w:tcW w:type="dxa" w:w="3685"/>
            <w:shd w:fill="F1F3EF"/>
            <w:vAlign w:val="center"/>
            <w:tcMar>
              <w:top w:w="80" w:type="dxa"/>
              <w:start w:w="90" w:type="dxa"/>
              <w:bottom w:w="80" w:type="dxa"/>
              <w:end w:w="90" w:type="dxa"/>
            </w:tcMar>
          </w:tcPr>
          <w:p>
            <w:pPr>
              <w:spacing w:after="0"/>
            </w:pPr>
            <w:r/>
            <w:r>
              <w:rPr>
                <w:rFonts w:ascii="Arial" w:hAnsi="Arial"/>
                <w:b w:val="0"/>
                <w:color w:val="183128"/>
                <w:sz w:val="15"/>
              </w:rPr>
              <w:t>Avoids buried stem and encourages outward rooting.</w:t>
            </w:r>
          </w:p>
        </w:tc>
      </w:tr>
      <w:tr>
        <w:tc>
          <w:tcPr>
            <w:tcW w:type="dxa" w:w="1134"/>
            <w:vAlign w:val="center"/>
            <w:tcMar>
              <w:top w:w="80" w:type="dxa"/>
              <w:start w:w="90" w:type="dxa"/>
              <w:bottom w:w="80" w:type="dxa"/>
              <w:end w:w="90" w:type="dxa"/>
            </w:tcMar>
          </w:tcPr>
          <w:p>
            <w:pPr>
              <w:spacing w:after="0"/>
            </w:pPr>
            <w:r/>
            <w:r>
              <w:rPr>
                <w:rFonts w:ascii="Arial" w:hAnsi="Arial"/>
                <w:b/>
                <w:color w:val="183128"/>
                <w:sz w:val="15"/>
              </w:rPr>
              <w:t>5. Place</w:t>
            </w:r>
          </w:p>
        </w:tc>
        <w:tc>
          <w:tcPr>
            <w:tcW w:type="dxa" w:w="4535"/>
            <w:vAlign w:val="center"/>
            <w:tcMar>
              <w:top w:w="80" w:type="dxa"/>
              <w:start w:w="90" w:type="dxa"/>
              <w:bottom w:w="80" w:type="dxa"/>
              <w:end w:w="90" w:type="dxa"/>
            </w:tcMar>
          </w:tcPr>
          <w:p>
            <w:pPr>
              <w:spacing w:after="0"/>
            </w:pPr>
            <w:r/>
            <w:r>
              <w:rPr>
                <w:rFonts w:ascii="Arial" w:hAnsi="Arial"/>
                <w:b w:val="0"/>
                <w:color w:val="183128"/>
                <w:sz w:val="15"/>
              </w:rPr>
              <w:t>Spread roots naturally and set the root collar at finished ground level.</w:t>
            </w:r>
          </w:p>
        </w:tc>
        <w:tc>
          <w:tcPr>
            <w:tcW w:type="dxa" w:w="3685"/>
            <w:vAlign w:val="center"/>
            <w:tcMar>
              <w:top w:w="80" w:type="dxa"/>
              <w:start w:w="90" w:type="dxa"/>
              <w:bottom w:w="80" w:type="dxa"/>
              <w:end w:w="90" w:type="dxa"/>
            </w:tcMar>
          </w:tcPr>
          <w:p>
            <w:pPr>
              <w:spacing w:after="0"/>
            </w:pPr>
            <w:r/>
            <w:r>
              <w:rPr>
                <w:rFonts w:ascii="Arial" w:hAnsi="Arial"/>
                <w:b w:val="0"/>
                <w:color w:val="183128"/>
                <w:sz w:val="15"/>
              </w:rPr>
              <w:t>Buried collars encourage decline; exposed roots desiccate.</w:t>
            </w:r>
          </w:p>
        </w:tc>
      </w:tr>
      <w:tr>
        <w:tc>
          <w:tcPr>
            <w:tcW w:type="dxa" w:w="1134"/>
            <w:shd w:fill="F1F3EF"/>
            <w:vAlign w:val="center"/>
            <w:tcMar>
              <w:top w:w="80" w:type="dxa"/>
              <w:start w:w="90" w:type="dxa"/>
              <w:bottom w:w="80" w:type="dxa"/>
              <w:end w:w="90" w:type="dxa"/>
            </w:tcMar>
          </w:tcPr>
          <w:p>
            <w:pPr>
              <w:spacing w:after="0"/>
            </w:pPr>
            <w:r/>
            <w:r>
              <w:rPr>
                <w:rFonts w:ascii="Arial" w:hAnsi="Arial"/>
                <w:b/>
                <w:color w:val="183128"/>
                <w:sz w:val="15"/>
              </w:rPr>
              <w:t>6. Backfill</w:t>
            </w:r>
          </w:p>
        </w:tc>
        <w:tc>
          <w:tcPr>
            <w:tcW w:type="dxa" w:w="4535"/>
            <w:shd w:fill="F1F3EF"/>
            <w:vAlign w:val="center"/>
            <w:tcMar>
              <w:top w:w="80" w:type="dxa"/>
              <w:start w:w="90" w:type="dxa"/>
              <w:bottom w:w="80" w:type="dxa"/>
              <w:end w:w="90" w:type="dxa"/>
            </w:tcMar>
          </w:tcPr>
          <w:p>
            <w:pPr>
              <w:spacing w:after="0"/>
            </w:pPr>
            <w:r/>
            <w:r>
              <w:rPr>
                <w:rFonts w:ascii="Arial" w:hAnsi="Arial"/>
                <w:b w:val="0"/>
                <w:color w:val="183128"/>
                <w:sz w:val="15"/>
              </w:rPr>
              <w:t>Use excavated soil, firm gently and water in. Avoid a concentrated fertiliser pocket.</w:t>
            </w:r>
          </w:p>
        </w:tc>
        <w:tc>
          <w:tcPr>
            <w:tcW w:type="dxa" w:w="3685"/>
            <w:shd w:fill="F1F3EF"/>
            <w:vAlign w:val="center"/>
            <w:tcMar>
              <w:top w:w="80" w:type="dxa"/>
              <w:start w:w="90" w:type="dxa"/>
              <w:bottom w:w="80" w:type="dxa"/>
              <w:end w:w="90" w:type="dxa"/>
            </w:tcMar>
          </w:tcPr>
          <w:p>
            <w:pPr>
              <w:spacing w:after="0"/>
            </w:pPr>
            <w:r/>
            <w:r>
              <w:rPr>
                <w:rFonts w:ascii="Arial" w:hAnsi="Arial"/>
                <w:b w:val="0"/>
                <w:color w:val="183128"/>
                <w:sz w:val="15"/>
              </w:rPr>
              <w:t>Maintains soil continuity and removes large air gaps.</w:t>
            </w:r>
          </w:p>
        </w:tc>
      </w:tr>
      <w:tr>
        <w:tc>
          <w:tcPr>
            <w:tcW w:type="dxa" w:w="1134"/>
            <w:vAlign w:val="center"/>
            <w:tcMar>
              <w:top w:w="80" w:type="dxa"/>
              <w:start w:w="90" w:type="dxa"/>
              <w:bottom w:w="80" w:type="dxa"/>
              <w:end w:w="90" w:type="dxa"/>
            </w:tcMar>
          </w:tcPr>
          <w:p>
            <w:pPr>
              <w:spacing w:after="0"/>
            </w:pPr>
            <w:r/>
            <w:r>
              <w:rPr>
                <w:rFonts w:ascii="Arial" w:hAnsi="Arial"/>
                <w:b/>
                <w:color w:val="183128"/>
                <w:sz w:val="15"/>
              </w:rPr>
              <w:t>7. Protect</w:t>
            </w:r>
          </w:p>
        </w:tc>
        <w:tc>
          <w:tcPr>
            <w:tcW w:type="dxa" w:w="4535"/>
            <w:vAlign w:val="center"/>
            <w:tcMar>
              <w:top w:w="80" w:type="dxa"/>
              <w:start w:w="90" w:type="dxa"/>
              <w:bottom w:w="80" w:type="dxa"/>
              <w:end w:w="90" w:type="dxa"/>
            </w:tcMar>
          </w:tcPr>
          <w:p>
            <w:pPr>
              <w:spacing w:after="0"/>
            </w:pPr>
            <w:r/>
            <w:r>
              <w:rPr>
                <w:rFonts w:ascii="Arial" w:hAnsi="Arial"/>
                <w:b w:val="0"/>
                <w:color w:val="183128"/>
                <w:sz w:val="15"/>
              </w:rPr>
              <w:t>Low stake and flexible tie if required; guard/fence for rabbits, deer, voles or livestock.</w:t>
            </w:r>
          </w:p>
        </w:tc>
        <w:tc>
          <w:tcPr>
            <w:tcW w:type="dxa" w:w="3685"/>
            <w:vAlign w:val="center"/>
            <w:tcMar>
              <w:top w:w="80" w:type="dxa"/>
              <w:start w:w="90" w:type="dxa"/>
              <w:bottom w:w="80" w:type="dxa"/>
              <w:end w:w="90" w:type="dxa"/>
            </w:tcMar>
          </w:tcPr>
          <w:p>
            <w:pPr>
              <w:spacing w:after="0"/>
            </w:pPr>
            <w:r/>
            <w:r>
              <w:rPr>
                <w:rFonts w:ascii="Arial" w:hAnsi="Arial"/>
                <w:b w:val="0"/>
                <w:color w:val="183128"/>
                <w:sz w:val="15"/>
              </w:rPr>
              <w:t>Prevents rubbing, browsing and wind-rock.</w:t>
            </w:r>
          </w:p>
        </w:tc>
      </w:tr>
      <w:tr>
        <w:tc>
          <w:tcPr>
            <w:tcW w:type="dxa" w:w="1134"/>
            <w:shd w:fill="F1F3EF"/>
            <w:vAlign w:val="center"/>
            <w:tcMar>
              <w:top w:w="80" w:type="dxa"/>
              <w:start w:w="90" w:type="dxa"/>
              <w:bottom w:w="80" w:type="dxa"/>
              <w:end w:w="90" w:type="dxa"/>
            </w:tcMar>
          </w:tcPr>
          <w:p>
            <w:pPr>
              <w:spacing w:after="0"/>
            </w:pPr>
            <w:r/>
            <w:r>
              <w:rPr>
                <w:rFonts w:ascii="Arial" w:hAnsi="Arial"/>
                <w:b/>
                <w:color w:val="183128"/>
                <w:sz w:val="15"/>
              </w:rPr>
              <w:t>8. Mulch</w:t>
            </w:r>
          </w:p>
        </w:tc>
        <w:tc>
          <w:tcPr>
            <w:tcW w:type="dxa" w:w="4535"/>
            <w:shd w:fill="F1F3EF"/>
            <w:vAlign w:val="center"/>
            <w:tcMar>
              <w:top w:w="80" w:type="dxa"/>
              <w:start w:w="90" w:type="dxa"/>
              <w:bottom w:w="80" w:type="dxa"/>
              <w:end w:w="90" w:type="dxa"/>
            </w:tcMar>
          </w:tcPr>
          <w:p>
            <w:pPr>
              <w:spacing w:after="0"/>
            </w:pPr>
            <w:r/>
            <w:r>
              <w:rPr>
                <w:rFonts w:ascii="Arial" w:hAnsi="Arial"/>
                <w:b w:val="0"/>
                <w:color w:val="183128"/>
                <w:sz w:val="15"/>
              </w:rPr>
              <w:t>Maintain roughly a 1 m weed-free spot/band. Keep mulch away from the trunk.</w:t>
            </w:r>
          </w:p>
        </w:tc>
        <w:tc>
          <w:tcPr>
            <w:tcW w:type="dxa" w:w="3685"/>
            <w:shd w:fill="F1F3EF"/>
            <w:vAlign w:val="center"/>
            <w:tcMar>
              <w:top w:w="80" w:type="dxa"/>
              <w:start w:w="90" w:type="dxa"/>
              <w:bottom w:w="80" w:type="dxa"/>
              <w:end w:w="90" w:type="dxa"/>
            </w:tcMar>
          </w:tcPr>
          <w:p>
            <w:pPr>
              <w:spacing w:after="0"/>
            </w:pPr>
            <w:r/>
            <w:r>
              <w:rPr>
                <w:rFonts w:ascii="Arial" w:hAnsi="Arial"/>
                <w:b w:val="0"/>
                <w:color w:val="183128"/>
                <w:sz w:val="15"/>
              </w:rPr>
              <w:t>Reduces competition and protects moisture without rotting bark.</w:t>
            </w:r>
          </w:p>
        </w:tc>
      </w:tr>
    </w:tbl>
    <w:p>
      <w:pPr>
        <w:spacing w:after="0"/>
      </w:pPr>
    </w:p>
    <w:p>
      <w:pPr>
        <w:pStyle w:val="Heading1"/>
      </w:pPr>
      <w:r>
        <w:t>1.6 First 24 months: aftercare and metrics</w:t>
      </w:r>
    </w:p>
    <w:p>
      <w:pPr>
        <w:pStyle w:val="ListBullet"/>
      </w:pPr>
      <w:r>
        <w:t>Water deeply according to soil and weather; avoid a rigid calendar. Record litres per tree and drought response.</w:t>
      </w:r>
    </w:p>
    <w:p>
      <w:pPr>
        <w:pStyle w:val="ListBullet"/>
      </w:pPr>
      <w:r>
        <w:t>Inspect after wind, grazing changes and machinery operations. Repair guards, ties, fences and washouts.</w:t>
      </w:r>
    </w:p>
    <w:p>
      <w:pPr>
        <w:pStyle w:val="ListBullet"/>
      </w:pPr>
      <w:r>
        <w:t>Maintain the weed-free zone; keep mulch off the trunk; do not let guards choke stems.</w:t>
      </w:r>
    </w:p>
    <w:p>
      <w:pPr>
        <w:pStyle w:val="ListBullet"/>
      </w:pPr>
      <w:r>
        <w:t>Replace failures in the first suitable dormant season and record cause, not just number.</w:t>
      </w:r>
    </w:p>
    <w:p>
      <w:pPr>
        <w:pStyle w:val="ListBullet"/>
      </w:pPr>
      <w:r>
        <w:t>Formative-prune for the intended system; remove dead/damaged material with clean tools and correct timing.</w:t>
      </w:r>
    </w:p>
    <w:p>
      <w:pPr>
        <w:pStyle w:val="ListBullet"/>
      </w:pPr>
      <w:r>
        <w:t>Track survival, canopy size, labour, irrigation, crop kg, rejected fruit, pest interventions, pollinator observations and runoff/soil moisture indicators.</w:t>
      </w:r>
    </w:p>
    <w:p>
      <w:pPr>
        <w:pStyle w:val="Heading1"/>
      </w:pPr>
      <w:r>
        <w:t>1.7 Bees and pesticide-last crop protection</w:t>
      </w:r>
    </w:p>
    <w:p>
      <w:r>
        <w:t>Pesticides are not morally neutral, but a successful farm policy must give growers a workable decision ladder. “Pesticide-last” means prevention, monitoring and non-chemical controls first, with a targeted, legally approved intervention retained when thresholds and crop/welfare consequences justify it.</w:t>
      </w:r>
    </w:p>
    <w:tbl>
      <w:tblPr>
        <w:tblStyle w:val="TableGrid"/>
        <w:tblW w:type="auto" w:w="0"/>
        <w:jc w:val="center"/>
        <w:tblLayout w:type="fixed"/>
        <w:tblLook w:firstColumn="1" w:firstRow="1" w:lastColumn="0" w:lastRow="0" w:noHBand="0" w:noVBand="1" w:val="04A0"/>
      </w:tblPr>
      <w:tblGrid>
        <w:gridCol w:w="1134"/>
        <w:gridCol w:w="2268"/>
        <w:gridCol w:w="5953"/>
      </w:tblGrid>
      <w:tr>
        <w:trPr>
          <w:tblHeader w:val="true"/>
        </w:trPr>
        <w:tc>
          <w:tcPr>
            <w:tcW w:type="dxa" w:w="3326"/>
            <w:shd w:fill="15362A"/>
            <w:vAlign w:val="center"/>
            <w:tcMar>
              <w:top w:w="80" w:type="dxa"/>
              <w:start w:w="90" w:type="dxa"/>
              <w:bottom w:w="80" w:type="dxa"/>
              <w:end w:w="90" w:type="dxa"/>
            </w:tcMar>
          </w:tcPr>
          <w:p>
            <w:pPr>
              <w:spacing w:after="0"/>
            </w:pPr>
            <w:r/>
            <w:r>
              <w:rPr>
                <w:rFonts w:ascii="Arial" w:hAnsi="Arial"/>
                <w:b/>
                <w:color w:val="FFFFFF"/>
                <w:sz w:val="16"/>
              </w:rPr>
              <w:t>Priority</w:t>
            </w:r>
          </w:p>
        </w:tc>
        <w:tc>
          <w:tcPr>
            <w:tcW w:type="dxa" w:w="3326"/>
            <w:shd w:fill="15362A"/>
            <w:vAlign w:val="center"/>
            <w:tcMar>
              <w:top w:w="80" w:type="dxa"/>
              <w:start w:w="90" w:type="dxa"/>
              <w:bottom w:w="80" w:type="dxa"/>
              <w:end w:w="90" w:type="dxa"/>
            </w:tcMar>
          </w:tcPr>
          <w:p>
            <w:pPr>
              <w:spacing w:after="0"/>
            </w:pPr>
            <w:r/>
            <w:r>
              <w:rPr>
                <w:rFonts w:ascii="Arial" w:hAnsi="Arial"/>
                <w:b/>
                <w:color w:val="FFFFFF"/>
                <w:sz w:val="16"/>
              </w:rPr>
              <w:t>Action</w:t>
            </w:r>
          </w:p>
        </w:tc>
        <w:tc>
          <w:tcPr>
            <w:tcW w:type="dxa" w:w="3326"/>
            <w:shd w:fill="15362A"/>
            <w:vAlign w:val="center"/>
            <w:tcMar>
              <w:top w:w="80" w:type="dxa"/>
              <w:start w:w="90" w:type="dxa"/>
              <w:bottom w:w="80" w:type="dxa"/>
              <w:end w:w="90" w:type="dxa"/>
            </w:tcMar>
          </w:tcPr>
          <w:p>
            <w:pPr>
              <w:spacing w:after="0"/>
            </w:pPr>
            <w:r/>
            <w:r>
              <w:rPr>
                <w:rFonts w:ascii="Arial" w:hAnsi="Arial"/>
                <w:b/>
                <w:color w:val="FFFFFF"/>
                <w:sz w:val="16"/>
              </w:rPr>
              <w:t>Examples</w:t>
            </w:r>
          </w:p>
        </w:tc>
      </w:tr>
      <w:tr>
        <w:tc>
          <w:tcPr>
            <w:tcW w:type="dxa" w:w="1134"/>
            <w:vAlign w:val="center"/>
            <w:tcMar>
              <w:top w:w="80" w:type="dxa"/>
              <w:start w:w="90" w:type="dxa"/>
              <w:bottom w:w="80" w:type="dxa"/>
              <w:end w:w="90" w:type="dxa"/>
            </w:tcMar>
          </w:tcPr>
          <w:p>
            <w:pPr>
              <w:spacing w:after="0"/>
            </w:pPr>
            <w:r/>
            <w:r>
              <w:rPr>
                <w:rFonts w:ascii="Arial" w:hAnsi="Arial"/>
                <w:b/>
                <w:color w:val="183128"/>
                <w:sz w:val="16"/>
              </w:rPr>
              <w:t>1</w:t>
            </w:r>
          </w:p>
        </w:tc>
        <w:tc>
          <w:tcPr>
            <w:tcW w:type="dxa" w:w="2268"/>
            <w:vAlign w:val="center"/>
            <w:tcMar>
              <w:top w:w="80" w:type="dxa"/>
              <w:start w:w="90" w:type="dxa"/>
              <w:bottom w:w="80" w:type="dxa"/>
              <w:end w:w="90" w:type="dxa"/>
            </w:tcMar>
          </w:tcPr>
          <w:p>
            <w:pPr>
              <w:spacing w:after="0"/>
            </w:pPr>
            <w:r/>
            <w:r>
              <w:rPr>
                <w:rFonts w:ascii="Arial" w:hAnsi="Arial"/>
                <w:b w:val="0"/>
                <w:color w:val="183128"/>
                <w:sz w:val="16"/>
              </w:rPr>
              <w:t>Prevent</w:t>
            </w:r>
          </w:p>
        </w:tc>
        <w:tc>
          <w:tcPr>
            <w:tcW w:type="dxa" w:w="5953"/>
            <w:vAlign w:val="center"/>
            <w:tcMar>
              <w:top w:w="80" w:type="dxa"/>
              <w:start w:w="90" w:type="dxa"/>
              <w:bottom w:w="80" w:type="dxa"/>
              <w:end w:w="90" w:type="dxa"/>
            </w:tcMar>
          </w:tcPr>
          <w:p>
            <w:pPr>
              <w:spacing w:after="0"/>
            </w:pPr>
            <w:r/>
            <w:r>
              <w:rPr>
                <w:rFonts w:ascii="Arial" w:hAnsi="Arial"/>
                <w:b w:val="0"/>
                <w:color w:val="183128"/>
                <w:sz w:val="16"/>
              </w:rPr>
              <w:t>Resistant cultivars, hygiene, rotation, balanced nutrition, physical design and diverse habitat.</w:t>
            </w:r>
          </w:p>
        </w:tc>
      </w:tr>
      <w:tr>
        <w:tc>
          <w:tcPr>
            <w:tcW w:type="dxa" w:w="1134"/>
            <w:shd w:fill="F1F3EF"/>
            <w:vAlign w:val="center"/>
            <w:tcMar>
              <w:top w:w="80" w:type="dxa"/>
              <w:start w:w="90" w:type="dxa"/>
              <w:bottom w:w="80" w:type="dxa"/>
              <w:end w:w="90" w:type="dxa"/>
            </w:tcMar>
          </w:tcPr>
          <w:p>
            <w:pPr>
              <w:spacing w:after="0"/>
            </w:pPr>
            <w:r/>
            <w:r>
              <w:rPr>
                <w:rFonts w:ascii="Arial" w:hAnsi="Arial"/>
                <w:b/>
                <w:color w:val="183128"/>
                <w:sz w:val="16"/>
              </w:rPr>
              <w:t>2</w:t>
            </w:r>
          </w:p>
        </w:tc>
        <w:tc>
          <w:tcPr>
            <w:tcW w:type="dxa" w:w="2268"/>
            <w:shd w:fill="F1F3EF"/>
            <w:vAlign w:val="center"/>
            <w:tcMar>
              <w:top w:w="80" w:type="dxa"/>
              <w:start w:w="90" w:type="dxa"/>
              <w:bottom w:w="80" w:type="dxa"/>
              <w:end w:w="90" w:type="dxa"/>
            </w:tcMar>
          </w:tcPr>
          <w:p>
            <w:pPr>
              <w:spacing w:after="0"/>
            </w:pPr>
            <w:r/>
            <w:r>
              <w:rPr>
                <w:rFonts w:ascii="Arial" w:hAnsi="Arial"/>
                <w:b w:val="0"/>
                <w:color w:val="183128"/>
                <w:sz w:val="16"/>
              </w:rPr>
              <w:t>Monitor</w:t>
            </w:r>
          </w:p>
        </w:tc>
        <w:tc>
          <w:tcPr>
            <w:tcW w:type="dxa" w:w="5953"/>
            <w:shd w:fill="F1F3EF"/>
            <w:vAlign w:val="center"/>
            <w:tcMar>
              <w:top w:w="80" w:type="dxa"/>
              <w:start w:w="90" w:type="dxa"/>
              <w:bottom w:w="80" w:type="dxa"/>
              <w:end w:w="90" w:type="dxa"/>
            </w:tcMar>
          </w:tcPr>
          <w:p>
            <w:pPr>
              <w:spacing w:after="0"/>
            </w:pPr>
            <w:r/>
            <w:r>
              <w:rPr>
                <w:rFonts w:ascii="Arial" w:hAnsi="Arial"/>
                <w:b w:val="0"/>
                <w:color w:val="183128"/>
                <w:sz w:val="16"/>
              </w:rPr>
              <w:t>Scouting, traps, weather data, forecasting and written action thresholds.</w:t>
            </w:r>
          </w:p>
        </w:tc>
      </w:tr>
      <w:tr>
        <w:tc>
          <w:tcPr>
            <w:tcW w:type="dxa" w:w="1134"/>
            <w:vAlign w:val="center"/>
            <w:tcMar>
              <w:top w:w="80" w:type="dxa"/>
              <w:start w:w="90" w:type="dxa"/>
              <w:bottom w:w="80" w:type="dxa"/>
              <w:end w:w="90" w:type="dxa"/>
            </w:tcMar>
          </w:tcPr>
          <w:p>
            <w:pPr>
              <w:spacing w:after="0"/>
            </w:pPr>
            <w:r/>
            <w:r>
              <w:rPr>
                <w:rFonts w:ascii="Arial" w:hAnsi="Arial"/>
                <w:b/>
                <w:color w:val="183128"/>
                <w:sz w:val="16"/>
              </w:rPr>
              <w:t>3</w:t>
            </w:r>
          </w:p>
        </w:tc>
        <w:tc>
          <w:tcPr>
            <w:tcW w:type="dxa" w:w="2268"/>
            <w:vAlign w:val="center"/>
            <w:tcMar>
              <w:top w:w="80" w:type="dxa"/>
              <w:start w:w="90" w:type="dxa"/>
              <w:bottom w:w="80" w:type="dxa"/>
              <w:end w:w="90" w:type="dxa"/>
            </w:tcMar>
          </w:tcPr>
          <w:p>
            <w:pPr>
              <w:spacing w:after="0"/>
            </w:pPr>
            <w:r/>
            <w:r>
              <w:rPr>
                <w:rFonts w:ascii="Arial" w:hAnsi="Arial"/>
                <w:b w:val="0"/>
                <w:color w:val="183128"/>
                <w:sz w:val="16"/>
              </w:rPr>
              <w:t>Physical/biological</w:t>
            </w:r>
          </w:p>
        </w:tc>
        <w:tc>
          <w:tcPr>
            <w:tcW w:type="dxa" w:w="5953"/>
            <w:vAlign w:val="center"/>
            <w:tcMar>
              <w:top w:w="80" w:type="dxa"/>
              <w:start w:w="90" w:type="dxa"/>
              <w:bottom w:w="80" w:type="dxa"/>
              <w:end w:w="90" w:type="dxa"/>
            </w:tcMar>
          </w:tcPr>
          <w:p>
            <w:pPr>
              <w:spacing w:after="0"/>
            </w:pPr>
            <w:r/>
            <w:r>
              <w:rPr>
                <w:rFonts w:ascii="Arial" w:hAnsi="Arial"/>
                <w:b w:val="0"/>
                <w:color w:val="183128"/>
                <w:sz w:val="16"/>
              </w:rPr>
              <w:t>Barriers, pruning, predators, parasitoids and approved biocontrols.</w:t>
            </w:r>
          </w:p>
        </w:tc>
      </w:tr>
      <w:tr>
        <w:tc>
          <w:tcPr>
            <w:tcW w:type="dxa" w:w="1134"/>
            <w:shd w:fill="F1F3EF"/>
            <w:vAlign w:val="center"/>
            <w:tcMar>
              <w:top w:w="80" w:type="dxa"/>
              <w:start w:w="90" w:type="dxa"/>
              <w:bottom w:w="80" w:type="dxa"/>
              <w:end w:w="90" w:type="dxa"/>
            </w:tcMar>
          </w:tcPr>
          <w:p>
            <w:pPr>
              <w:spacing w:after="0"/>
            </w:pPr>
            <w:r/>
            <w:r>
              <w:rPr>
                <w:rFonts w:ascii="Arial" w:hAnsi="Arial"/>
                <w:b/>
                <w:color w:val="183128"/>
                <w:sz w:val="16"/>
              </w:rPr>
              <w:t>4</w:t>
            </w:r>
          </w:p>
        </w:tc>
        <w:tc>
          <w:tcPr>
            <w:tcW w:type="dxa" w:w="2268"/>
            <w:shd w:fill="F1F3EF"/>
            <w:vAlign w:val="center"/>
            <w:tcMar>
              <w:top w:w="80" w:type="dxa"/>
              <w:start w:w="90" w:type="dxa"/>
              <w:bottom w:w="80" w:type="dxa"/>
              <w:end w:w="90" w:type="dxa"/>
            </w:tcMar>
          </w:tcPr>
          <w:p>
            <w:pPr>
              <w:spacing w:after="0"/>
            </w:pPr>
            <w:r/>
            <w:r>
              <w:rPr>
                <w:rFonts w:ascii="Arial" w:hAnsi="Arial"/>
                <w:b w:val="0"/>
                <w:color w:val="183128"/>
                <w:sz w:val="16"/>
              </w:rPr>
              <w:t>Target precisely</w:t>
            </w:r>
          </w:p>
        </w:tc>
        <w:tc>
          <w:tcPr>
            <w:tcW w:type="dxa" w:w="5953"/>
            <w:shd w:fill="F1F3EF"/>
            <w:vAlign w:val="center"/>
            <w:tcMar>
              <w:top w:w="80" w:type="dxa"/>
              <w:start w:w="90" w:type="dxa"/>
              <w:bottom w:w="80" w:type="dxa"/>
              <w:end w:w="90" w:type="dxa"/>
            </w:tcMar>
          </w:tcPr>
          <w:p>
            <w:pPr>
              <w:spacing w:after="0"/>
            </w:pPr>
            <w:r/>
            <w:r>
              <w:rPr>
                <w:rFonts w:ascii="Arial" w:hAnsi="Arial"/>
                <w:b w:val="0"/>
                <w:color w:val="183128"/>
                <w:sz w:val="16"/>
              </w:rPr>
              <w:t>Lowest-risk effective product, correct dose/timing, buffer zones and no routine blanket treatment.</w:t>
            </w:r>
          </w:p>
        </w:tc>
      </w:tr>
      <w:tr>
        <w:tc>
          <w:tcPr>
            <w:tcW w:type="dxa" w:w="1134"/>
            <w:vAlign w:val="center"/>
            <w:tcMar>
              <w:top w:w="80" w:type="dxa"/>
              <w:start w:w="90" w:type="dxa"/>
              <w:bottom w:w="80" w:type="dxa"/>
              <w:end w:w="90" w:type="dxa"/>
            </w:tcMar>
          </w:tcPr>
          <w:p>
            <w:pPr>
              <w:spacing w:after="0"/>
            </w:pPr>
            <w:r/>
            <w:r>
              <w:rPr>
                <w:rFonts w:ascii="Arial" w:hAnsi="Arial"/>
                <w:b/>
                <w:color w:val="183128"/>
                <w:sz w:val="16"/>
              </w:rPr>
              <w:t>5</w:t>
            </w:r>
          </w:p>
        </w:tc>
        <w:tc>
          <w:tcPr>
            <w:tcW w:type="dxa" w:w="2268"/>
            <w:vAlign w:val="center"/>
            <w:tcMar>
              <w:top w:w="80" w:type="dxa"/>
              <w:start w:w="90" w:type="dxa"/>
              <w:bottom w:w="80" w:type="dxa"/>
              <w:end w:w="90" w:type="dxa"/>
            </w:tcMar>
          </w:tcPr>
          <w:p>
            <w:pPr>
              <w:spacing w:after="0"/>
            </w:pPr>
            <w:r/>
            <w:r>
              <w:rPr>
                <w:rFonts w:ascii="Arial" w:hAnsi="Arial"/>
                <w:b w:val="0"/>
                <w:color w:val="183128"/>
                <w:sz w:val="16"/>
              </w:rPr>
              <w:t>Review</w:t>
            </w:r>
          </w:p>
        </w:tc>
        <w:tc>
          <w:tcPr>
            <w:tcW w:type="dxa" w:w="5953"/>
            <w:vAlign w:val="center"/>
            <w:tcMar>
              <w:top w:w="80" w:type="dxa"/>
              <w:start w:w="90" w:type="dxa"/>
              <w:bottom w:w="80" w:type="dxa"/>
              <w:end w:w="90" w:type="dxa"/>
            </w:tcMar>
          </w:tcPr>
          <w:p>
            <w:pPr>
              <w:spacing w:after="0"/>
            </w:pPr>
            <w:r/>
            <w:r>
              <w:rPr>
                <w:rFonts w:ascii="Arial" w:hAnsi="Arial"/>
                <w:b w:val="0"/>
                <w:color w:val="183128"/>
                <w:sz w:val="16"/>
              </w:rPr>
              <w:t>Record result, non-target effects and whether design or timing can prevent recurrence.</w:t>
            </w:r>
          </w:p>
        </w:tc>
      </w:tr>
    </w:tbl>
    <w:p>
      <w:pPr>
        <w:spacing w:after="0"/>
      </w:pPr>
    </w:p>
    <w:tbl>
      <w:tblPr>
        <w:tblW w:type="auto" w:w="0"/>
        <w:jc w:val="center"/>
        <w:tblLayout w:type="fixed"/>
        <w:tblLook w:firstColumn="1" w:firstRow="1" w:lastColumn="0" w:lastRow="0" w:noHBand="0" w:noVBand="1" w:val="04A0"/>
      </w:tblPr>
      <w:tblGrid>
        <w:gridCol w:w="198"/>
        <w:gridCol w:w="9298"/>
      </w:tblGrid>
      <w:tr>
        <w:tc>
          <w:tcPr>
            <w:tcW w:type="dxa" w:w="4989"/>
            <w:shd w:fill="1F6B4F"/>
            <w:vAlign w:val="center"/>
            <w:tcMar>
              <w:top w:w="80" w:type="dxa"/>
              <w:start w:w="90" w:type="dxa"/>
              <w:bottom w:w="80" w:type="dxa"/>
              <w:end w:w="90" w:type="dxa"/>
            </w:tcMar>
          </w:tcPr>
          <w:p>
            <w:pPr>
              <w:spacing w:after="0"/>
            </w:pPr>
            <w:r/>
            <w:r>
              <w:rPr>
                <w:rFonts w:ascii="Arial" w:hAnsi="Arial"/>
                <w:b w:val="0"/>
                <w:color w:val="FFFFFF"/>
                <w:sz w:val="16"/>
              </w:rPr>
            </w:r>
          </w:p>
        </w:tc>
        <w:tc>
          <w:tcPr>
            <w:tcW w:type="dxa" w:w="4989"/>
            <w:shd w:fill="EAF2DC"/>
            <w:tcMar>
              <w:top w:w="120" w:type="dxa"/>
              <w:start w:w="160" w:type="dxa"/>
              <w:bottom w:w="120" w:type="dxa"/>
              <w:end w:w="160" w:type="dxa"/>
            </w:tcMar>
          </w:tcPr>
          <w:p>
            <w:r/>
            <w:r>
              <w:rPr>
                <w:b/>
                <w:color w:val="183128"/>
                <w:sz w:val="20"/>
              </w:rPr>
              <w:t>Pollinator practice</w:t>
              <w:br/>
            </w:r>
            <w:r>
              <w:rPr>
                <w:color w:val="56645D"/>
                <w:sz w:val="18"/>
              </w:rPr>
              <w:t>Do not spray flowering groundcover by default. Follow labels, protect water, avoid drift and time any necessary treatment away from bloom and pollinator activity as far as the authorised use permits.</w:t>
            </w:r>
          </w:p>
        </w:tc>
      </w:tr>
    </w:tbl>
    <w:p>
      <w:pPr>
        <w:spacing w:after="0"/>
      </w:pPr>
    </w:p>
    <w:p>
      <w:pPr>
        <w:pStyle w:val="Heading1"/>
      </w:pPr>
      <w:r>
        <w:t>1.8 Universal business water resilience obligation</w:t>
      </w:r>
    </w:p>
    <w:p>
      <w:r>
        <w:t>Proposed policy: every business whose continuity depends materially on water must maintain an audited annual water balance and demonstrate annual-equivalent resilience. The obligation applies regardless of sector, but the compliance route is proportionate to health, fire, structural, contamination and economic constraints. “One year” means a portfolio capable of covering or replacing annual demand—not necessarily one huge tank on every roof.</w:t>
      </w:r>
    </w:p>
    <w:tbl>
      <w:tblPr>
        <w:tblStyle w:val="TableGrid"/>
        <w:tblW w:type="auto" w:w="0"/>
        <w:jc w:val="center"/>
        <w:tblLayout w:type="fixed"/>
        <w:tblLook w:firstColumn="1" w:firstRow="1" w:lastColumn="0" w:lastRow="0" w:noHBand="0" w:noVBand="1" w:val="04A0"/>
      </w:tblPr>
      <w:tblGrid>
        <w:gridCol w:w="1701"/>
        <w:gridCol w:w="4535"/>
        <w:gridCol w:w="3118"/>
      </w:tblGrid>
      <w:tr>
        <w:trPr>
          <w:tblHeader w:val="true"/>
        </w:trPr>
        <w:tc>
          <w:tcPr>
            <w:tcW w:type="dxa" w:w="3326"/>
            <w:shd w:fill="15362A"/>
            <w:vAlign w:val="center"/>
            <w:tcMar>
              <w:top w:w="80" w:type="dxa"/>
              <w:start w:w="90" w:type="dxa"/>
              <w:bottom w:w="80" w:type="dxa"/>
              <w:end w:w="90" w:type="dxa"/>
            </w:tcMar>
          </w:tcPr>
          <w:p>
            <w:pPr>
              <w:spacing w:after="0"/>
            </w:pPr>
            <w:r/>
            <w:r>
              <w:rPr>
                <w:rFonts w:ascii="Arial" w:hAnsi="Arial"/>
                <w:b/>
                <w:color w:val="FFFFFF"/>
                <w:sz w:val="16"/>
              </w:rPr>
              <w:t>Compliance route</w:t>
            </w:r>
          </w:p>
        </w:tc>
        <w:tc>
          <w:tcPr>
            <w:tcW w:type="dxa" w:w="3326"/>
            <w:shd w:fill="15362A"/>
            <w:vAlign w:val="center"/>
            <w:tcMar>
              <w:top w:w="80" w:type="dxa"/>
              <w:start w:w="90" w:type="dxa"/>
              <w:bottom w:w="80" w:type="dxa"/>
              <w:end w:w="90" w:type="dxa"/>
            </w:tcMar>
          </w:tcPr>
          <w:p>
            <w:pPr>
              <w:spacing w:after="0"/>
            </w:pPr>
            <w:r/>
            <w:r>
              <w:rPr>
                <w:rFonts w:ascii="Arial" w:hAnsi="Arial"/>
                <w:b/>
                <w:color w:val="FFFFFF"/>
                <w:sz w:val="16"/>
              </w:rPr>
              <w:t>Minimum features</w:t>
            </w:r>
          </w:p>
        </w:tc>
        <w:tc>
          <w:tcPr>
            <w:tcW w:type="dxa" w:w="3326"/>
            <w:shd w:fill="15362A"/>
            <w:vAlign w:val="center"/>
            <w:tcMar>
              <w:top w:w="80" w:type="dxa"/>
              <w:start w:w="90" w:type="dxa"/>
              <w:bottom w:w="80" w:type="dxa"/>
              <w:end w:w="90" w:type="dxa"/>
            </w:tcMar>
          </w:tcPr>
          <w:p>
            <w:pPr>
              <w:spacing w:after="0"/>
            </w:pPr>
            <w:r/>
            <w:r>
              <w:rPr>
                <w:rFonts w:ascii="Arial" w:hAnsi="Arial"/>
                <w:b/>
                <w:color w:val="FFFFFF"/>
                <w:sz w:val="16"/>
              </w:rPr>
              <w:t>Critical caveat</w:t>
            </w:r>
          </w:p>
        </w:tc>
      </w:tr>
      <w:tr>
        <w:tc>
          <w:tcPr>
            <w:tcW w:type="dxa" w:w="1701"/>
            <w:vAlign w:val="center"/>
            <w:tcMar>
              <w:top w:w="80" w:type="dxa"/>
              <w:start w:w="90" w:type="dxa"/>
              <w:bottom w:w="80" w:type="dxa"/>
              <w:end w:w="90" w:type="dxa"/>
            </w:tcMar>
          </w:tcPr>
          <w:p>
            <w:pPr>
              <w:spacing w:after="0"/>
            </w:pPr>
            <w:r/>
            <w:r>
              <w:rPr>
                <w:rFonts w:ascii="Arial" w:hAnsi="Arial"/>
                <w:b/>
                <w:color w:val="183128"/>
                <w:sz w:val="16"/>
              </w:rPr>
              <w:t>Onsite storage</w:t>
            </w:r>
          </w:p>
        </w:tc>
        <w:tc>
          <w:tcPr>
            <w:tcW w:type="dxa" w:w="4535"/>
            <w:vAlign w:val="center"/>
            <w:tcMar>
              <w:top w:w="80" w:type="dxa"/>
              <w:start w:w="90" w:type="dxa"/>
              <w:bottom w:w="80" w:type="dxa"/>
              <w:end w:w="90" w:type="dxa"/>
            </w:tcMar>
          </w:tcPr>
          <w:p>
            <w:pPr>
              <w:spacing w:after="0"/>
            </w:pPr>
            <w:r/>
            <w:r>
              <w:rPr>
                <w:rFonts w:ascii="Arial" w:hAnsi="Arial"/>
                <w:b w:val="0"/>
                <w:color w:val="183128"/>
                <w:sz w:val="16"/>
              </w:rPr>
              <w:t>Covered/opaque tanks; screened vent; first-flush/diversion; overflow; level monitoring; inspection and cleaning access.</w:t>
            </w:r>
          </w:p>
        </w:tc>
        <w:tc>
          <w:tcPr>
            <w:tcW w:type="dxa" w:w="3118"/>
            <w:vAlign w:val="center"/>
            <w:tcMar>
              <w:top w:w="80" w:type="dxa"/>
              <w:start w:w="90" w:type="dxa"/>
              <w:bottom w:w="80" w:type="dxa"/>
              <w:end w:w="90" w:type="dxa"/>
            </w:tcMar>
          </w:tcPr>
          <w:p>
            <w:pPr>
              <w:spacing w:after="0"/>
            </w:pPr>
            <w:r/>
            <w:r>
              <w:rPr>
                <w:rFonts w:ascii="Arial" w:hAnsi="Arial"/>
                <w:b w:val="0"/>
                <w:color w:val="183128"/>
                <w:sz w:val="16"/>
              </w:rPr>
              <w:t>Closed is not airtight. Design for pressure, frost, legionella/control needs and structural load.</w:t>
            </w:r>
          </w:p>
        </w:tc>
      </w:tr>
      <w:tr>
        <w:tc>
          <w:tcPr>
            <w:tcW w:type="dxa" w:w="1701"/>
            <w:shd w:fill="F1F3EF"/>
            <w:vAlign w:val="center"/>
            <w:tcMar>
              <w:top w:w="80" w:type="dxa"/>
              <w:start w:w="90" w:type="dxa"/>
              <w:bottom w:w="80" w:type="dxa"/>
              <w:end w:w="90" w:type="dxa"/>
            </w:tcMar>
          </w:tcPr>
          <w:p>
            <w:pPr>
              <w:spacing w:after="0"/>
            </w:pPr>
            <w:r/>
            <w:r>
              <w:rPr>
                <w:rFonts w:ascii="Arial" w:hAnsi="Arial"/>
                <w:b/>
                <w:color w:val="183128"/>
                <w:sz w:val="16"/>
              </w:rPr>
              <w:t>Process circularity</w:t>
            </w:r>
          </w:p>
        </w:tc>
        <w:tc>
          <w:tcPr>
            <w:tcW w:type="dxa" w:w="4535"/>
            <w:shd w:fill="F1F3EF"/>
            <w:vAlign w:val="center"/>
            <w:tcMar>
              <w:top w:w="80" w:type="dxa"/>
              <w:start w:w="90" w:type="dxa"/>
              <w:bottom w:w="80" w:type="dxa"/>
              <w:end w:w="90" w:type="dxa"/>
            </w:tcMar>
          </w:tcPr>
          <w:p>
            <w:pPr>
              <w:spacing w:after="0"/>
            </w:pPr>
            <w:r/>
            <w:r>
              <w:rPr>
                <w:rFonts w:ascii="Arial" w:hAnsi="Arial"/>
                <w:b w:val="0"/>
                <w:color w:val="183128"/>
                <w:sz w:val="16"/>
              </w:rPr>
              <w:t>Reuse wash/process water, condensate and cooling water where legal and safe; segregate qualities.</w:t>
            </w:r>
          </w:p>
        </w:tc>
        <w:tc>
          <w:tcPr>
            <w:tcW w:type="dxa" w:w="3118"/>
            <w:shd w:fill="F1F3EF"/>
            <w:vAlign w:val="center"/>
            <w:tcMar>
              <w:top w:w="80" w:type="dxa"/>
              <w:start w:w="90" w:type="dxa"/>
              <w:bottom w:w="80" w:type="dxa"/>
              <w:end w:w="90" w:type="dxa"/>
            </w:tcMar>
          </w:tcPr>
          <w:p>
            <w:pPr>
              <w:spacing w:after="0"/>
            </w:pPr>
            <w:r/>
            <w:r>
              <w:rPr>
                <w:rFonts w:ascii="Arial" w:hAnsi="Arial"/>
                <w:b w:val="0"/>
                <w:color w:val="183128"/>
                <w:sz w:val="16"/>
              </w:rPr>
              <w:t>Never cross-connect non-potable and potable systems; control solvent/leaching compatibility.</w:t>
            </w:r>
          </w:p>
        </w:tc>
      </w:tr>
      <w:tr>
        <w:tc>
          <w:tcPr>
            <w:tcW w:type="dxa" w:w="1701"/>
            <w:vAlign w:val="center"/>
            <w:tcMar>
              <w:top w:w="80" w:type="dxa"/>
              <w:start w:w="90" w:type="dxa"/>
              <w:bottom w:w="80" w:type="dxa"/>
              <w:end w:w="90" w:type="dxa"/>
            </w:tcMar>
          </w:tcPr>
          <w:p>
            <w:pPr>
              <w:spacing w:after="0"/>
            </w:pPr>
            <w:r/>
            <w:r>
              <w:rPr>
                <w:rFonts w:ascii="Arial" w:hAnsi="Arial"/>
                <w:b/>
                <w:color w:val="183128"/>
                <w:sz w:val="16"/>
              </w:rPr>
              <w:t>Demand reduction</w:t>
            </w:r>
          </w:p>
        </w:tc>
        <w:tc>
          <w:tcPr>
            <w:tcW w:type="dxa" w:w="4535"/>
            <w:vAlign w:val="center"/>
            <w:tcMar>
              <w:top w:w="80" w:type="dxa"/>
              <w:start w:w="90" w:type="dxa"/>
              <w:bottom w:w="80" w:type="dxa"/>
              <w:end w:w="90" w:type="dxa"/>
            </w:tcMar>
          </w:tcPr>
          <w:p>
            <w:pPr>
              <w:spacing w:after="0"/>
            </w:pPr>
            <w:r/>
            <w:r>
              <w:rPr>
                <w:rFonts w:ascii="Arial" w:hAnsi="Arial"/>
                <w:b w:val="0"/>
                <w:color w:val="183128"/>
                <w:sz w:val="16"/>
              </w:rPr>
              <w:t>Leak detection, dry processes, controls and water-efficient equipment.</w:t>
            </w:r>
          </w:p>
        </w:tc>
        <w:tc>
          <w:tcPr>
            <w:tcW w:type="dxa" w:w="3118"/>
            <w:vAlign w:val="center"/>
            <w:tcMar>
              <w:top w:w="80" w:type="dxa"/>
              <w:start w:w="90" w:type="dxa"/>
              <w:bottom w:w="80" w:type="dxa"/>
              <w:end w:w="90" w:type="dxa"/>
            </w:tcMar>
          </w:tcPr>
          <w:p>
            <w:pPr>
              <w:spacing w:after="0"/>
            </w:pPr>
            <w:r/>
            <w:r>
              <w:rPr>
                <w:rFonts w:ascii="Arial" w:hAnsi="Arial"/>
                <w:b w:val="0"/>
                <w:color w:val="183128"/>
                <w:sz w:val="16"/>
              </w:rPr>
              <w:t>Resilience must not reward inflated baselines.</w:t>
            </w:r>
          </w:p>
        </w:tc>
      </w:tr>
      <w:tr>
        <w:tc>
          <w:tcPr>
            <w:tcW w:type="dxa" w:w="1701"/>
            <w:shd w:fill="F1F3EF"/>
            <w:vAlign w:val="center"/>
            <w:tcMar>
              <w:top w:w="80" w:type="dxa"/>
              <w:start w:w="90" w:type="dxa"/>
              <w:bottom w:w="80" w:type="dxa"/>
              <w:end w:w="90" w:type="dxa"/>
            </w:tcMar>
          </w:tcPr>
          <w:p>
            <w:pPr>
              <w:spacing w:after="0"/>
            </w:pPr>
            <w:r/>
            <w:r>
              <w:rPr>
                <w:rFonts w:ascii="Arial" w:hAnsi="Arial"/>
                <w:b/>
                <w:color w:val="183128"/>
                <w:sz w:val="16"/>
              </w:rPr>
              <w:t>Shared catchment asset</w:t>
            </w:r>
          </w:p>
        </w:tc>
        <w:tc>
          <w:tcPr>
            <w:tcW w:type="dxa" w:w="4535"/>
            <w:shd w:fill="F1F3EF"/>
            <w:vAlign w:val="center"/>
            <w:tcMar>
              <w:top w:w="80" w:type="dxa"/>
              <w:start w:w="90" w:type="dxa"/>
              <w:bottom w:w="80" w:type="dxa"/>
              <w:end w:w="90" w:type="dxa"/>
            </w:tcMar>
          </w:tcPr>
          <w:p>
            <w:pPr>
              <w:spacing w:after="0"/>
            </w:pPr>
            <w:r/>
            <w:r>
              <w:rPr>
                <w:rFonts w:ascii="Arial" w:hAnsi="Arial"/>
                <w:b w:val="0"/>
                <w:color w:val="183128"/>
                <w:sz w:val="16"/>
              </w:rPr>
              <w:t>Reservoir, wetland, aquifer recharge or contracted strategic capacity.</w:t>
            </w:r>
          </w:p>
        </w:tc>
        <w:tc>
          <w:tcPr>
            <w:tcW w:type="dxa" w:w="3118"/>
            <w:shd w:fill="F1F3EF"/>
            <w:vAlign w:val="center"/>
            <w:tcMar>
              <w:top w:w="80" w:type="dxa"/>
              <w:start w:w="90" w:type="dxa"/>
              <w:bottom w:w="80" w:type="dxa"/>
              <w:end w:w="90" w:type="dxa"/>
            </w:tcMar>
          </w:tcPr>
          <w:p>
            <w:pPr>
              <w:spacing w:after="0"/>
            </w:pPr>
            <w:r/>
            <w:r>
              <w:rPr>
                <w:rFonts w:ascii="Arial" w:hAnsi="Arial"/>
                <w:b w:val="0"/>
                <w:color w:val="183128"/>
                <w:sz w:val="16"/>
              </w:rPr>
              <w:t>Needs enforceable allocation, drought rules, environmental permissions and quality plan.</w:t>
            </w:r>
          </w:p>
        </w:tc>
      </w:tr>
      <w:tr>
        <w:tc>
          <w:tcPr>
            <w:tcW w:type="dxa" w:w="1701"/>
            <w:vAlign w:val="center"/>
            <w:tcMar>
              <w:top w:w="80" w:type="dxa"/>
              <w:start w:w="90" w:type="dxa"/>
              <w:bottom w:w="80" w:type="dxa"/>
              <w:end w:w="90" w:type="dxa"/>
            </w:tcMar>
          </w:tcPr>
          <w:p>
            <w:pPr>
              <w:spacing w:after="0"/>
            </w:pPr>
            <w:r/>
            <w:r>
              <w:rPr>
                <w:rFonts w:ascii="Arial" w:hAnsi="Arial"/>
                <w:b/>
                <w:color w:val="183128"/>
                <w:sz w:val="16"/>
              </w:rPr>
              <w:t>Phased compliance</w:t>
            </w:r>
          </w:p>
        </w:tc>
        <w:tc>
          <w:tcPr>
            <w:tcW w:type="dxa" w:w="4535"/>
            <w:vAlign w:val="center"/>
            <w:tcMar>
              <w:top w:w="80" w:type="dxa"/>
              <w:start w:w="90" w:type="dxa"/>
              <w:bottom w:w="80" w:type="dxa"/>
              <w:end w:w="90" w:type="dxa"/>
            </w:tcMar>
          </w:tcPr>
          <w:p>
            <w:pPr>
              <w:spacing w:after="0"/>
            </w:pPr>
            <w:r/>
            <w:r>
              <w:rPr>
                <w:rFonts w:ascii="Arial" w:hAnsi="Arial"/>
                <w:b w:val="0"/>
                <w:color w:val="183128"/>
                <w:sz w:val="16"/>
              </w:rPr>
              <w:t>Illustrative 25% → 50% → 100% annual-equivalent pathway.</w:t>
            </w:r>
          </w:p>
        </w:tc>
        <w:tc>
          <w:tcPr>
            <w:tcW w:type="dxa" w:w="3118"/>
            <w:vAlign w:val="center"/>
            <w:tcMar>
              <w:top w:w="80" w:type="dxa"/>
              <w:start w:w="90" w:type="dxa"/>
              <w:bottom w:w="80" w:type="dxa"/>
              <w:end w:w="90" w:type="dxa"/>
            </w:tcMar>
          </w:tcPr>
          <w:p>
            <w:pPr>
              <w:spacing w:after="0"/>
            </w:pPr>
            <w:r/>
            <w:r>
              <w:rPr>
                <w:rFonts w:ascii="Arial" w:hAnsi="Arial"/>
                <w:b w:val="0"/>
                <w:color w:val="183128"/>
                <w:sz w:val="16"/>
              </w:rPr>
              <w:t>Set sector-specific deadlines and protect small-firm viability.</w:t>
            </w:r>
          </w:p>
        </w:tc>
      </w:tr>
    </w:tbl>
    <w:p>
      <w:pPr>
        <w:spacing w:after="0"/>
      </w:pPr>
    </w:p>
    <w:tbl>
      <w:tblPr>
        <w:tblW w:type="auto" w:w="0"/>
        <w:jc w:val="center"/>
        <w:tblLayout w:type="fixed"/>
        <w:tblLook w:firstColumn="1" w:firstRow="1" w:lastColumn="0" w:lastRow="0" w:noHBand="0" w:noVBand="1" w:val="04A0"/>
      </w:tblPr>
      <w:tblGrid>
        <w:gridCol w:w="198"/>
        <w:gridCol w:w="9298"/>
      </w:tblGrid>
      <w:tr>
        <w:tc>
          <w:tcPr>
            <w:tcW w:type="dxa" w:w="4989"/>
            <w:shd w:fill="3B879E"/>
            <w:vAlign w:val="center"/>
            <w:tcMar>
              <w:top w:w="80" w:type="dxa"/>
              <w:start w:w="90" w:type="dxa"/>
              <w:bottom w:w="80" w:type="dxa"/>
              <w:end w:w="90" w:type="dxa"/>
            </w:tcMar>
          </w:tcPr>
          <w:p>
            <w:pPr>
              <w:spacing w:after="0"/>
            </w:pPr>
            <w:r/>
            <w:r>
              <w:rPr>
                <w:rFonts w:ascii="Arial" w:hAnsi="Arial"/>
                <w:b w:val="0"/>
                <w:color w:val="FFFFFF"/>
                <w:sz w:val="16"/>
              </w:rPr>
            </w:r>
          </w:p>
        </w:tc>
        <w:tc>
          <w:tcPr>
            <w:tcW w:type="dxa" w:w="4989"/>
            <w:shd w:fill="D9EEF5"/>
            <w:tcMar>
              <w:top w:w="120" w:type="dxa"/>
              <w:start w:w="160" w:type="dxa"/>
              <w:bottom w:w="120" w:type="dxa"/>
              <w:end w:w="160" w:type="dxa"/>
            </w:tcMar>
          </w:tcPr>
          <w:p>
            <w:r/>
            <w:r>
              <w:rPr>
                <w:b/>
                <w:color w:val="183128"/>
                <w:sz w:val="20"/>
              </w:rPr>
              <w:t>Physics and materials</w:t>
              <w:br/>
            </w:r>
            <w:r>
              <w:rPr>
                <w:color w:val="56645D"/>
                <w:sz w:val="18"/>
              </w:rPr>
              <w:t>Water evaporates because surface molecules escape into air; being a solvent chiefly matters because it can dissolve tank/pipe constituents and carry contamination. Use compatible certified materials, covers, safe vents, overflow and treatment appropriate to end use.</w:t>
            </w:r>
          </w:p>
        </w:tc>
      </w:tr>
    </w:tbl>
    <w:p>
      <w:pPr>
        <w:spacing w:after="0"/>
      </w:pPr>
    </w:p>
    <w:p>
      <w:pPr>
        <w:pStyle w:val="Heading1"/>
      </w:pPr>
      <w:r>
        <w:t>1.9 Resident stewardship model</w:t>
      </w:r>
    </w:p>
    <w:p>
      <w:r>
        <w:t>On-site stewards can observe leaks, fire risk, browsing, vandalism and disease earlier than remote contractors. They can maintain guards, record wildlife, coordinate harvests and prune dead material if trained. The credible model is a community land trust, cooperative tenancy or paid farm-steward role—not informal dependency.</w:t>
      </w:r>
    </w:p>
    <w:p>
      <w:pPr>
        <w:pStyle w:val="ListBullet"/>
      </w:pPr>
      <w:r>
        <w:t>Secure lawful accommodation, sanitation, potable water and safe access.</w:t>
      </w:r>
    </w:p>
    <w:p>
      <w:pPr>
        <w:pStyle w:val="ListBullet"/>
      </w:pPr>
      <w:r>
        <w:t>Written rights, duties, hours, remuneration, insurance and dispute/exit process.</w:t>
      </w:r>
    </w:p>
    <w:p>
      <w:pPr>
        <w:pStyle w:val="ListBullet"/>
      </w:pPr>
      <w:r>
        <w:t>Residency must not be coercively tied to unpaid labour.</w:t>
      </w:r>
    </w:p>
    <w:p>
      <w:pPr>
        <w:pStyle w:val="ListBullet"/>
      </w:pPr>
      <w:r>
        <w:t>Planning, housing, safeguarding and employment advice before occupation.</w:t>
      </w:r>
    </w:p>
    <w:p>
      <w:pPr>
        <w:pStyle w:val="ListBullet"/>
      </w:pPr>
      <w:r>
        <w:t>Training for tools, work at height, first aid, fire, water systems and biosecurity.</w:t>
      </w:r>
    </w:p>
    <w:p>
      <w:r>
        <w:br w:type="page"/>
      </w:r>
    </w:p>
    <w:tbl>
      <w:tblPr>
        <w:tblW w:type="auto" w:w="0"/>
        <w:jc w:val="center"/>
        <w:tblLook w:firstColumn="1" w:firstRow="1" w:lastColumn="0" w:lastRow="0" w:noHBand="0" w:noVBand="1" w:val="04A0"/>
      </w:tblPr>
      <w:tblGrid>
        <w:gridCol w:w="9978"/>
      </w:tblGrid>
      <w:tr>
        <w:tc>
          <w:tcPr>
            <w:tcW w:type="dxa" w:w="9978"/>
            <w:shd w:fill="15362A"/>
            <w:tcMar>
              <w:top w:w="260" w:type="dxa"/>
              <w:start w:w="250" w:type="dxa"/>
              <w:bottom w:w="260" w:type="dxa"/>
              <w:end w:w="250" w:type="dxa"/>
            </w:tcMar>
          </w:tcPr>
          <w:p>
            <w:r/>
            <w:r>
              <w:rPr>
                <w:b/>
                <w:color w:val="D5A34A"/>
                <w:sz w:val="20"/>
              </w:rPr>
              <w:t>SECTION 2</w:t>
              <w:br/>
            </w:r>
            <w:r>
              <w:rPr>
                <w:b/>
                <w:color w:val="FFFFFF"/>
                <w:sz w:val="56"/>
              </w:rPr>
              <w:t>Make difficult land productive again.</w:t>
              <w:br/>
            </w:r>
            <w:r>
              <w:rPr>
                <w:color w:val="DDE9E2"/>
                <w:sz w:val="26"/>
              </w:rPr>
              <w:t>A controlled-environment food, heat and water pilot for quarries, hardstand, compacted sites and contained brownfield land.</w:t>
            </w:r>
          </w:p>
        </w:tc>
      </w:tr>
    </w:tbl>
    <w:p>
      <w:pPr>
        <w:jc w:val="center"/>
      </w:pPr>
      <w:r>
        <w:drawing>
          <wp:inline xmlns:a="http://schemas.openxmlformats.org/drawingml/2006/main" xmlns:pic="http://schemas.openxmlformats.org/drawingml/2006/picture">
            <wp:extent cx="6228000" cy="3505112"/>
            <wp:docPr id="4" name="Picture 4"/>
            <wp:cNvGraphicFramePr>
              <a:graphicFrameLocks noChangeAspect="1"/>
            </wp:cNvGraphicFramePr>
            <a:graphic>
              <a:graphicData uri="http://schemas.openxmlformats.org/drawingml/2006/picture">
                <pic:pic>
                  <pic:nvPicPr>
                    <pic:cNvPr id="0" name="exec-3b595d5e-121c-416f-a739-d7be93c8ce3f.png"/>
                    <pic:cNvPicPr/>
                  </pic:nvPicPr>
                  <pic:blipFill>
                    <a:blip r:embed="rId14"/>
                    <a:stretch>
                      <a:fillRect/>
                    </a:stretch>
                  </pic:blipFill>
                  <pic:spPr>
                    <a:xfrm>
                      <a:off x="0" y="0"/>
                      <a:ext cx="6228000" cy="3505112"/>
                    </a:xfrm>
                    <a:prstGeom prst="rect"/>
                  </pic:spPr>
                </pic:pic>
              </a:graphicData>
            </a:graphic>
          </wp:inline>
        </w:drawing>
      </w:r>
    </w:p>
    <w:p>
      <w:pPr>
        <w:pStyle w:val="Heading1"/>
      </w:pPr>
      <w:r>
        <w:t>2.1 Scope: “unfarmable” is a diagnosis</w:t>
      </w:r>
    </w:p>
    <w:tbl>
      <w:tblPr>
        <w:tblStyle w:val="TableGrid"/>
        <w:tblW w:type="auto" w:w="0"/>
        <w:jc w:val="center"/>
        <w:tblLayout w:type="fixed"/>
        <w:tblLook w:firstColumn="1" w:firstRow="1" w:lastColumn="0" w:lastRow="0" w:noHBand="0" w:noVBand="1" w:val="04A0"/>
      </w:tblPr>
      <w:tblGrid>
        <w:gridCol w:w="1928"/>
        <w:gridCol w:w="3969"/>
        <w:gridCol w:w="3515"/>
      </w:tblGrid>
      <w:tr>
        <w:trPr>
          <w:tblHeader w:val="true"/>
        </w:trPr>
        <w:tc>
          <w:tcPr>
            <w:tcW w:type="dxa" w:w="3326"/>
            <w:shd w:fill="15362A"/>
            <w:vAlign w:val="center"/>
            <w:tcMar>
              <w:top w:w="80" w:type="dxa"/>
              <w:start w:w="90" w:type="dxa"/>
              <w:bottom w:w="80" w:type="dxa"/>
              <w:end w:w="90" w:type="dxa"/>
            </w:tcMar>
          </w:tcPr>
          <w:p>
            <w:pPr>
              <w:spacing w:after="0"/>
            </w:pPr>
            <w:r/>
            <w:r>
              <w:rPr>
                <w:rFonts w:ascii="Arial" w:hAnsi="Arial"/>
                <w:b/>
                <w:color w:val="FFFFFF"/>
                <w:sz w:val="16"/>
              </w:rPr>
              <w:t>Land category</w:t>
            </w:r>
          </w:p>
        </w:tc>
        <w:tc>
          <w:tcPr>
            <w:tcW w:type="dxa" w:w="3326"/>
            <w:shd w:fill="15362A"/>
            <w:vAlign w:val="center"/>
            <w:tcMar>
              <w:top w:w="80" w:type="dxa"/>
              <w:start w:w="90" w:type="dxa"/>
              <w:bottom w:w="80" w:type="dxa"/>
              <w:end w:w="90" w:type="dxa"/>
            </w:tcMar>
          </w:tcPr>
          <w:p>
            <w:pPr>
              <w:spacing w:after="0"/>
            </w:pPr>
            <w:r/>
            <w:r>
              <w:rPr>
                <w:rFonts w:ascii="Arial" w:hAnsi="Arial"/>
                <w:b/>
                <w:color w:val="FFFFFF"/>
                <w:sz w:val="16"/>
              </w:rPr>
              <w:t>Potential route</w:t>
            </w:r>
          </w:p>
        </w:tc>
        <w:tc>
          <w:tcPr>
            <w:tcW w:type="dxa" w:w="3326"/>
            <w:shd w:fill="15362A"/>
            <w:vAlign w:val="center"/>
            <w:tcMar>
              <w:top w:w="80" w:type="dxa"/>
              <w:start w:w="90" w:type="dxa"/>
              <w:bottom w:w="80" w:type="dxa"/>
              <w:end w:w="90" w:type="dxa"/>
            </w:tcMar>
          </w:tcPr>
          <w:p>
            <w:pPr>
              <w:spacing w:after="0"/>
            </w:pPr>
            <w:r/>
            <w:r>
              <w:rPr>
                <w:rFonts w:ascii="Arial" w:hAnsi="Arial"/>
                <w:b/>
                <w:color w:val="FFFFFF"/>
                <w:sz w:val="16"/>
              </w:rPr>
              <w:t>Non-negotiable check</w:t>
            </w:r>
          </w:p>
        </w:tc>
      </w:tr>
      <w:tr>
        <w:tc>
          <w:tcPr>
            <w:tcW w:type="dxa" w:w="1928"/>
            <w:vAlign w:val="center"/>
            <w:tcMar>
              <w:top w:w="80" w:type="dxa"/>
              <w:start w:w="90" w:type="dxa"/>
              <w:bottom w:w="80" w:type="dxa"/>
              <w:end w:w="90" w:type="dxa"/>
            </w:tcMar>
          </w:tcPr>
          <w:p>
            <w:pPr>
              <w:spacing w:after="0"/>
            </w:pPr>
            <w:r/>
            <w:r>
              <w:rPr>
                <w:rFonts w:ascii="Arial" w:hAnsi="Arial"/>
                <w:b/>
                <w:color w:val="183128"/>
                <w:sz w:val="16"/>
              </w:rPr>
              <w:t>Quarry / hardstand</w:t>
            </w:r>
          </w:p>
        </w:tc>
        <w:tc>
          <w:tcPr>
            <w:tcW w:type="dxa" w:w="3969"/>
            <w:vAlign w:val="center"/>
            <w:tcMar>
              <w:top w:w="80" w:type="dxa"/>
              <w:start w:w="90" w:type="dxa"/>
              <w:bottom w:w="80" w:type="dxa"/>
              <w:end w:w="90" w:type="dxa"/>
            </w:tcMar>
          </w:tcPr>
          <w:p>
            <w:pPr>
              <w:spacing w:after="0"/>
            </w:pPr>
            <w:r/>
            <w:r>
              <w:rPr>
                <w:rFonts w:ascii="Arial" w:hAnsi="Arial"/>
                <w:b w:val="0"/>
                <w:color w:val="183128"/>
                <w:sz w:val="16"/>
              </w:rPr>
              <w:t>Modular greenhouse, rain capture, imported clean media and wind-rated structure.</w:t>
            </w:r>
          </w:p>
        </w:tc>
        <w:tc>
          <w:tcPr>
            <w:tcW w:type="dxa" w:w="3515"/>
            <w:vAlign w:val="center"/>
            <w:tcMar>
              <w:top w:w="80" w:type="dxa"/>
              <w:start w:w="90" w:type="dxa"/>
              <w:bottom w:w="80" w:type="dxa"/>
              <w:end w:w="90" w:type="dxa"/>
            </w:tcMar>
          </w:tcPr>
          <w:p>
            <w:pPr>
              <w:spacing w:after="0"/>
            </w:pPr>
            <w:r/>
            <w:r>
              <w:rPr>
                <w:rFonts w:ascii="Arial" w:hAnsi="Arial"/>
                <w:b w:val="0"/>
                <w:color w:val="183128"/>
                <w:sz w:val="16"/>
              </w:rPr>
              <w:t>Drainage, foundations, access, glare, ecology and planning.</w:t>
            </w:r>
          </w:p>
        </w:tc>
      </w:tr>
      <w:tr>
        <w:tc>
          <w:tcPr>
            <w:tcW w:type="dxa" w:w="1928"/>
            <w:shd w:fill="F1F3EF"/>
            <w:vAlign w:val="center"/>
            <w:tcMar>
              <w:top w:w="80" w:type="dxa"/>
              <w:start w:w="90" w:type="dxa"/>
              <w:bottom w:w="80" w:type="dxa"/>
              <w:end w:w="90" w:type="dxa"/>
            </w:tcMar>
          </w:tcPr>
          <w:p>
            <w:pPr>
              <w:spacing w:after="0"/>
            </w:pPr>
            <w:r/>
            <w:r>
              <w:rPr>
                <w:rFonts w:ascii="Arial" w:hAnsi="Arial"/>
                <w:b/>
                <w:color w:val="183128"/>
                <w:sz w:val="16"/>
              </w:rPr>
              <w:t>Compacted / saline</w:t>
            </w:r>
          </w:p>
        </w:tc>
        <w:tc>
          <w:tcPr>
            <w:tcW w:type="dxa" w:w="3969"/>
            <w:shd w:fill="F1F3EF"/>
            <w:vAlign w:val="center"/>
            <w:tcMar>
              <w:top w:w="80" w:type="dxa"/>
              <w:start w:w="90" w:type="dxa"/>
              <w:bottom w:w="80" w:type="dxa"/>
              <w:end w:w="90" w:type="dxa"/>
            </w:tcMar>
          </w:tcPr>
          <w:p>
            <w:pPr>
              <w:spacing w:after="0"/>
            </w:pPr>
            <w:r/>
            <w:r>
              <w:rPr>
                <w:rFonts w:ascii="Arial" w:hAnsi="Arial"/>
                <w:b w:val="0"/>
                <w:color w:val="183128"/>
                <w:sz w:val="16"/>
              </w:rPr>
              <w:t>Raised contained beds, water treatment and clean logistics.</w:t>
            </w:r>
          </w:p>
        </w:tc>
        <w:tc>
          <w:tcPr>
            <w:tcW w:type="dxa" w:w="3515"/>
            <w:shd w:fill="F1F3EF"/>
            <w:vAlign w:val="center"/>
            <w:tcMar>
              <w:top w:w="80" w:type="dxa"/>
              <w:start w:w="90" w:type="dxa"/>
              <w:bottom w:w="80" w:type="dxa"/>
              <w:end w:w="90" w:type="dxa"/>
            </w:tcMar>
          </w:tcPr>
          <w:p>
            <w:pPr>
              <w:spacing w:after="0"/>
            </w:pPr>
            <w:r/>
            <w:r>
              <w:rPr>
                <w:rFonts w:ascii="Arial" w:hAnsi="Arial"/>
                <w:b w:val="0"/>
                <w:color w:val="183128"/>
                <w:sz w:val="16"/>
              </w:rPr>
              <w:t>Salt balance, dust, flood pathway and separation from hostile soil.</w:t>
            </w:r>
          </w:p>
        </w:tc>
      </w:tr>
      <w:tr>
        <w:tc>
          <w:tcPr>
            <w:tcW w:type="dxa" w:w="1928"/>
            <w:vAlign w:val="center"/>
            <w:tcMar>
              <w:top w:w="80" w:type="dxa"/>
              <w:start w:w="90" w:type="dxa"/>
              <w:bottom w:w="80" w:type="dxa"/>
              <w:end w:w="90" w:type="dxa"/>
            </w:tcMar>
          </w:tcPr>
          <w:p>
            <w:pPr>
              <w:spacing w:after="0"/>
            </w:pPr>
            <w:r/>
            <w:r>
              <w:rPr>
                <w:rFonts w:ascii="Arial" w:hAnsi="Arial"/>
                <w:b/>
                <w:color w:val="183128"/>
                <w:sz w:val="16"/>
              </w:rPr>
              <w:t>Brownfield / contaminated</w:t>
            </w:r>
          </w:p>
        </w:tc>
        <w:tc>
          <w:tcPr>
            <w:tcW w:type="dxa" w:w="3969"/>
            <w:vAlign w:val="center"/>
            <w:tcMar>
              <w:top w:w="80" w:type="dxa"/>
              <w:start w:w="90" w:type="dxa"/>
              <w:bottom w:w="80" w:type="dxa"/>
              <w:end w:w="90" w:type="dxa"/>
            </w:tcMar>
          </w:tcPr>
          <w:p>
            <w:pPr>
              <w:spacing w:after="0"/>
            </w:pPr>
            <w:r/>
            <w:r>
              <w:rPr>
                <w:rFonts w:ascii="Arial" w:hAnsi="Arial"/>
                <w:b w:val="0"/>
                <w:color w:val="183128"/>
                <w:sz w:val="16"/>
              </w:rPr>
              <w:t>Sealed floor, clean/dirty zoning and no crop contact with site soil.</w:t>
            </w:r>
          </w:p>
        </w:tc>
        <w:tc>
          <w:tcPr>
            <w:tcW w:type="dxa" w:w="3515"/>
            <w:vAlign w:val="center"/>
            <w:tcMar>
              <w:top w:w="80" w:type="dxa"/>
              <w:start w:w="90" w:type="dxa"/>
              <w:bottom w:w="80" w:type="dxa"/>
              <w:end w:w="90" w:type="dxa"/>
            </w:tcMar>
          </w:tcPr>
          <w:p>
            <w:pPr>
              <w:spacing w:after="0"/>
            </w:pPr>
            <w:r/>
            <w:r>
              <w:rPr>
                <w:rFonts w:ascii="Arial" w:hAnsi="Arial"/>
                <w:b w:val="0"/>
                <w:color w:val="183128"/>
                <w:sz w:val="16"/>
              </w:rPr>
              <w:t>Phase I/II contamination assessment, vapour/gas, waste classification and worker exposure.</w:t>
            </w:r>
          </w:p>
        </w:tc>
      </w:tr>
      <w:tr>
        <w:tc>
          <w:tcPr>
            <w:tcW w:type="dxa" w:w="1928"/>
            <w:shd w:fill="F1F3EF"/>
            <w:vAlign w:val="center"/>
            <w:tcMar>
              <w:top w:w="80" w:type="dxa"/>
              <w:start w:w="90" w:type="dxa"/>
              <w:bottom w:w="80" w:type="dxa"/>
              <w:end w:w="90" w:type="dxa"/>
            </w:tcMar>
          </w:tcPr>
          <w:p>
            <w:pPr>
              <w:spacing w:after="0"/>
            </w:pPr>
            <w:r/>
            <w:r>
              <w:rPr>
                <w:rFonts w:ascii="Arial" w:hAnsi="Arial"/>
                <w:b/>
                <w:color w:val="183128"/>
                <w:sz w:val="16"/>
              </w:rPr>
              <w:t>Post-industrial heat source</w:t>
            </w:r>
          </w:p>
        </w:tc>
        <w:tc>
          <w:tcPr>
            <w:tcW w:type="dxa" w:w="3969"/>
            <w:shd w:fill="F1F3EF"/>
            <w:vAlign w:val="center"/>
            <w:tcMar>
              <w:top w:w="80" w:type="dxa"/>
              <w:start w:w="90" w:type="dxa"/>
              <w:bottom w:w="80" w:type="dxa"/>
              <w:end w:w="90" w:type="dxa"/>
            </w:tcMar>
          </w:tcPr>
          <w:p>
            <w:pPr>
              <w:spacing w:after="0"/>
            </w:pPr>
            <w:r/>
            <w:r>
              <w:rPr>
                <w:rFonts w:ascii="Arial" w:hAnsi="Arial"/>
                <w:b w:val="0"/>
                <w:color w:val="183128"/>
                <w:sz w:val="16"/>
              </w:rPr>
              <w:t>Use compatible, metered waste heat through heat exchangers.</w:t>
            </w:r>
          </w:p>
        </w:tc>
        <w:tc>
          <w:tcPr>
            <w:tcW w:type="dxa" w:w="3515"/>
            <w:shd w:fill="F1F3EF"/>
            <w:vAlign w:val="center"/>
            <w:tcMar>
              <w:top w:w="80" w:type="dxa"/>
              <w:start w:w="90" w:type="dxa"/>
              <w:bottom w:w="80" w:type="dxa"/>
              <w:end w:w="90" w:type="dxa"/>
            </w:tcMar>
          </w:tcPr>
          <w:p>
            <w:pPr>
              <w:spacing w:after="0"/>
            </w:pPr>
            <w:r/>
            <w:r>
              <w:rPr>
                <w:rFonts w:ascii="Arial" w:hAnsi="Arial"/>
                <w:b w:val="0"/>
                <w:color w:val="183128"/>
                <w:sz w:val="16"/>
              </w:rPr>
              <w:t>Contaminants, reliability, contract duration and carbon accounting.</w:t>
            </w:r>
          </w:p>
        </w:tc>
      </w:tr>
    </w:tbl>
    <w:p>
      <w:pPr>
        <w:spacing w:after="0"/>
      </w:pPr>
    </w:p>
    <w:p>
      <w:pPr>
        <w:pStyle w:val="Heading1"/>
      </w:pPr>
      <w:r>
        <w:t>2.2 Five-loop architecture</w:t>
      </w:r>
    </w:p>
    <w:tbl>
      <w:tblPr>
        <w:tblStyle w:val="TableGrid"/>
        <w:tblW w:type="auto" w:w="0"/>
        <w:jc w:val="center"/>
        <w:tblLayout w:type="fixed"/>
        <w:tblLook w:firstColumn="1" w:firstRow="1" w:lastColumn="0" w:lastRow="0" w:noHBand="0" w:noVBand="1" w:val="04A0"/>
      </w:tblPr>
      <w:tblGrid>
        <w:gridCol w:w="1871"/>
        <w:gridCol w:w="4535"/>
        <w:gridCol w:w="3005"/>
      </w:tblGrid>
      <w:tr>
        <w:trPr>
          <w:tblHeader w:val="true"/>
        </w:trPr>
        <w:tc>
          <w:tcPr>
            <w:tcW w:type="dxa" w:w="3326"/>
            <w:shd w:fill="15362A"/>
            <w:vAlign w:val="center"/>
            <w:tcMar>
              <w:top w:w="80" w:type="dxa"/>
              <w:start w:w="90" w:type="dxa"/>
              <w:bottom w:w="80" w:type="dxa"/>
              <w:end w:w="90" w:type="dxa"/>
            </w:tcMar>
          </w:tcPr>
          <w:p>
            <w:pPr>
              <w:spacing w:after="0"/>
            </w:pPr>
            <w:r/>
            <w:r>
              <w:rPr>
                <w:rFonts w:ascii="Arial" w:hAnsi="Arial"/>
                <w:b/>
                <w:color w:val="FFFFFF"/>
                <w:sz w:val="16"/>
              </w:rPr>
              <w:t>Loop</w:t>
            </w:r>
          </w:p>
        </w:tc>
        <w:tc>
          <w:tcPr>
            <w:tcW w:type="dxa" w:w="3326"/>
            <w:shd w:fill="15362A"/>
            <w:vAlign w:val="center"/>
            <w:tcMar>
              <w:top w:w="80" w:type="dxa"/>
              <w:start w:w="90" w:type="dxa"/>
              <w:bottom w:w="80" w:type="dxa"/>
              <w:end w:w="90" w:type="dxa"/>
            </w:tcMar>
          </w:tcPr>
          <w:p>
            <w:pPr>
              <w:spacing w:after="0"/>
            </w:pPr>
            <w:r/>
            <w:r>
              <w:rPr>
                <w:rFonts w:ascii="Arial" w:hAnsi="Arial"/>
                <w:b/>
                <w:color w:val="FFFFFF"/>
                <w:sz w:val="16"/>
              </w:rPr>
              <w:t>Core path</w:t>
            </w:r>
          </w:p>
        </w:tc>
        <w:tc>
          <w:tcPr>
            <w:tcW w:type="dxa" w:w="3326"/>
            <w:shd w:fill="15362A"/>
            <w:vAlign w:val="center"/>
            <w:tcMar>
              <w:top w:w="80" w:type="dxa"/>
              <w:start w:w="90" w:type="dxa"/>
              <w:bottom w:w="80" w:type="dxa"/>
              <w:end w:w="90" w:type="dxa"/>
            </w:tcMar>
          </w:tcPr>
          <w:p>
            <w:pPr>
              <w:spacing w:after="0"/>
            </w:pPr>
            <w:r/>
            <w:r>
              <w:rPr>
                <w:rFonts w:ascii="Arial" w:hAnsi="Arial"/>
                <w:b/>
                <w:color w:val="FFFFFF"/>
                <w:sz w:val="16"/>
              </w:rPr>
              <w:t>Boundary rule</w:t>
            </w:r>
          </w:p>
        </w:tc>
      </w:tr>
      <w:tr>
        <w:tc>
          <w:tcPr>
            <w:tcW w:type="dxa" w:w="1871"/>
            <w:vAlign w:val="center"/>
            <w:tcMar>
              <w:top w:w="80" w:type="dxa"/>
              <w:start w:w="90" w:type="dxa"/>
              <w:bottom w:w="80" w:type="dxa"/>
              <w:end w:w="90" w:type="dxa"/>
            </w:tcMar>
          </w:tcPr>
          <w:p>
            <w:pPr>
              <w:spacing w:after="0"/>
            </w:pPr>
            <w:r/>
            <w:r>
              <w:rPr>
                <w:rFonts w:ascii="Arial" w:hAnsi="Arial"/>
                <w:b/>
                <w:color w:val="183128"/>
                <w:sz w:val="16"/>
              </w:rPr>
              <w:t>Electrical</w:t>
            </w:r>
          </w:p>
        </w:tc>
        <w:tc>
          <w:tcPr>
            <w:tcW w:type="dxa" w:w="4535"/>
            <w:vAlign w:val="center"/>
            <w:tcMar>
              <w:top w:w="80" w:type="dxa"/>
              <w:start w:w="90" w:type="dxa"/>
              <w:bottom w:w="80" w:type="dxa"/>
              <w:end w:w="90" w:type="dxa"/>
            </w:tcMar>
          </w:tcPr>
          <w:p>
            <w:pPr>
              <w:spacing w:after="0"/>
            </w:pPr>
            <w:r/>
            <w:r>
              <w:rPr>
                <w:rFonts w:ascii="Arial" w:hAnsi="Arial"/>
                <w:b w:val="0"/>
                <w:color w:val="183128"/>
                <w:sz w:val="16"/>
              </w:rPr>
              <w:t>PV + grid/battery → pumps, aeration, controls, lighting and heat pumps.</w:t>
            </w:r>
          </w:p>
        </w:tc>
        <w:tc>
          <w:tcPr>
            <w:tcW w:type="dxa" w:w="3005"/>
            <w:vAlign w:val="center"/>
            <w:tcMar>
              <w:top w:w="80" w:type="dxa"/>
              <w:start w:w="90" w:type="dxa"/>
              <w:bottom w:w="80" w:type="dxa"/>
              <w:end w:w="90" w:type="dxa"/>
            </w:tcMar>
          </w:tcPr>
          <w:p>
            <w:pPr>
              <w:spacing w:after="0"/>
            </w:pPr>
            <w:r/>
            <w:r>
              <w:rPr>
                <w:rFonts w:ascii="Arial" w:hAnsi="Arial"/>
                <w:b w:val="0"/>
                <w:color w:val="183128"/>
                <w:sz w:val="16"/>
              </w:rPr>
              <w:t>Life-support loads are prioritised and backed up.</w:t>
            </w:r>
          </w:p>
        </w:tc>
      </w:tr>
      <w:tr>
        <w:tc>
          <w:tcPr>
            <w:tcW w:type="dxa" w:w="1871"/>
            <w:shd w:fill="F1F3EF"/>
            <w:vAlign w:val="center"/>
            <w:tcMar>
              <w:top w:w="80" w:type="dxa"/>
              <w:start w:w="90" w:type="dxa"/>
              <w:bottom w:w="80" w:type="dxa"/>
              <w:end w:w="90" w:type="dxa"/>
            </w:tcMar>
          </w:tcPr>
          <w:p>
            <w:pPr>
              <w:spacing w:after="0"/>
            </w:pPr>
            <w:r/>
            <w:r>
              <w:rPr>
                <w:rFonts w:ascii="Arial" w:hAnsi="Arial"/>
                <w:b/>
                <w:color w:val="183128"/>
                <w:sz w:val="16"/>
              </w:rPr>
              <w:t>Thermal</w:t>
            </w:r>
          </w:p>
        </w:tc>
        <w:tc>
          <w:tcPr>
            <w:tcW w:type="dxa" w:w="4535"/>
            <w:shd w:fill="F1F3EF"/>
            <w:vAlign w:val="center"/>
            <w:tcMar>
              <w:top w:w="80" w:type="dxa"/>
              <w:start w:w="90" w:type="dxa"/>
              <w:bottom w:w="80" w:type="dxa"/>
              <w:end w:w="90" w:type="dxa"/>
            </w:tcMar>
          </w:tcPr>
          <w:p>
            <w:pPr>
              <w:spacing w:after="0"/>
            </w:pPr>
            <w:r/>
            <w:r>
              <w:rPr>
                <w:rFonts w:ascii="Arial" w:hAnsi="Arial"/>
                <w:b w:val="0"/>
                <w:color w:val="183128"/>
                <w:sz w:val="16"/>
              </w:rPr>
              <w:t>Surplus electricity/solar heat → sand or other thermal store → greenhouse/fish/root-zone heat.</w:t>
            </w:r>
          </w:p>
        </w:tc>
        <w:tc>
          <w:tcPr>
            <w:tcW w:type="dxa" w:w="3005"/>
            <w:shd w:fill="F1F3EF"/>
            <w:vAlign w:val="center"/>
            <w:tcMar>
              <w:top w:w="80" w:type="dxa"/>
              <w:start w:w="90" w:type="dxa"/>
              <w:bottom w:w="80" w:type="dxa"/>
              <w:end w:w="90" w:type="dxa"/>
            </w:tcMar>
          </w:tcPr>
          <w:p>
            <w:pPr>
              <w:spacing w:after="0"/>
            </w:pPr>
            <w:r/>
            <w:r>
              <w:rPr>
                <w:rFonts w:ascii="Arial" w:hAnsi="Arial"/>
                <w:b w:val="0"/>
                <w:color w:val="183128"/>
                <w:sz w:val="16"/>
              </w:rPr>
              <w:t>Use heat directly before reconverting it to power.</w:t>
            </w:r>
          </w:p>
        </w:tc>
      </w:tr>
      <w:tr>
        <w:tc>
          <w:tcPr>
            <w:tcW w:type="dxa" w:w="1871"/>
            <w:vAlign w:val="center"/>
            <w:tcMar>
              <w:top w:w="80" w:type="dxa"/>
              <w:start w:w="90" w:type="dxa"/>
              <w:bottom w:w="80" w:type="dxa"/>
              <w:end w:w="90" w:type="dxa"/>
            </w:tcMar>
          </w:tcPr>
          <w:p>
            <w:pPr>
              <w:spacing w:after="0"/>
            </w:pPr>
            <w:r/>
            <w:r>
              <w:rPr>
                <w:rFonts w:ascii="Arial" w:hAnsi="Arial"/>
                <w:b/>
                <w:color w:val="183128"/>
                <w:sz w:val="16"/>
              </w:rPr>
              <w:t>Clean steam/feedwater</w:t>
            </w:r>
          </w:p>
        </w:tc>
        <w:tc>
          <w:tcPr>
            <w:tcW w:type="dxa" w:w="4535"/>
            <w:vAlign w:val="center"/>
            <w:tcMar>
              <w:top w:w="80" w:type="dxa"/>
              <w:start w:w="90" w:type="dxa"/>
              <w:bottom w:w="80" w:type="dxa"/>
              <w:end w:w="90" w:type="dxa"/>
            </w:tcMar>
          </w:tcPr>
          <w:p>
            <w:pPr>
              <w:spacing w:after="0"/>
            </w:pPr>
            <w:r/>
            <w:r>
              <w:rPr>
                <w:rFonts w:ascii="Arial" w:hAnsi="Arial"/>
                <w:b w:val="0"/>
                <w:color w:val="183128"/>
                <w:sz w:val="16"/>
              </w:rPr>
              <w:t>Rated boiler → optional expander → condenser cube → polished return tank.</w:t>
            </w:r>
          </w:p>
        </w:tc>
        <w:tc>
          <w:tcPr>
            <w:tcW w:type="dxa" w:w="3005"/>
            <w:vAlign w:val="center"/>
            <w:tcMar>
              <w:top w:w="80" w:type="dxa"/>
              <w:start w:w="90" w:type="dxa"/>
              <w:bottom w:w="80" w:type="dxa"/>
              <w:end w:w="90" w:type="dxa"/>
            </w:tcMar>
          </w:tcPr>
          <w:p>
            <w:pPr>
              <w:spacing w:after="0"/>
            </w:pPr>
            <w:r/>
            <w:r>
              <w:rPr>
                <w:rFonts w:ascii="Arial" w:hAnsi="Arial"/>
                <w:b w:val="0"/>
                <w:color w:val="183128"/>
                <w:sz w:val="16"/>
              </w:rPr>
              <w:t>No contact with fish nutrient water.</w:t>
            </w:r>
          </w:p>
        </w:tc>
      </w:tr>
      <w:tr>
        <w:tc>
          <w:tcPr>
            <w:tcW w:type="dxa" w:w="1871"/>
            <w:shd w:fill="F1F3EF"/>
            <w:vAlign w:val="center"/>
            <w:tcMar>
              <w:top w:w="80" w:type="dxa"/>
              <w:start w:w="90" w:type="dxa"/>
              <w:bottom w:w="80" w:type="dxa"/>
              <w:end w:w="90" w:type="dxa"/>
            </w:tcMar>
          </w:tcPr>
          <w:p>
            <w:pPr>
              <w:spacing w:after="0"/>
            </w:pPr>
            <w:r/>
            <w:r>
              <w:rPr>
                <w:rFonts w:ascii="Arial" w:hAnsi="Arial"/>
                <w:b/>
                <w:color w:val="183128"/>
                <w:sz w:val="16"/>
              </w:rPr>
              <w:t>Aquaponics</w:t>
            </w:r>
          </w:p>
        </w:tc>
        <w:tc>
          <w:tcPr>
            <w:tcW w:type="dxa" w:w="4535"/>
            <w:shd w:fill="F1F3EF"/>
            <w:vAlign w:val="center"/>
            <w:tcMar>
              <w:top w:w="80" w:type="dxa"/>
              <w:start w:w="90" w:type="dxa"/>
              <w:bottom w:w="80" w:type="dxa"/>
              <w:end w:w="90" w:type="dxa"/>
            </w:tcMar>
          </w:tcPr>
          <w:p>
            <w:pPr>
              <w:spacing w:after="0"/>
            </w:pPr>
            <w:r/>
            <w:r>
              <w:rPr>
                <w:rFonts w:ascii="Arial" w:hAnsi="Arial"/>
                <w:b w:val="0"/>
                <w:color w:val="183128"/>
                <w:sz w:val="16"/>
              </w:rPr>
              <w:t>Fish → solids capture/mineralisation → biofilter → plant beds → sump → fish.</w:t>
            </w:r>
          </w:p>
        </w:tc>
        <w:tc>
          <w:tcPr>
            <w:tcW w:type="dxa" w:w="3005"/>
            <w:shd w:fill="F1F3EF"/>
            <w:vAlign w:val="center"/>
            <w:tcMar>
              <w:top w:w="80" w:type="dxa"/>
              <w:start w:w="90" w:type="dxa"/>
              <w:bottom w:w="80" w:type="dxa"/>
              <w:end w:w="90" w:type="dxa"/>
            </w:tcMar>
          </w:tcPr>
          <w:p>
            <w:pPr>
              <w:spacing w:after="0"/>
            </w:pPr>
            <w:r/>
            <w:r>
              <w:rPr>
                <w:rFonts w:ascii="Arial" w:hAnsi="Arial"/>
                <w:b w:val="0"/>
                <w:color w:val="183128"/>
                <w:sz w:val="16"/>
              </w:rPr>
              <w:t>Never boil nutrient water; protect biofilter oxygen and flow.</w:t>
            </w:r>
          </w:p>
        </w:tc>
      </w:tr>
      <w:tr>
        <w:tc>
          <w:tcPr>
            <w:tcW w:type="dxa" w:w="1871"/>
            <w:vAlign w:val="center"/>
            <w:tcMar>
              <w:top w:w="80" w:type="dxa"/>
              <w:start w:w="90" w:type="dxa"/>
              <w:bottom w:w="80" w:type="dxa"/>
              <w:end w:w="90" w:type="dxa"/>
            </w:tcMar>
          </w:tcPr>
          <w:p>
            <w:pPr>
              <w:spacing w:after="0"/>
            </w:pPr>
            <w:r/>
            <w:r>
              <w:rPr>
                <w:rFonts w:ascii="Arial" w:hAnsi="Arial"/>
                <w:b/>
                <w:color w:val="183128"/>
                <w:sz w:val="16"/>
              </w:rPr>
              <w:t>Humidity/water/carbon</w:t>
            </w:r>
          </w:p>
        </w:tc>
        <w:tc>
          <w:tcPr>
            <w:tcW w:type="dxa" w:w="4535"/>
            <w:vAlign w:val="center"/>
            <w:tcMar>
              <w:top w:w="80" w:type="dxa"/>
              <w:start w:w="90" w:type="dxa"/>
              <w:bottom w:w="80" w:type="dxa"/>
              <w:end w:w="90" w:type="dxa"/>
            </w:tcMar>
          </w:tcPr>
          <w:p>
            <w:pPr>
              <w:spacing w:after="0"/>
            </w:pPr>
            <w:r/>
            <w:r>
              <w:rPr>
                <w:rFonts w:ascii="Arial" w:hAnsi="Arial"/>
                <w:b w:val="0"/>
                <w:color w:val="183128"/>
                <w:sz w:val="16"/>
              </w:rPr>
              <w:t>Evapotranspiration → dehumidification/condensation → treatment/top-up; compatible CO₂ → plants/algae.</w:t>
            </w:r>
          </w:p>
        </w:tc>
        <w:tc>
          <w:tcPr>
            <w:tcW w:type="dxa" w:w="3005"/>
            <w:vAlign w:val="center"/>
            <w:tcMar>
              <w:top w:w="80" w:type="dxa"/>
              <w:start w:w="90" w:type="dxa"/>
              <w:bottom w:w="80" w:type="dxa"/>
              <w:end w:w="90" w:type="dxa"/>
            </w:tcMar>
          </w:tcPr>
          <w:p>
            <w:pPr>
              <w:spacing w:after="0"/>
            </w:pPr>
            <w:r/>
            <w:r>
              <w:rPr>
                <w:rFonts w:ascii="Arial" w:hAnsi="Arial"/>
                <w:b w:val="0"/>
                <w:color w:val="183128"/>
                <w:sz w:val="16"/>
              </w:rPr>
              <w:t>Condensate and gas quality are tested; carbon fate is verified.</w:t>
            </w:r>
          </w:p>
        </w:tc>
      </w:tr>
    </w:tbl>
    <w:p>
      <w:pPr>
        <w:spacing w:after="0"/>
      </w:pPr>
    </w:p>
    <w:p>
      <w:pPr>
        <w:pStyle w:val="Heading1"/>
      </w:pPr>
      <w:r>
        <w:t>2.3 Energy hierarchy and hydrogen safety</w:t>
      </w:r>
    </w:p>
    <w:p>
      <w:r>
        <w:t>The energy system is an efficiency hierarchy, not a loop that creates energy. Pumps and aeration use electricity directly. Low-grade heat serves space, root-zone or fish-water duties through heat exchangers. Sand storage can shift heat in time. Only a sufficiently large, hot and frequently used heat source should be evaluated for an ORC or steam expander.</w:t>
      </w:r>
    </w:p>
    <w:tbl>
      <w:tblPr>
        <w:tblStyle w:val="TableGrid"/>
        <w:tblW w:type="auto" w:w="0"/>
        <w:jc w:val="center"/>
        <w:tblLayout w:type="fixed"/>
        <w:tblLook w:firstColumn="1" w:firstRow="1" w:lastColumn="0" w:lastRow="0" w:noHBand="0" w:noVBand="1" w:val="04A0"/>
      </w:tblPr>
      <w:tblGrid>
        <w:gridCol w:w="1134"/>
        <w:gridCol w:w="3061"/>
        <w:gridCol w:w="5216"/>
      </w:tblGrid>
      <w:tr>
        <w:trPr>
          <w:tblHeader w:val="true"/>
        </w:trPr>
        <w:tc>
          <w:tcPr>
            <w:tcW w:type="dxa" w:w="3326"/>
            <w:shd w:fill="15362A"/>
            <w:vAlign w:val="center"/>
            <w:tcMar>
              <w:top w:w="80" w:type="dxa"/>
              <w:start w:w="90" w:type="dxa"/>
              <w:bottom w:w="80" w:type="dxa"/>
              <w:end w:w="90" w:type="dxa"/>
            </w:tcMar>
          </w:tcPr>
          <w:p>
            <w:pPr>
              <w:spacing w:after="0"/>
            </w:pPr>
            <w:r/>
            <w:r>
              <w:rPr>
                <w:rFonts w:ascii="Arial" w:hAnsi="Arial"/>
                <w:b/>
                <w:color w:val="FFFFFF"/>
                <w:sz w:val="16"/>
              </w:rPr>
              <w:t>Priority</w:t>
            </w:r>
          </w:p>
        </w:tc>
        <w:tc>
          <w:tcPr>
            <w:tcW w:type="dxa" w:w="3326"/>
            <w:shd w:fill="15362A"/>
            <w:vAlign w:val="center"/>
            <w:tcMar>
              <w:top w:w="80" w:type="dxa"/>
              <w:start w:w="90" w:type="dxa"/>
              <w:bottom w:w="80" w:type="dxa"/>
              <w:end w:w="90" w:type="dxa"/>
            </w:tcMar>
          </w:tcPr>
          <w:p>
            <w:pPr>
              <w:spacing w:after="0"/>
            </w:pPr>
            <w:r/>
            <w:r>
              <w:rPr>
                <w:rFonts w:ascii="Arial" w:hAnsi="Arial"/>
                <w:b/>
                <w:color w:val="FFFFFF"/>
                <w:sz w:val="16"/>
              </w:rPr>
              <w:t>Technology</w:t>
            </w:r>
          </w:p>
        </w:tc>
        <w:tc>
          <w:tcPr>
            <w:tcW w:type="dxa" w:w="3326"/>
            <w:shd w:fill="15362A"/>
            <w:vAlign w:val="center"/>
            <w:tcMar>
              <w:top w:w="80" w:type="dxa"/>
              <w:start w:w="90" w:type="dxa"/>
              <w:bottom w:w="80" w:type="dxa"/>
              <w:end w:w="90" w:type="dxa"/>
            </w:tcMar>
          </w:tcPr>
          <w:p>
            <w:pPr>
              <w:spacing w:after="0"/>
            </w:pPr>
            <w:r/>
            <w:r>
              <w:rPr>
                <w:rFonts w:ascii="Arial" w:hAnsi="Arial"/>
                <w:b/>
                <w:color w:val="FFFFFF"/>
                <w:sz w:val="16"/>
              </w:rPr>
              <w:t>Decision rule</w:t>
            </w:r>
          </w:p>
        </w:tc>
      </w:tr>
      <w:tr>
        <w:tc>
          <w:tcPr>
            <w:tcW w:type="dxa" w:w="1134"/>
            <w:vAlign w:val="center"/>
            <w:tcMar>
              <w:top w:w="80" w:type="dxa"/>
              <w:start w:w="90" w:type="dxa"/>
              <w:bottom w:w="80" w:type="dxa"/>
              <w:end w:w="90" w:type="dxa"/>
            </w:tcMar>
          </w:tcPr>
          <w:p>
            <w:pPr>
              <w:spacing w:after="0"/>
            </w:pPr>
            <w:r/>
            <w:r>
              <w:rPr>
                <w:rFonts w:ascii="Arial" w:hAnsi="Arial"/>
                <w:b/>
                <w:color w:val="183128"/>
                <w:sz w:val="16"/>
              </w:rPr>
              <w:t>1</w:t>
            </w:r>
          </w:p>
        </w:tc>
        <w:tc>
          <w:tcPr>
            <w:tcW w:type="dxa" w:w="3061"/>
            <w:vAlign w:val="center"/>
            <w:tcMar>
              <w:top w:w="80" w:type="dxa"/>
              <w:start w:w="90" w:type="dxa"/>
              <w:bottom w:w="80" w:type="dxa"/>
              <w:end w:w="90" w:type="dxa"/>
            </w:tcMar>
          </w:tcPr>
          <w:p>
            <w:pPr>
              <w:spacing w:after="0"/>
            </w:pPr>
            <w:r/>
            <w:r>
              <w:rPr>
                <w:rFonts w:ascii="Arial" w:hAnsi="Arial"/>
                <w:b w:val="0"/>
                <w:color w:val="183128"/>
                <w:sz w:val="16"/>
              </w:rPr>
              <w:t>Direct electricity</w:t>
            </w:r>
          </w:p>
        </w:tc>
        <w:tc>
          <w:tcPr>
            <w:tcW w:type="dxa" w:w="5216"/>
            <w:vAlign w:val="center"/>
            <w:tcMar>
              <w:top w:w="80" w:type="dxa"/>
              <w:start w:w="90" w:type="dxa"/>
              <w:bottom w:w="80" w:type="dxa"/>
              <w:end w:w="90" w:type="dxa"/>
            </w:tcMar>
          </w:tcPr>
          <w:p>
            <w:pPr>
              <w:spacing w:after="0"/>
            </w:pPr>
            <w:r/>
            <w:r>
              <w:rPr>
                <w:rFonts w:ascii="Arial" w:hAnsi="Arial"/>
                <w:b w:val="0"/>
                <w:color w:val="183128"/>
                <w:sz w:val="16"/>
              </w:rPr>
              <w:t>Serve aeration, circulation, controls and safety loads first.</w:t>
            </w:r>
          </w:p>
        </w:tc>
      </w:tr>
      <w:tr>
        <w:tc>
          <w:tcPr>
            <w:tcW w:type="dxa" w:w="1134"/>
            <w:shd w:fill="F1F3EF"/>
            <w:vAlign w:val="center"/>
            <w:tcMar>
              <w:top w:w="80" w:type="dxa"/>
              <w:start w:w="90" w:type="dxa"/>
              <w:bottom w:w="80" w:type="dxa"/>
              <w:end w:w="90" w:type="dxa"/>
            </w:tcMar>
          </w:tcPr>
          <w:p>
            <w:pPr>
              <w:spacing w:after="0"/>
            </w:pPr>
            <w:r/>
            <w:r>
              <w:rPr>
                <w:rFonts w:ascii="Arial" w:hAnsi="Arial"/>
                <w:b/>
                <w:color w:val="183128"/>
                <w:sz w:val="16"/>
              </w:rPr>
              <w:t>2</w:t>
            </w:r>
          </w:p>
        </w:tc>
        <w:tc>
          <w:tcPr>
            <w:tcW w:type="dxa" w:w="3061"/>
            <w:shd w:fill="F1F3EF"/>
            <w:vAlign w:val="center"/>
            <w:tcMar>
              <w:top w:w="80" w:type="dxa"/>
              <w:start w:w="90" w:type="dxa"/>
              <w:bottom w:w="80" w:type="dxa"/>
              <w:end w:w="90" w:type="dxa"/>
            </w:tcMar>
          </w:tcPr>
          <w:p>
            <w:pPr>
              <w:spacing w:after="0"/>
            </w:pPr>
            <w:r/>
            <w:r>
              <w:rPr>
                <w:rFonts w:ascii="Arial" w:hAnsi="Arial"/>
                <w:b w:val="0"/>
                <w:color w:val="183128"/>
                <w:sz w:val="16"/>
              </w:rPr>
              <w:t>Direct heat / heat pump</w:t>
            </w:r>
          </w:p>
        </w:tc>
        <w:tc>
          <w:tcPr>
            <w:tcW w:type="dxa" w:w="5216"/>
            <w:shd w:fill="F1F3EF"/>
            <w:vAlign w:val="center"/>
            <w:tcMar>
              <w:top w:w="80" w:type="dxa"/>
              <w:start w:w="90" w:type="dxa"/>
              <w:bottom w:w="80" w:type="dxa"/>
              <w:end w:w="90" w:type="dxa"/>
            </w:tcMar>
          </w:tcPr>
          <w:p>
            <w:pPr>
              <w:spacing w:after="0"/>
            </w:pPr>
            <w:r/>
            <w:r>
              <w:rPr>
                <w:rFonts w:ascii="Arial" w:hAnsi="Arial"/>
                <w:b w:val="0"/>
                <w:color w:val="183128"/>
                <w:sz w:val="16"/>
              </w:rPr>
              <w:t>Deliver useful heat at the temperature actually required.</w:t>
            </w:r>
          </w:p>
        </w:tc>
      </w:tr>
      <w:tr>
        <w:tc>
          <w:tcPr>
            <w:tcW w:type="dxa" w:w="1134"/>
            <w:vAlign w:val="center"/>
            <w:tcMar>
              <w:top w:w="80" w:type="dxa"/>
              <w:start w:w="90" w:type="dxa"/>
              <w:bottom w:w="80" w:type="dxa"/>
              <w:end w:w="90" w:type="dxa"/>
            </w:tcMar>
          </w:tcPr>
          <w:p>
            <w:pPr>
              <w:spacing w:after="0"/>
            </w:pPr>
            <w:r/>
            <w:r>
              <w:rPr>
                <w:rFonts w:ascii="Arial" w:hAnsi="Arial"/>
                <w:b/>
                <w:color w:val="183128"/>
                <w:sz w:val="16"/>
              </w:rPr>
              <w:t>3</w:t>
            </w:r>
          </w:p>
        </w:tc>
        <w:tc>
          <w:tcPr>
            <w:tcW w:type="dxa" w:w="3061"/>
            <w:vAlign w:val="center"/>
            <w:tcMar>
              <w:top w:w="80" w:type="dxa"/>
              <w:start w:w="90" w:type="dxa"/>
              <w:bottom w:w="80" w:type="dxa"/>
              <w:end w:w="90" w:type="dxa"/>
            </w:tcMar>
          </w:tcPr>
          <w:p>
            <w:pPr>
              <w:spacing w:after="0"/>
            </w:pPr>
            <w:r/>
            <w:r>
              <w:rPr>
                <w:rFonts w:ascii="Arial" w:hAnsi="Arial"/>
                <w:b w:val="0"/>
                <w:color w:val="183128"/>
                <w:sz w:val="16"/>
              </w:rPr>
              <w:t>Thermal storage</w:t>
            </w:r>
          </w:p>
        </w:tc>
        <w:tc>
          <w:tcPr>
            <w:tcW w:type="dxa" w:w="5216"/>
            <w:vAlign w:val="center"/>
            <w:tcMar>
              <w:top w:w="80" w:type="dxa"/>
              <w:start w:w="90" w:type="dxa"/>
              <w:bottom w:w="80" w:type="dxa"/>
              <w:end w:w="90" w:type="dxa"/>
            </w:tcMar>
          </w:tcPr>
          <w:p>
            <w:pPr>
              <w:spacing w:after="0"/>
            </w:pPr>
            <w:r/>
            <w:r>
              <w:rPr>
                <w:rFonts w:ascii="Arial" w:hAnsi="Arial"/>
                <w:b w:val="0"/>
                <w:color w:val="183128"/>
                <w:sz w:val="16"/>
              </w:rPr>
              <w:t>Size from hourly/seasonal heat model, losses and charge/discharge duty.</w:t>
            </w:r>
          </w:p>
        </w:tc>
      </w:tr>
      <w:tr>
        <w:tc>
          <w:tcPr>
            <w:tcW w:type="dxa" w:w="1134"/>
            <w:shd w:fill="F1F3EF"/>
            <w:vAlign w:val="center"/>
            <w:tcMar>
              <w:top w:w="80" w:type="dxa"/>
              <w:start w:w="90" w:type="dxa"/>
              <w:bottom w:w="80" w:type="dxa"/>
              <w:end w:w="90" w:type="dxa"/>
            </w:tcMar>
          </w:tcPr>
          <w:p>
            <w:pPr>
              <w:spacing w:after="0"/>
            </w:pPr>
            <w:r/>
            <w:r>
              <w:rPr>
                <w:rFonts w:ascii="Arial" w:hAnsi="Arial"/>
                <w:b/>
                <w:color w:val="183128"/>
                <w:sz w:val="16"/>
              </w:rPr>
              <w:t>4</w:t>
            </w:r>
          </w:p>
        </w:tc>
        <w:tc>
          <w:tcPr>
            <w:tcW w:type="dxa" w:w="3061"/>
            <w:shd w:fill="F1F3EF"/>
            <w:vAlign w:val="center"/>
            <w:tcMar>
              <w:top w:w="80" w:type="dxa"/>
              <w:start w:w="90" w:type="dxa"/>
              <w:bottom w:w="80" w:type="dxa"/>
              <w:end w:w="90" w:type="dxa"/>
            </w:tcMar>
          </w:tcPr>
          <w:p>
            <w:pPr>
              <w:spacing w:after="0"/>
            </w:pPr>
            <w:r/>
            <w:r>
              <w:rPr>
                <w:rFonts w:ascii="Arial" w:hAnsi="Arial"/>
                <w:b w:val="0"/>
                <w:color w:val="183128"/>
                <w:sz w:val="16"/>
              </w:rPr>
              <w:t>ORC / steam power recovery</w:t>
            </w:r>
          </w:p>
        </w:tc>
        <w:tc>
          <w:tcPr>
            <w:tcW w:type="dxa" w:w="5216"/>
            <w:shd w:fill="F1F3EF"/>
            <w:vAlign w:val="center"/>
            <w:tcMar>
              <w:top w:w="80" w:type="dxa"/>
              <w:start w:w="90" w:type="dxa"/>
              <w:bottom w:w="80" w:type="dxa"/>
              <w:end w:w="90" w:type="dxa"/>
            </w:tcMar>
          </w:tcPr>
          <w:p>
            <w:pPr>
              <w:spacing w:after="0"/>
            </w:pPr>
            <w:r/>
            <w:r>
              <w:rPr>
                <w:rFonts w:ascii="Arial" w:hAnsi="Arial"/>
                <w:b w:val="0"/>
                <w:color w:val="183128"/>
                <w:sz w:val="16"/>
              </w:rPr>
              <w:t>Proceed only after heat-grade, capacity factor, maintenance and economics study.</w:t>
            </w:r>
          </w:p>
        </w:tc>
      </w:tr>
      <w:tr>
        <w:tc>
          <w:tcPr>
            <w:tcW w:type="dxa" w:w="1134"/>
            <w:vAlign w:val="center"/>
            <w:tcMar>
              <w:top w:w="80" w:type="dxa"/>
              <w:start w:w="90" w:type="dxa"/>
              <w:bottom w:w="80" w:type="dxa"/>
              <w:end w:w="90" w:type="dxa"/>
            </w:tcMar>
          </w:tcPr>
          <w:p>
            <w:pPr>
              <w:spacing w:after="0"/>
            </w:pPr>
            <w:r/>
            <w:r>
              <w:rPr>
                <w:rFonts w:ascii="Arial" w:hAnsi="Arial"/>
                <w:b/>
                <w:color w:val="183128"/>
                <w:sz w:val="16"/>
              </w:rPr>
              <w:t>5</w:t>
            </w:r>
          </w:p>
        </w:tc>
        <w:tc>
          <w:tcPr>
            <w:tcW w:type="dxa" w:w="3061"/>
            <w:vAlign w:val="center"/>
            <w:tcMar>
              <w:top w:w="80" w:type="dxa"/>
              <w:start w:w="90" w:type="dxa"/>
              <w:bottom w:w="80" w:type="dxa"/>
              <w:end w:w="90" w:type="dxa"/>
            </w:tcMar>
          </w:tcPr>
          <w:p>
            <w:pPr>
              <w:spacing w:after="0"/>
            </w:pPr>
            <w:r/>
            <w:r>
              <w:rPr>
                <w:rFonts w:ascii="Arial" w:hAnsi="Arial"/>
                <w:b w:val="0"/>
                <w:color w:val="183128"/>
                <w:sz w:val="16"/>
              </w:rPr>
              <w:t>Hydrogen</w:t>
            </w:r>
          </w:p>
        </w:tc>
        <w:tc>
          <w:tcPr>
            <w:tcW w:type="dxa" w:w="5216"/>
            <w:vAlign w:val="center"/>
            <w:tcMar>
              <w:top w:w="80" w:type="dxa"/>
              <w:start w:w="90" w:type="dxa"/>
              <w:bottom w:w="80" w:type="dxa"/>
              <w:end w:w="90" w:type="dxa"/>
            </w:tcMar>
          </w:tcPr>
          <w:p>
            <w:pPr>
              <w:spacing w:after="0"/>
            </w:pPr>
            <w:r/>
            <w:r>
              <w:rPr>
                <w:rFonts w:ascii="Arial" w:hAnsi="Arial"/>
                <w:b w:val="0"/>
                <w:color w:val="183128"/>
                <w:sz w:val="16"/>
              </w:rPr>
              <w:t>Use certified electrolyser, separated H₂/O₂, detection, ventilation and compliant storage; consider sale/seasonal backup.</w:t>
            </w:r>
          </w:p>
        </w:tc>
      </w:tr>
    </w:tbl>
    <w:p>
      <w:pPr>
        <w:spacing w:after="0"/>
      </w:pPr>
    </w:p>
    <w:tbl>
      <w:tblPr>
        <w:tblW w:type="auto" w:w="0"/>
        <w:jc w:val="center"/>
        <w:tblLayout w:type="fixed"/>
        <w:tblLook w:firstColumn="1" w:firstRow="1" w:lastColumn="0" w:lastRow="0" w:noHBand="0" w:noVBand="1" w:val="04A0"/>
      </w:tblPr>
      <w:tblGrid>
        <w:gridCol w:w="198"/>
        <w:gridCol w:w="9298"/>
      </w:tblGrid>
      <w:tr>
        <w:tc>
          <w:tcPr>
            <w:tcW w:type="dxa" w:w="4989"/>
            <w:shd w:fill="B34B45"/>
            <w:vAlign w:val="center"/>
            <w:tcMar>
              <w:top w:w="80" w:type="dxa"/>
              <w:start w:w="90" w:type="dxa"/>
              <w:bottom w:w="80" w:type="dxa"/>
              <w:end w:w="90" w:type="dxa"/>
            </w:tcMar>
          </w:tcPr>
          <w:p>
            <w:pPr>
              <w:spacing w:after="0"/>
            </w:pPr>
            <w:r/>
            <w:r>
              <w:rPr>
                <w:rFonts w:ascii="Arial" w:hAnsi="Arial"/>
                <w:b w:val="0"/>
                <w:color w:val="FFFFFF"/>
                <w:sz w:val="16"/>
              </w:rPr>
            </w:r>
          </w:p>
        </w:tc>
        <w:tc>
          <w:tcPr>
            <w:tcW w:type="dxa" w:w="4989"/>
            <w:shd w:fill="F7E7E5"/>
            <w:tcMar>
              <w:top w:w="120" w:type="dxa"/>
              <w:start w:w="160" w:type="dxa"/>
              <w:bottom w:w="120" w:type="dxa"/>
              <w:end w:w="160" w:type="dxa"/>
            </w:tcMar>
          </w:tcPr>
          <w:p>
            <w:r/>
            <w:r>
              <w:rPr>
                <w:b/>
                <w:color w:val="183128"/>
                <w:sz w:val="20"/>
              </w:rPr>
              <w:t>No mixed HHO</w:t>
              <w:br/>
            </w:r>
            <w:r>
              <w:rPr>
                <w:color w:val="56645D"/>
                <w:sz w:val="18"/>
              </w:rPr>
              <w:t>A hydrogen/oxygen mixture is a severe explosion hazard. Oxygen is vented safely or used only in an engineered, certified application. Hydrogen is not the primary short-cycle route back to electricity because round-trip losses are high.</w:t>
            </w:r>
          </w:p>
        </w:tc>
      </w:tr>
    </w:tbl>
    <w:p>
      <w:pPr>
        <w:spacing w:after="0"/>
      </w:pPr>
    </w:p>
    <w:p>
      <w:pPr>
        <w:pStyle w:val="Heading1"/>
      </w:pPr>
      <w:r>
        <w:t>2.4 Steam Condensation &amp; Heat Recovery Cube</w:t>
      </w:r>
    </w:p>
    <w:p>
      <w:r>
        <w:t>The “steam cube” is best defined as a packaged condenser, heat-recovery, condensate-polishing and instrumentation subsystem. It sits on the clean steam/feedwater loop. It is not a chamber that discharges steam into the greenhouse.</w:t>
      </w:r>
    </w:p>
    <w:p>
      <w:pPr>
        <w:pStyle w:val="ListBullet"/>
      </w:pPr>
      <w:r>
        <w:t>Receive exhaust steam from a rated expander or pressure-control duty.</w:t>
      </w:r>
    </w:p>
    <w:p>
      <w:pPr>
        <w:pStyle w:val="ListBullet"/>
      </w:pPr>
      <w:r>
        <w:t>Condense on corrosion-compatible surfaces with access for inspection and cleaning.</w:t>
      </w:r>
    </w:p>
    <w:p>
      <w:pPr>
        <w:pStyle w:val="ListBullet"/>
      </w:pPr>
      <w:r>
        <w:t>Recover latent heat through a closed heat exchanger to greenhouse air, root zones or fish-water secondary loop.</w:t>
      </w:r>
    </w:p>
    <w:p>
      <w:pPr>
        <w:pStyle w:val="ListBullet"/>
      </w:pPr>
      <w:r>
        <w:t>Measure inlet/outlet pressure, temperature, flow, conductivity and condensate quality.</w:t>
      </w:r>
    </w:p>
    <w:p>
      <w:pPr>
        <w:pStyle w:val="ListBullet"/>
      </w:pPr>
      <w:r>
        <w:t>Collect condensate in a covered return tank; polish and dose as required by boiler-water chemistry.</w:t>
      </w:r>
    </w:p>
    <w:p>
      <w:pPr>
        <w:pStyle w:val="ListBullet"/>
      </w:pPr>
      <w:r>
        <w:t>Use dehumidifiers or purpose-designed condensing surfaces for greenhouse humidity; high humidity increases disease and condensation risk.</w:t>
      </w:r>
    </w:p>
    <w:p>
      <w:pPr>
        <w:pStyle w:val="ListBullet"/>
      </w:pPr>
      <w:r>
        <w:t>Include pressure relief, isolation, drainage, safe blowdown, legionella/control review and written operating limits.</w:t>
      </w:r>
    </w:p>
    <w:p>
      <w:pPr>
        <w:pStyle w:val="Heading1"/>
      </w:pPr>
      <w:r>
        <w:t>2.5 Water recovery</w:t>
      </w:r>
    </w:p>
    <w:p>
      <w:r>
        <w:t>Greenhouse evapotranspiration moves irrigation water into air. Dehumidification with latent-heat recovery can recover a portion of both water and heat, but recovered condensate is not automatically potable or nutrient-complete. It can contain volatile compounds, metals from surfaces or hygiene hazards. Test, treat and remineralise for its intended use.</w:t>
      </w:r>
    </w:p>
    <w:tbl>
      <w:tblPr>
        <w:tblStyle w:val="TableGrid"/>
        <w:tblW w:type="auto" w:w="0"/>
        <w:jc w:val="center"/>
        <w:tblLayout w:type="fixed"/>
        <w:tblLook w:firstColumn="1" w:firstRow="1" w:lastColumn="0" w:lastRow="0" w:noHBand="0" w:noVBand="1" w:val="04A0"/>
      </w:tblPr>
      <w:tblGrid>
        <w:gridCol w:w="1984"/>
        <w:gridCol w:w="3515"/>
        <w:gridCol w:w="3798"/>
      </w:tblGrid>
      <w:tr>
        <w:trPr>
          <w:tblHeader w:val="true"/>
        </w:trPr>
        <w:tc>
          <w:tcPr>
            <w:tcW w:type="dxa" w:w="3326"/>
            <w:shd w:fill="15362A"/>
            <w:vAlign w:val="center"/>
            <w:tcMar>
              <w:top w:w="80" w:type="dxa"/>
              <w:start w:w="90" w:type="dxa"/>
              <w:bottom w:w="80" w:type="dxa"/>
              <w:end w:w="90" w:type="dxa"/>
            </w:tcMar>
          </w:tcPr>
          <w:p>
            <w:pPr>
              <w:spacing w:after="0"/>
            </w:pPr>
            <w:r/>
            <w:r>
              <w:rPr>
                <w:rFonts w:ascii="Arial" w:hAnsi="Arial"/>
                <w:b/>
                <w:color w:val="FFFFFF"/>
                <w:sz w:val="16"/>
              </w:rPr>
              <w:t>Water stream</w:t>
            </w:r>
          </w:p>
        </w:tc>
        <w:tc>
          <w:tcPr>
            <w:tcW w:type="dxa" w:w="3326"/>
            <w:shd w:fill="15362A"/>
            <w:vAlign w:val="center"/>
            <w:tcMar>
              <w:top w:w="80" w:type="dxa"/>
              <w:start w:w="90" w:type="dxa"/>
              <w:bottom w:w="80" w:type="dxa"/>
              <w:end w:w="90" w:type="dxa"/>
            </w:tcMar>
          </w:tcPr>
          <w:p>
            <w:pPr>
              <w:spacing w:after="0"/>
            </w:pPr>
            <w:r/>
            <w:r>
              <w:rPr>
                <w:rFonts w:ascii="Arial" w:hAnsi="Arial"/>
                <w:b/>
                <w:color w:val="FFFFFF"/>
                <w:sz w:val="16"/>
              </w:rPr>
              <w:t>Likely destination</w:t>
            </w:r>
          </w:p>
        </w:tc>
        <w:tc>
          <w:tcPr>
            <w:tcW w:type="dxa" w:w="3326"/>
            <w:shd w:fill="15362A"/>
            <w:vAlign w:val="center"/>
            <w:tcMar>
              <w:top w:w="80" w:type="dxa"/>
              <w:start w:w="90" w:type="dxa"/>
              <w:bottom w:w="80" w:type="dxa"/>
              <w:end w:w="90" w:type="dxa"/>
            </w:tcMar>
          </w:tcPr>
          <w:p>
            <w:pPr>
              <w:spacing w:after="0"/>
            </w:pPr>
            <w:r/>
            <w:r>
              <w:rPr>
                <w:rFonts w:ascii="Arial" w:hAnsi="Arial"/>
                <w:b/>
                <w:color w:val="FFFFFF"/>
                <w:sz w:val="16"/>
              </w:rPr>
              <w:t>Treatment / control</w:t>
            </w:r>
          </w:p>
        </w:tc>
      </w:tr>
      <w:tr>
        <w:tc>
          <w:tcPr>
            <w:tcW w:type="dxa" w:w="1984"/>
            <w:vAlign w:val="center"/>
            <w:tcMar>
              <w:top w:w="80" w:type="dxa"/>
              <w:start w:w="90" w:type="dxa"/>
              <w:bottom w:w="80" w:type="dxa"/>
              <w:end w:w="90" w:type="dxa"/>
            </w:tcMar>
          </w:tcPr>
          <w:p>
            <w:pPr>
              <w:spacing w:after="0"/>
            </w:pPr>
            <w:r/>
            <w:r>
              <w:rPr>
                <w:rFonts w:ascii="Arial" w:hAnsi="Arial"/>
                <w:b/>
                <w:color w:val="183128"/>
                <w:sz w:val="16"/>
              </w:rPr>
              <w:t>Roof rainwater</w:t>
            </w:r>
          </w:p>
        </w:tc>
        <w:tc>
          <w:tcPr>
            <w:tcW w:type="dxa" w:w="3515"/>
            <w:vAlign w:val="center"/>
            <w:tcMar>
              <w:top w:w="80" w:type="dxa"/>
              <w:start w:w="90" w:type="dxa"/>
              <w:bottom w:w="80" w:type="dxa"/>
              <w:end w:w="90" w:type="dxa"/>
            </w:tcMar>
          </w:tcPr>
          <w:p>
            <w:pPr>
              <w:spacing w:after="0"/>
            </w:pPr>
            <w:r/>
            <w:r>
              <w:rPr>
                <w:rFonts w:ascii="Arial" w:hAnsi="Arial"/>
                <w:b w:val="0"/>
                <w:color w:val="183128"/>
                <w:sz w:val="16"/>
              </w:rPr>
              <w:t>Non-potable top-up or storage</w:t>
            </w:r>
          </w:p>
        </w:tc>
        <w:tc>
          <w:tcPr>
            <w:tcW w:type="dxa" w:w="3798"/>
            <w:vAlign w:val="center"/>
            <w:tcMar>
              <w:top w:w="80" w:type="dxa"/>
              <w:start w:w="90" w:type="dxa"/>
              <w:bottom w:w="80" w:type="dxa"/>
              <w:end w:w="90" w:type="dxa"/>
            </w:tcMar>
          </w:tcPr>
          <w:p>
            <w:pPr>
              <w:spacing w:after="0"/>
            </w:pPr>
            <w:r/>
            <w:r>
              <w:rPr>
                <w:rFonts w:ascii="Arial" w:hAnsi="Arial"/>
                <w:b w:val="0"/>
                <w:color w:val="183128"/>
                <w:sz w:val="16"/>
              </w:rPr>
              <w:t>Debris screen, first flush where appropriate, covered tank, overflow and quality monitoring.</w:t>
            </w:r>
          </w:p>
        </w:tc>
      </w:tr>
      <w:tr>
        <w:tc>
          <w:tcPr>
            <w:tcW w:type="dxa" w:w="1984"/>
            <w:shd w:fill="F1F3EF"/>
            <w:vAlign w:val="center"/>
            <w:tcMar>
              <w:top w:w="80" w:type="dxa"/>
              <w:start w:w="90" w:type="dxa"/>
              <w:bottom w:w="80" w:type="dxa"/>
              <w:end w:w="90" w:type="dxa"/>
            </w:tcMar>
          </w:tcPr>
          <w:p>
            <w:pPr>
              <w:spacing w:after="0"/>
            </w:pPr>
            <w:r/>
            <w:r>
              <w:rPr>
                <w:rFonts w:ascii="Arial" w:hAnsi="Arial"/>
                <w:b/>
                <w:color w:val="183128"/>
                <w:sz w:val="16"/>
              </w:rPr>
              <w:t>Greenhouse condensate</w:t>
            </w:r>
          </w:p>
        </w:tc>
        <w:tc>
          <w:tcPr>
            <w:tcW w:type="dxa" w:w="3515"/>
            <w:shd w:fill="F1F3EF"/>
            <w:vAlign w:val="center"/>
            <w:tcMar>
              <w:top w:w="80" w:type="dxa"/>
              <w:start w:w="90" w:type="dxa"/>
              <w:bottom w:w="80" w:type="dxa"/>
              <w:end w:w="90" w:type="dxa"/>
            </w:tcMar>
          </w:tcPr>
          <w:p>
            <w:pPr>
              <w:spacing w:after="0"/>
            </w:pPr>
            <w:r/>
            <w:r>
              <w:rPr>
                <w:rFonts w:ascii="Arial" w:hAnsi="Arial"/>
                <w:b w:val="0"/>
                <w:color w:val="183128"/>
                <w:sz w:val="16"/>
              </w:rPr>
              <w:t>Aquaponic top-up after validation or clean irrigation</w:t>
            </w:r>
          </w:p>
        </w:tc>
        <w:tc>
          <w:tcPr>
            <w:tcW w:type="dxa" w:w="3798"/>
            <w:shd w:fill="F1F3EF"/>
            <w:vAlign w:val="center"/>
            <w:tcMar>
              <w:top w:w="80" w:type="dxa"/>
              <w:start w:w="90" w:type="dxa"/>
              <w:bottom w:w="80" w:type="dxa"/>
              <w:end w:w="90" w:type="dxa"/>
            </w:tcMar>
          </w:tcPr>
          <w:p>
            <w:pPr>
              <w:spacing w:after="0"/>
            </w:pPr>
            <w:r/>
            <w:r>
              <w:rPr>
                <w:rFonts w:ascii="Arial" w:hAnsi="Arial"/>
                <w:b w:val="0"/>
                <w:color w:val="183128"/>
                <w:sz w:val="16"/>
              </w:rPr>
              <w:t>Surface compatibility, disinfection if required, remineralisation and batch release.</w:t>
            </w:r>
          </w:p>
        </w:tc>
      </w:tr>
      <w:tr>
        <w:tc>
          <w:tcPr>
            <w:tcW w:type="dxa" w:w="1984"/>
            <w:vAlign w:val="center"/>
            <w:tcMar>
              <w:top w:w="80" w:type="dxa"/>
              <w:start w:w="90" w:type="dxa"/>
              <w:bottom w:w="80" w:type="dxa"/>
              <w:end w:w="90" w:type="dxa"/>
            </w:tcMar>
          </w:tcPr>
          <w:p>
            <w:pPr>
              <w:spacing w:after="0"/>
            </w:pPr>
            <w:r/>
            <w:r>
              <w:rPr>
                <w:rFonts w:ascii="Arial" w:hAnsi="Arial"/>
                <w:b/>
                <w:color w:val="183128"/>
                <w:sz w:val="16"/>
              </w:rPr>
              <w:t>Boiler condensate</w:t>
            </w:r>
          </w:p>
        </w:tc>
        <w:tc>
          <w:tcPr>
            <w:tcW w:type="dxa" w:w="3515"/>
            <w:vAlign w:val="center"/>
            <w:tcMar>
              <w:top w:w="80" w:type="dxa"/>
              <w:start w:w="90" w:type="dxa"/>
              <w:bottom w:w="80" w:type="dxa"/>
              <w:end w:w="90" w:type="dxa"/>
            </w:tcMar>
          </w:tcPr>
          <w:p>
            <w:pPr>
              <w:spacing w:after="0"/>
            </w:pPr>
            <w:r/>
            <w:r>
              <w:rPr>
                <w:rFonts w:ascii="Arial" w:hAnsi="Arial"/>
                <w:b w:val="0"/>
                <w:color w:val="183128"/>
                <w:sz w:val="16"/>
              </w:rPr>
              <w:t>Clean feedwater return</w:t>
            </w:r>
          </w:p>
        </w:tc>
        <w:tc>
          <w:tcPr>
            <w:tcW w:type="dxa" w:w="3798"/>
            <w:vAlign w:val="center"/>
            <w:tcMar>
              <w:top w:w="80" w:type="dxa"/>
              <w:start w:w="90" w:type="dxa"/>
              <w:bottom w:w="80" w:type="dxa"/>
              <w:end w:w="90" w:type="dxa"/>
            </w:tcMar>
          </w:tcPr>
          <w:p>
            <w:pPr>
              <w:spacing w:after="0"/>
            </w:pPr>
            <w:r/>
            <w:r>
              <w:rPr>
                <w:rFonts w:ascii="Arial" w:hAnsi="Arial"/>
                <w:b w:val="0"/>
                <w:color w:val="183128"/>
                <w:sz w:val="16"/>
              </w:rPr>
              <w:t>Boiler chemistry, conductivity, corrosion and blowdown controls.</w:t>
            </w:r>
          </w:p>
        </w:tc>
      </w:tr>
      <w:tr>
        <w:tc>
          <w:tcPr>
            <w:tcW w:type="dxa" w:w="1984"/>
            <w:shd w:fill="F1F3EF"/>
            <w:vAlign w:val="center"/>
            <w:tcMar>
              <w:top w:w="80" w:type="dxa"/>
              <w:start w:w="90" w:type="dxa"/>
              <w:bottom w:w="80" w:type="dxa"/>
              <w:end w:w="90" w:type="dxa"/>
            </w:tcMar>
          </w:tcPr>
          <w:p>
            <w:pPr>
              <w:spacing w:after="0"/>
            </w:pPr>
            <w:r/>
            <w:r>
              <w:rPr>
                <w:rFonts w:ascii="Arial" w:hAnsi="Arial"/>
                <w:b/>
                <w:color w:val="183128"/>
                <w:sz w:val="16"/>
              </w:rPr>
              <w:t>Aquaponic purge/mineralised water</w:t>
            </w:r>
          </w:p>
        </w:tc>
        <w:tc>
          <w:tcPr>
            <w:tcW w:type="dxa" w:w="3515"/>
            <w:shd w:fill="F1F3EF"/>
            <w:vAlign w:val="center"/>
            <w:tcMar>
              <w:top w:w="80" w:type="dxa"/>
              <w:start w:w="90" w:type="dxa"/>
              <w:bottom w:w="80" w:type="dxa"/>
              <w:end w:w="90" w:type="dxa"/>
            </w:tcMar>
          </w:tcPr>
          <w:p>
            <w:pPr>
              <w:spacing w:after="0"/>
            </w:pPr>
            <w:r/>
            <w:r>
              <w:rPr>
                <w:rFonts w:ascii="Arial" w:hAnsi="Arial"/>
                <w:b w:val="0"/>
                <w:color w:val="183128"/>
                <w:sz w:val="16"/>
              </w:rPr>
              <w:t>Separate orchard/tree nursery or lawful reuse</w:t>
            </w:r>
          </w:p>
        </w:tc>
        <w:tc>
          <w:tcPr>
            <w:tcW w:type="dxa" w:w="3798"/>
            <w:shd w:fill="F1F3EF"/>
            <w:vAlign w:val="center"/>
            <w:tcMar>
              <w:top w:w="80" w:type="dxa"/>
              <w:start w:w="90" w:type="dxa"/>
              <w:bottom w:w="80" w:type="dxa"/>
              <w:end w:w="90" w:type="dxa"/>
            </w:tcMar>
          </w:tcPr>
          <w:p>
            <w:pPr>
              <w:spacing w:after="0"/>
            </w:pPr>
            <w:r/>
            <w:r>
              <w:rPr>
                <w:rFonts w:ascii="Arial" w:hAnsi="Arial"/>
                <w:b w:val="0"/>
                <w:color w:val="183128"/>
                <w:sz w:val="16"/>
              </w:rPr>
              <w:t>Pathogen/nutrient assessment, filtration and controlled application.</w:t>
            </w:r>
          </w:p>
        </w:tc>
      </w:tr>
      <w:tr>
        <w:tc>
          <w:tcPr>
            <w:tcW w:type="dxa" w:w="1984"/>
            <w:vAlign w:val="center"/>
            <w:tcMar>
              <w:top w:w="80" w:type="dxa"/>
              <w:start w:w="90" w:type="dxa"/>
              <w:bottom w:w="80" w:type="dxa"/>
              <w:end w:w="90" w:type="dxa"/>
            </w:tcMar>
          </w:tcPr>
          <w:p>
            <w:pPr>
              <w:spacing w:after="0"/>
            </w:pPr>
            <w:r/>
            <w:r>
              <w:rPr>
                <w:rFonts w:ascii="Arial" w:hAnsi="Arial"/>
                <w:b/>
                <w:color w:val="183128"/>
                <w:sz w:val="16"/>
              </w:rPr>
              <w:t>Fish-system water</w:t>
            </w:r>
          </w:p>
        </w:tc>
        <w:tc>
          <w:tcPr>
            <w:tcW w:type="dxa" w:w="3515"/>
            <w:vAlign w:val="center"/>
            <w:tcMar>
              <w:top w:w="80" w:type="dxa"/>
              <w:start w:w="90" w:type="dxa"/>
              <w:bottom w:w="80" w:type="dxa"/>
              <w:end w:w="90" w:type="dxa"/>
            </w:tcMar>
          </w:tcPr>
          <w:p>
            <w:pPr>
              <w:spacing w:after="0"/>
            </w:pPr>
            <w:r/>
            <w:r>
              <w:rPr>
                <w:rFonts w:ascii="Arial" w:hAnsi="Arial"/>
                <w:b w:val="0"/>
                <w:color w:val="183128"/>
                <w:sz w:val="16"/>
              </w:rPr>
              <w:t>Recirculate in fish loop</w:t>
            </w:r>
          </w:p>
        </w:tc>
        <w:tc>
          <w:tcPr>
            <w:tcW w:type="dxa" w:w="3798"/>
            <w:vAlign w:val="center"/>
            <w:tcMar>
              <w:top w:w="80" w:type="dxa"/>
              <w:start w:w="90" w:type="dxa"/>
              <w:bottom w:w="80" w:type="dxa"/>
              <w:end w:w="90" w:type="dxa"/>
            </w:tcMar>
          </w:tcPr>
          <w:p>
            <w:pPr>
              <w:spacing w:after="0"/>
            </w:pPr>
            <w:r/>
            <w:r>
              <w:rPr>
                <w:rFonts w:ascii="Arial" w:hAnsi="Arial"/>
                <w:b w:val="0"/>
                <w:color w:val="183128"/>
                <w:sz w:val="16"/>
              </w:rPr>
              <w:t>Do not send directly to steam boiler or potable system.</w:t>
            </w:r>
          </w:p>
        </w:tc>
      </w:tr>
    </w:tbl>
    <w:p>
      <w:pPr>
        <w:spacing w:after="0"/>
      </w:pPr>
    </w:p>
    <w:p>
      <w:pPr>
        <w:pStyle w:val="Heading1"/>
      </w:pPr>
      <w:r>
        <w:t>2.6 CO₂ and nutrient recovery</w:t>
      </w:r>
    </w:p>
    <w:p>
      <w:r>
        <w:t>Plants and algae can take up carbon dioxide, but uptake is not automatically permanent greenhouse-gas removal. Carbon is quickly returned if biomass decomposes or is burned. A credible claim records the source CO₂, energy used, biomass output and final fate. Compatible biomass may become feed or product; residues may be considered for engineered biochar where contaminants, permanence and life-cycle accounting are acceptable.</w:t>
      </w:r>
    </w:p>
    <w:tbl>
      <w:tblPr>
        <w:tblW w:type="auto" w:w="0"/>
        <w:jc w:val="center"/>
        <w:tblLayout w:type="fixed"/>
        <w:tblLook w:firstColumn="1" w:firstRow="1" w:lastColumn="0" w:lastRow="0" w:noHBand="0" w:noVBand="1" w:val="04A0"/>
      </w:tblPr>
      <w:tblGrid>
        <w:gridCol w:w="198"/>
        <w:gridCol w:w="9298"/>
      </w:tblGrid>
      <w:tr>
        <w:tc>
          <w:tcPr>
            <w:tcW w:type="dxa" w:w="4989"/>
            <w:shd w:fill="B34B45"/>
            <w:vAlign w:val="center"/>
            <w:tcMar>
              <w:top w:w="80" w:type="dxa"/>
              <w:start w:w="90" w:type="dxa"/>
              <w:bottom w:w="80" w:type="dxa"/>
              <w:end w:w="90" w:type="dxa"/>
            </w:tcMar>
          </w:tcPr>
          <w:p>
            <w:pPr>
              <w:spacing w:after="0"/>
            </w:pPr>
            <w:r/>
            <w:r>
              <w:rPr>
                <w:rFonts w:ascii="Arial" w:hAnsi="Arial"/>
                <w:b w:val="0"/>
                <w:color w:val="FFFFFF"/>
                <w:sz w:val="16"/>
              </w:rPr>
            </w:r>
          </w:p>
        </w:tc>
        <w:tc>
          <w:tcPr>
            <w:tcW w:type="dxa" w:w="4989"/>
            <w:shd w:fill="F7E7E5"/>
            <w:tcMar>
              <w:top w:w="120" w:type="dxa"/>
              <w:start w:w="160" w:type="dxa"/>
              <w:bottom w:w="120" w:type="dxa"/>
              <w:end w:w="160" w:type="dxa"/>
            </w:tcMar>
          </w:tcPr>
          <w:p>
            <w:r/>
            <w:r>
              <w:rPr>
                <w:b/>
                <w:color w:val="183128"/>
                <w:sz w:val="20"/>
              </w:rPr>
              <w:t>Separate carbon and hydrogen</w:t>
              <w:br/>
            </w:r>
            <w:r>
              <w:rPr>
                <w:color w:val="56645D"/>
                <w:sz w:val="18"/>
              </w:rPr>
              <w:t>Hydrogen combustion produces water, not CO₂. The carbon loop must have its own source, quality controls and accounting. Never pipe unknown exhaust into food production without contaminant and worker-safety assessment.</w:t>
            </w:r>
          </w:p>
        </w:tc>
      </w:tr>
    </w:tbl>
    <w:p>
      <w:pPr>
        <w:spacing w:after="0"/>
      </w:pPr>
    </w:p>
    <w:p>
      <w:pPr>
        <w:pStyle w:val="Heading1"/>
      </w:pPr>
      <w:r>
        <w:t>2.7 Engineering work packages before build</w:t>
      </w:r>
    </w:p>
    <w:tbl>
      <w:tblPr>
        <w:tblStyle w:val="TableGrid"/>
        <w:tblW w:type="auto" w:w="0"/>
        <w:jc w:val="center"/>
        <w:tblLayout w:type="fixed"/>
        <w:tblLook w:firstColumn="1" w:firstRow="1" w:lastColumn="0" w:lastRow="0" w:noHBand="0" w:noVBand="1" w:val="04A0"/>
      </w:tblPr>
      <w:tblGrid>
        <w:gridCol w:w="2381"/>
        <w:gridCol w:w="6917"/>
      </w:tblGrid>
      <w:tr>
        <w:trPr>
          <w:tblHeader w:val="true"/>
        </w:trPr>
        <w:tc>
          <w:tcPr>
            <w:tcW w:type="dxa" w:w="4989"/>
            <w:shd w:fill="15362A"/>
            <w:vAlign w:val="center"/>
            <w:tcMar>
              <w:top w:w="80" w:type="dxa"/>
              <w:start w:w="90" w:type="dxa"/>
              <w:bottom w:w="80" w:type="dxa"/>
              <w:end w:w="90" w:type="dxa"/>
            </w:tcMar>
          </w:tcPr>
          <w:p>
            <w:pPr>
              <w:spacing w:after="0"/>
            </w:pPr>
            <w:r/>
            <w:r>
              <w:rPr>
                <w:rFonts w:ascii="Arial" w:hAnsi="Arial"/>
                <w:b/>
                <w:color w:val="FFFFFF"/>
                <w:sz w:val="16"/>
              </w:rPr>
              <w:t>Work package</w:t>
            </w:r>
          </w:p>
        </w:tc>
        <w:tc>
          <w:tcPr>
            <w:tcW w:type="dxa" w:w="4989"/>
            <w:shd w:fill="15362A"/>
            <w:vAlign w:val="center"/>
            <w:tcMar>
              <w:top w:w="80" w:type="dxa"/>
              <w:start w:w="90" w:type="dxa"/>
              <w:bottom w:w="80" w:type="dxa"/>
              <w:end w:w="90" w:type="dxa"/>
            </w:tcMar>
          </w:tcPr>
          <w:p>
            <w:pPr>
              <w:spacing w:after="0"/>
            </w:pPr>
            <w:r/>
            <w:r>
              <w:rPr>
                <w:rFonts w:ascii="Arial" w:hAnsi="Arial"/>
                <w:b/>
                <w:color w:val="FFFFFF"/>
                <w:sz w:val="16"/>
              </w:rPr>
              <w:t>Required output</w:t>
            </w:r>
          </w:p>
        </w:tc>
      </w:tr>
      <w:tr>
        <w:tc>
          <w:tcPr>
            <w:tcW w:type="dxa" w:w="2381"/>
            <w:vAlign w:val="center"/>
            <w:tcMar>
              <w:top w:w="80" w:type="dxa"/>
              <w:start w:w="90" w:type="dxa"/>
              <w:bottom w:w="80" w:type="dxa"/>
              <w:end w:w="90" w:type="dxa"/>
            </w:tcMar>
          </w:tcPr>
          <w:p>
            <w:pPr>
              <w:spacing w:after="0"/>
            </w:pPr>
            <w:r/>
            <w:r>
              <w:rPr>
                <w:rFonts w:ascii="Arial" w:hAnsi="Arial"/>
                <w:b/>
                <w:color w:val="183128"/>
                <w:sz w:val="16"/>
              </w:rPr>
              <w:t>Site and planning</w:t>
            </w:r>
          </w:p>
        </w:tc>
        <w:tc>
          <w:tcPr>
            <w:tcW w:type="dxa" w:w="6917"/>
            <w:vAlign w:val="center"/>
            <w:tcMar>
              <w:top w:w="80" w:type="dxa"/>
              <w:start w:w="90" w:type="dxa"/>
              <w:bottom w:w="80" w:type="dxa"/>
              <w:end w:w="90" w:type="dxa"/>
            </w:tcMar>
          </w:tcPr>
          <w:p>
            <w:pPr>
              <w:spacing w:after="0"/>
            </w:pPr>
            <w:r/>
            <w:r>
              <w:rPr>
                <w:rFonts w:ascii="Arial" w:hAnsi="Arial"/>
                <w:b w:val="0"/>
                <w:color w:val="183128"/>
                <w:sz w:val="16"/>
              </w:rPr>
              <w:t>Contamination, ecology, flood/drainage, transport, utilities, neighbours and consent route.</w:t>
            </w:r>
          </w:p>
        </w:tc>
      </w:tr>
      <w:tr>
        <w:tc>
          <w:tcPr>
            <w:tcW w:type="dxa" w:w="2381"/>
            <w:shd w:fill="F1F3EF"/>
            <w:vAlign w:val="center"/>
            <w:tcMar>
              <w:top w:w="80" w:type="dxa"/>
              <w:start w:w="90" w:type="dxa"/>
              <w:bottom w:w="80" w:type="dxa"/>
              <w:end w:w="90" w:type="dxa"/>
            </w:tcMar>
          </w:tcPr>
          <w:p>
            <w:pPr>
              <w:spacing w:after="0"/>
            </w:pPr>
            <w:r/>
            <w:r>
              <w:rPr>
                <w:rFonts w:ascii="Arial" w:hAnsi="Arial"/>
                <w:b/>
                <w:color w:val="183128"/>
                <w:sz w:val="16"/>
              </w:rPr>
              <w:t>Mass/energy balance</w:t>
            </w:r>
          </w:p>
        </w:tc>
        <w:tc>
          <w:tcPr>
            <w:tcW w:type="dxa" w:w="6917"/>
            <w:shd w:fill="F1F3EF"/>
            <w:vAlign w:val="center"/>
            <w:tcMar>
              <w:top w:w="80" w:type="dxa"/>
              <w:start w:w="90" w:type="dxa"/>
              <w:bottom w:w="80" w:type="dxa"/>
              <w:end w:w="90" w:type="dxa"/>
            </w:tcMar>
          </w:tcPr>
          <w:p>
            <w:pPr>
              <w:spacing w:after="0"/>
            </w:pPr>
            <w:r/>
            <w:r>
              <w:rPr>
                <w:rFonts w:ascii="Arial" w:hAnsi="Arial"/>
                <w:b w:val="0"/>
                <w:color w:val="183128"/>
                <w:sz w:val="16"/>
              </w:rPr>
              <w:t>Hourly electricity, heat, water, humidity, feed, nutrient, biomass, losses and seasonal model.</w:t>
            </w:r>
          </w:p>
        </w:tc>
      </w:tr>
      <w:tr>
        <w:tc>
          <w:tcPr>
            <w:tcW w:type="dxa" w:w="2381"/>
            <w:vAlign w:val="center"/>
            <w:tcMar>
              <w:top w:w="80" w:type="dxa"/>
              <w:start w:w="90" w:type="dxa"/>
              <w:bottom w:w="80" w:type="dxa"/>
              <w:end w:w="90" w:type="dxa"/>
            </w:tcMar>
          </w:tcPr>
          <w:p>
            <w:pPr>
              <w:spacing w:after="0"/>
            </w:pPr>
            <w:r/>
            <w:r>
              <w:rPr>
                <w:rFonts w:ascii="Arial" w:hAnsi="Arial"/>
                <w:b/>
                <w:color w:val="183128"/>
                <w:sz w:val="16"/>
              </w:rPr>
              <w:t>Process safety</w:t>
            </w:r>
          </w:p>
        </w:tc>
        <w:tc>
          <w:tcPr>
            <w:tcW w:type="dxa" w:w="6917"/>
            <w:vAlign w:val="center"/>
            <w:tcMar>
              <w:top w:w="80" w:type="dxa"/>
              <w:start w:w="90" w:type="dxa"/>
              <w:bottom w:w="80" w:type="dxa"/>
              <w:end w:w="90" w:type="dxa"/>
            </w:tcMar>
          </w:tcPr>
          <w:p>
            <w:pPr>
              <w:spacing w:after="0"/>
            </w:pPr>
            <w:r/>
            <w:r>
              <w:rPr>
                <w:rFonts w:ascii="Arial" w:hAnsi="Arial"/>
                <w:b w:val="0"/>
                <w:color w:val="183128"/>
                <w:sz w:val="16"/>
              </w:rPr>
              <w:t>HAZID/HAZOP, pressure systems, hydrogen zoning/detection/ventilation, fire strategy and emergency shutdown.</w:t>
            </w:r>
          </w:p>
        </w:tc>
      </w:tr>
      <w:tr>
        <w:tc>
          <w:tcPr>
            <w:tcW w:type="dxa" w:w="2381"/>
            <w:shd w:fill="F1F3EF"/>
            <w:vAlign w:val="center"/>
            <w:tcMar>
              <w:top w:w="80" w:type="dxa"/>
              <w:start w:w="90" w:type="dxa"/>
              <w:bottom w:w="80" w:type="dxa"/>
              <w:end w:w="90" w:type="dxa"/>
            </w:tcMar>
          </w:tcPr>
          <w:p>
            <w:pPr>
              <w:spacing w:after="0"/>
            </w:pPr>
            <w:r/>
            <w:r>
              <w:rPr>
                <w:rFonts w:ascii="Arial" w:hAnsi="Arial"/>
                <w:b/>
                <w:color w:val="183128"/>
                <w:sz w:val="16"/>
              </w:rPr>
              <w:t>Food and fish safety</w:t>
            </w:r>
          </w:p>
        </w:tc>
        <w:tc>
          <w:tcPr>
            <w:tcW w:type="dxa" w:w="6917"/>
            <w:shd w:fill="F1F3EF"/>
            <w:vAlign w:val="center"/>
            <w:tcMar>
              <w:top w:w="80" w:type="dxa"/>
              <w:start w:w="90" w:type="dxa"/>
              <w:bottom w:w="80" w:type="dxa"/>
              <w:end w:w="90" w:type="dxa"/>
            </w:tcMar>
          </w:tcPr>
          <w:p>
            <w:pPr>
              <w:spacing w:after="0"/>
            </w:pPr>
            <w:r/>
            <w:r>
              <w:rPr>
                <w:rFonts w:ascii="Arial" w:hAnsi="Arial"/>
                <w:b w:val="0"/>
                <w:color w:val="183128"/>
                <w:sz w:val="16"/>
              </w:rPr>
              <w:t>HACCP, biosecurity, animal welfare, water-quality plan and mortality disposal.</w:t>
            </w:r>
          </w:p>
        </w:tc>
      </w:tr>
      <w:tr>
        <w:tc>
          <w:tcPr>
            <w:tcW w:type="dxa" w:w="2381"/>
            <w:vAlign w:val="center"/>
            <w:tcMar>
              <w:top w:w="80" w:type="dxa"/>
              <w:start w:w="90" w:type="dxa"/>
              <w:bottom w:w="80" w:type="dxa"/>
              <w:end w:w="90" w:type="dxa"/>
            </w:tcMar>
          </w:tcPr>
          <w:p>
            <w:pPr>
              <w:spacing w:after="0"/>
            </w:pPr>
            <w:r/>
            <w:r>
              <w:rPr>
                <w:rFonts w:ascii="Arial" w:hAnsi="Arial"/>
                <w:b/>
                <w:color w:val="183128"/>
                <w:sz w:val="16"/>
              </w:rPr>
              <w:t>Controls and resilience</w:t>
            </w:r>
          </w:p>
        </w:tc>
        <w:tc>
          <w:tcPr>
            <w:tcW w:type="dxa" w:w="6917"/>
            <w:vAlign w:val="center"/>
            <w:tcMar>
              <w:top w:w="80" w:type="dxa"/>
              <w:start w:w="90" w:type="dxa"/>
              <w:bottom w:w="80" w:type="dxa"/>
              <w:end w:w="90" w:type="dxa"/>
            </w:tcMar>
          </w:tcPr>
          <w:p>
            <w:pPr>
              <w:spacing w:after="0"/>
            </w:pPr>
            <w:r/>
            <w:r>
              <w:rPr>
                <w:rFonts w:ascii="Arial" w:hAnsi="Arial"/>
                <w:b w:val="0"/>
                <w:color w:val="183128"/>
                <w:sz w:val="16"/>
              </w:rPr>
              <w:t>Failure modes, alarms, backup duration, manual operation, spares and cyber/remote access.</w:t>
            </w:r>
          </w:p>
        </w:tc>
      </w:tr>
      <w:tr>
        <w:tc>
          <w:tcPr>
            <w:tcW w:type="dxa" w:w="2381"/>
            <w:shd w:fill="F1F3EF"/>
            <w:vAlign w:val="center"/>
            <w:tcMar>
              <w:top w:w="80" w:type="dxa"/>
              <w:start w:w="90" w:type="dxa"/>
              <w:bottom w:w="80" w:type="dxa"/>
              <w:end w:w="90" w:type="dxa"/>
            </w:tcMar>
          </w:tcPr>
          <w:p>
            <w:pPr>
              <w:spacing w:after="0"/>
            </w:pPr>
            <w:r/>
            <w:r>
              <w:rPr>
                <w:rFonts w:ascii="Arial" w:hAnsi="Arial"/>
                <w:b/>
                <w:color w:val="183128"/>
                <w:sz w:val="16"/>
              </w:rPr>
              <w:t>Commercial</w:t>
            </w:r>
          </w:p>
        </w:tc>
        <w:tc>
          <w:tcPr>
            <w:tcW w:type="dxa" w:w="6917"/>
            <w:shd w:fill="F1F3EF"/>
            <w:vAlign w:val="center"/>
            <w:tcMar>
              <w:top w:w="80" w:type="dxa"/>
              <w:start w:w="90" w:type="dxa"/>
              <w:bottom w:w="80" w:type="dxa"/>
              <w:end w:w="90" w:type="dxa"/>
            </w:tcMar>
          </w:tcPr>
          <w:p>
            <w:pPr>
              <w:spacing w:after="0"/>
            </w:pPr>
            <w:r/>
            <w:r>
              <w:rPr>
                <w:rFonts w:ascii="Arial" w:hAnsi="Arial"/>
                <w:b w:val="0"/>
                <w:color w:val="183128"/>
                <w:sz w:val="16"/>
              </w:rPr>
              <w:t>Offtakes, tariffs, feed/seed inputs, labour, maintenance, replacement cycles and sensitivity analysis.</w:t>
            </w:r>
          </w:p>
        </w:tc>
      </w:tr>
    </w:tbl>
    <w:p>
      <w:pPr>
        <w:spacing w:after="0"/>
      </w:pPr>
    </w:p>
    <w:p>
      <w:r>
        <w:br w:type="page"/>
      </w:r>
    </w:p>
    <w:tbl>
      <w:tblPr>
        <w:tblW w:type="auto" w:w="0"/>
        <w:jc w:val="center"/>
        <w:tblLook w:firstColumn="1" w:firstRow="1" w:lastColumn="0" w:lastRow="0" w:noHBand="0" w:noVBand="1" w:val="04A0"/>
      </w:tblPr>
      <w:tblGrid>
        <w:gridCol w:w="9978"/>
      </w:tblGrid>
      <w:tr>
        <w:tc>
          <w:tcPr>
            <w:tcW w:type="dxa" w:w="9978"/>
            <w:shd w:fill="15362A"/>
            <w:tcMar>
              <w:top w:w="260" w:type="dxa"/>
              <w:start w:w="250" w:type="dxa"/>
              <w:bottom w:w="260" w:type="dxa"/>
              <w:end w:w="250" w:type="dxa"/>
            </w:tcMar>
          </w:tcPr>
          <w:p>
            <w:r/>
            <w:r>
              <w:rPr>
                <w:b/>
                <w:color w:val="D5A34A"/>
                <w:sz w:val="20"/>
              </w:rPr>
              <w:t>SECTION 3</w:t>
              <w:br/>
            </w:r>
            <w:r>
              <w:rPr>
                <w:b/>
                <w:color w:val="FFFFFF"/>
                <w:sz w:val="56"/>
              </w:rPr>
              <w:t>Aquaponics: a living treatment plant that also grows food.</w:t>
              <w:br/>
            </w:r>
            <w:r>
              <w:rPr>
                <w:color w:val="DDE9E2"/>
                <w:sz w:val="26"/>
              </w:rPr>
              <w:t>Fish, microbes, plants, hydraulics and backup power designed as one biological system.</w:t>
            </w:r>
          </w:p>
        </w:tc>
      </w:tr>
    </w:tbl>
    <w:p>
      <w:pPr>
        <w:jc w:val="center"/>
      </w:pPr>
      <w:r>
        <w:drawing>
          <wp:inline xmlns:a="http://schemas.openxmlformats.org/drawingml/2006/main" xmlns:pic="http://schemas.openxmlformats.org/drawingml/2006/picture">
            <wp:extent cx="6228000" cy="3505112"/>
            <wp:docPr id="5" name="Picture 5"/>
            <wp:cNvGraphicFramePr>
              <a:graphicFrameLocks noChangeAspect="1"/>
            </wp:cNvGraphicFramePr>
            <a:graphic>
              <a:graphicData uri="http://schemas.openxmlformats.org/drawingml/2006/picture">
                <pic:pic>
                  <pic:nvPicPr>
                    <pic:cNvPr id="0" name="exec-3b595d5e-121c-416f-a739-d7be93c8ce3f.png"/>
                    <pic:cNvPicPr/>
                  </pic:nvPicPr>
                  <pic:blipFill>
                    <a:blip r:embed="rId14"/>
                    <a:stretch>
                      <a:fillRect/>
                    </a:stretch>
                  </pic:blipFill>
                  <pic:spPr>
                    <a:xfrm>
                      <a:off x="0" y="0"/>
                      <a:ext cx="6228000" cy="3505112"/>
                    </a:xfrm>
                    <a:prstGeom prst="rect"/>
                  </pic:spPr>
                </pic:pic>
              </a:graphicData>
            </a:graphic>
          </wp:inline>
        </w:drawing>
      </w:r>
    </w:p>
    <w:p>
      <w:pPr>
        <w:pStyle w:val="Heading1"/>
      </w:pPr>
      <w:r>
        <w:t>3.1 What aquaponics is—and is not</w:t>
      </w:r>
    </w:p>
    <w:p>
      <w:r>
        <w:t>Aquaponics combines recirculating aquaculture with hydroponic plant production. Fish feed supplies most nitrogen. Fish excrete ammonia; uneaten feed and faeces add solids and nutrients. Microbes oxidise ammonia to nitrite and then nitrate. Plants and associated microbes remove a portion of dissolved nutrients before water returns to fish.</w:t>
      </w:r>
    </w:p>
    <w:tbl>
      <w:tblPr>
        <w:tblW w:type="auto" w:w="0"/>
        <w:jc w:val="center"/>
        <w:tblLayout w:type="fixed"/>
        <w:tblLook w:firstColumn="1" w:firstRow="1" w:lastColumn="0" w:lastRow="0" w:noHBand="0" w:noVBand="1" w:val="04A0"/>
      </w:tblPr>
      <w:tblGrid>
        <w:gridCol w:w="198"/>
        <w:gridCol w:w="9298"/>
      </w:tblGrid>
      <w:tr>
        <w:tc>
          <w:tcPr>
            <w:tcW w:type="dxa" w:w="4989"/>
            <w:shd w:fill="3B879E"/>
            <w:vAlign w:val="center"/>
            <w:tcMar>
              <w:top w:w="80" w:type="dxa"/>
              <w:start w:w="90" w:type="dxa"/>
              <w:bottom w:w="80" w:type="dxa"/>
              <w:end w:w="90" w:type="dxa"/>
            </w:tcMar>
          </w:tcPr>
          <w:p>
            <w:pPr>
              <w:spacing w:after="0"/>
            </w:pPr>
            <w:r/>
            <w:r>
              <w:rPr>
                <w:rFonts w:ascii="Arial" w:hAnsi="Arial"/>
                <w:b w:val="0"/>
                <w:color w:val="FFFFFF"/>
                <w:sz w:val="16"/>
              </w:rPr>
            </w:r>
          </w:p>
        </w:tc>
        <w:tc>
          <w:tcPr>
            <w:tcW w:type="dxa" w:w="4989"/>
            <w:shd w:fill="D9EEF5"/>
            <w:tcMar>
              <w:top w:w="120" w:type="dxa"/>
              <w:start w:w="160" w:type="dxa"/>
              <w:bottom w:w="120" w:type="dxa"/>
              <w:end w:w="160" w:type="dxa"/>
            </w:tcMar>
          </w:tcPr>
          <w:p>
            <w:r/>
            <w:r>
              <w:rPr>
                <w:b/>
                <w:color w:val="183128"/>
                <w:sz w:val="20"/>
              </w:rPr>
              <w:t>Inputs remain</w:t>
              <w:br/>
            </w:r>
            <w:r>
              <w:rPr>
                <w:color w:val="56645D"/>
                <w:sz w:val="18"/>
              </w:rPr>
              <w:t>Aquaponics does not eliminate inputs. It needs fish feed, energy for aeration and pumping, top-up water, seed/plant material, labour and often targeted iron, calcium, potassium or other supplements. It concentrates management rather than abolishing it.</w:t>
            </w:r>
          </w:p>
        </w:tc>
      </w:tr>
    </w:tbl>
    <w:p>
      <w:pPr>
        <w:spacing w:after="0"/>
      </w:pPr>
    </w:p>
    <w:p>
      <w:pPr>
        <w:pStyle w:val="Heading1"/>
      </w:pPr>
      <w:r>
        <w:t>3.2 Process loop</w:t>
      </w:r>
    </w:p>
    <w:tbl>
      <w:tblPr>
        <w:tblStyle w:val="TableGrid"/>
        <w:tblW w:type="auto" w:w="0"/>
        <w:jc w:val="center"/>
        <w:tblLayout w:type="fixed"/>
        <w:tblLook w:firstColumn="1" w:firstRow="1" w:lastColumn="0" w:lastRow="0" w:noHBand="0" w:noVBand="1" w:val="04A0"/>
      </w:tblPr>
      <w:tblGrid>
        <w:gridCol w:w="1701"/>
        <w:gridCol w:w="4139"/>
        <w:gridCol w:w="3515"/>
      </w:tblGrid>
      <w:tr>
        <w:trPr>
          <w:tblHeader w:val="true"/>
        </w:trPr>
        <w:tc>
          <w:tcPr>
            <w:tcW w:type="dxa" w:w="3326"/>
            <w:shd w:fill="15362A"/>
            <w:vAlign w:val="center"/>
            <w:tcMar>
              <w:top w:w="80" w:type="dxa"/>
              <w:start w:w="90" w:type="dxa"/>
              <w:bottom w:w="80" w:type="dxa"/>
              <w:end w:w="90" w:type="dxa"/>
            </w:tcMar>
          </w:tcPr>
          <w:p>
            <w:pPr>
              <w:spacing w:after="0"/>
            </w:pPr>
            <w:r/>
            <w:r>
              <w:rPr>
                <w:rFonts w:ascii="Arial" w:hAnsi="Arial"/>
                <w:b/>
                <w:color w:val="FFFFFF"/>
                <w:sz w:val="16"/>
              </w:rPr>
              <w:t>Stage</w:t>
            </w:r>
          </w:p>
        </w:tc>
        <w:tc>
          <w:tcPr>
            <w:tcW w:type="dxa" w:w="3326"/>
            <w:shd w:fill="15362A"/>
            <w:vAlign w:val="center"/>
            <w:tcMar>
              <w:top w:w="80" w:type="dxa"/>
              <w:start w:w="90" w:type="dxa"/>
              <w:bottom w:w="80" w:type="dxa"/>
              <w:end w:w="90" w:type="dxa"/>
            </w:tcMar>
          </w:tcPr>
          <w:p>
            <w:pPr>
              <w:spacing w:after="0"/>
            </w:pPr>
            <w:r/>
            <w:r>
              <w:rPr>
                <w:rFonts w:ascii="Arial" w:hAnsi="Arial"/>
                <w:b/>
                <w:color w:val="FFFFFF"/>
                <w:sz w:val="16"/>
              </w:rPr>
              <w:t>Function</w:t>
            </w:r>
          </w:p>
        </w:tc>
        <w:tc>
          <w:tcPr>
            <w:tcW w:type="dxa" w:w="3326"/>
            <w:shd w:fill="15362A"/>
            <w:vAlign w:val="center"/>
            <w:tcMar>
              <w:top w:w="80" w:type="dxa"/>
              <w:start w:w="90" w:type="dxa"/>
              <w:bottom w:w="80" w:type="dxa"/>
              <w:end w:w="90" w:type="dxa"/>
            </w:tcMar>
          </w:tcPr>
          <w:p>
            <w:pPr>
              <w:spacing w:after="0"/>
            </w:pPr>
            <w:r/>
            <w:r>
              <w:rPr>
                <w:rFonts w:ascii="Arial" w:hAnsi="Arial"/>
                <w:b/>
                <w:color w:val="FFFFFF"/>
                <w:sz w:val="16"/>
              </w:rPr>
              <w:t>Failure if neglected</w:t>
            </w:r>
          </w:p>
        </w:tc>
      </w:tr>
      <w:tr>
        <w:tc>
          <w:tcPr>
            <w:tcW w:type="dxa" w:w="1701"/>
            <w:vAlign w:val="center"/>
            <w:tcMar>
              <w:top w:w="80" w:type="dxa"/>
              <w:start w:w="90" w:type="dxa"/>
              <w:bottom w:w="80" w:type="dxa"/>
              <w:end w:w="90" w:type="dxa"/>
            </w:tcMar>
          </w:tcPr>
          <w:p>
            <w:pPr>
              <w:spacing w:after="0"/>
            </w:pPr>
            <w:r/>
            <w:r>
              <w:rPr>
                <w:rFonts w:ascii="Arial" w:hAnsi="Arial"/>
                <w:b/>
                <w:color w:val="183128"/>
                <w:sz w:val="16"/>
              </w:rPr>
              <w:t>Fish tank</w:t>
            </w:r>
          </w:p>
        </w:tc>
        <w:tc>
          <w:tcPr>
            <w:tcW w:type="dxa" w:w="4139"/>
            <w:vAlign w:val="center"/>
            <w:tcMar>
              <w:top w:w="80" w:type="dxa"/>
              <w:start w:w="90" w:type="dxa"/>
              <w:bottom w:w="80" w:type="dxa"/>
              <w:end w:w="90" w:type="dxa"/>
            </w:tcMar>
          </w:tcPr>
          <w:p>
            <w:pPr>
              <w:spacing w:after="0"/>
            </w:pPr>
            <w:r/>
            <w:r>
              <w:rPr>
                <w:rFonts w:ascii="Arial" w:hAnsi="Arial"/>
                <w:b w:val="0"/>
                <w:color w:val="183128"/>
                <w:sz w:val="16"/>
              </w:rPr>
              <w:t>Hold fish at safe density with oxygen, temperature and flow.</w:t>
            </w:r>
          </w:p>
        </w:tc>
        <w:tc>
          <w:tcPr>
            <w:tcW w:type="dxa" w:w="3515"/>
            <w:vAlign w:val="center"/>
            <w:tcMar>
              <w:top w:w="80" w:type="dxa"/>
              <w:start w:w="90" w:type="dxa"/>
              <w:bottom w:w="80" w:type="dxa"/>
              <w:end w:w="90" w:type="dxa"/>
            </w:tcMar>
          </w:tcPr>
          <w:p>
            <w:pPr>
              <w:spacing w:after="0"/>
            </w:pPr>
            <w:r/>
            <w:r>
              <w:rPr>
                <w:rFonts w:ascii="Arial" w:hAnsi="Arial"/>
                <w:b w:val="0"/>
                <w:color w:val="183128"/>
                <w:sz w:val="16"/>
              </w:rPr>
              <w:t>Stress, disease, mortalities and ammonia spikes.</w:t>
            </w:r>
          </w:p>
        </w:tc>
      </w:tr>
      <w:tr>
        <w:tc>
          <w:tcPr>
            <w:tcW w:type="dxa" w:w="1701"/>
            <w:shd w:fill="F1F3EF"/>
            <w:vAlign w:val="center"/>
            <w:tcMar>
              <w:top w:w="80" w:type="dxa"/>
              <w:start w:w="90" w:type="dxa"/>
              <w:bottom w:w="80" w:type="dxa"/>
              <w:end w:w="90" w:type="dxa"/>
            </w:tcMar>
          </w:tcPr>
          <w:p>
            <w:pPr>
              <w:spacing w:after="0"/>
            </w:pPr>
            <w:r/>
            <w:r>
              <w:rPr>
                <w:rFonts w:ascii="Arial" w:hAnsi="Arial"/>
                <w:b/>
                <w:color w:val="183128"/>
                <w:sz w:val="16"/>
              </w:rPr>
              <w:t>Solids capture</w:t>
            </w:r>
          </w:p>
        </w:tc>
        <w:tc>
          <w:tcPr>
            <w:tcW w:type="dxa" w:w="4139"/>
            <w:shd w:fill="F1F3EF"/>
            <w:vAlign w:val="center"/>
            <w:tcMar>
              <w:top w:w="80" w:type="dxa"/>
              <w:start w:w="90" w:type="dxa"/>
              <w:bottom w:w="80" w:type="dxa"/>
              <w:end w:w="90" w:type="dxa"/>
            </w:tcMar>
          </w:tcPr>
          <w:p>
            <w:pPr>
              <w:spacing w:after="0"/>
            </w:pPr>
            <w:r/>
            <w:r>
              <w:rPr>
                <w:rFonts w:ascii="Arial" w:hAnsi="Arial"/>
                <w:b w:val="0"/>
                <w:color w:val="183128"/>
                <w:sz w:val="16"/>
              </w:rPr>
              <w:t>Remove settleable and suspended faeces/uneaten feed.</w:t>
            </w:r>
          </w:p>
        </w:tc>
        <w:tc>
          <w:tcPr>
            <w:tcW w:type="dxa" w:w="3515"/>
            <w:shd w:fill="F1F3EF"/>
            <w:vAlign w:val="center"/>
            <w:tcMar>
              <w:top w:w="80" w:type="dxa"/>
              <w:start w:w="90" w:type="dxa"/>
              <w:bottom w:w="80" w:type="dxa"/>
              <w:end w:w="90" w:type="dxa"/>
            </w:tcMar>
          </w:tcPr>
          <w:p>
            <w:pPr>
              <w:spacing w:after="0"/>
            </w:pPr>
            <w:r/>
            <w:r>
              <w:rPr>
                <w:rFonts w:ascii="Arial" w:hAnsi="Arial"/>
                <w:b w:val="0"/>
                <w:color w:val="183128"/>
                <w:sz w:val="16"/>
              </w:rPr>
              <w:t>Clogged roots/media, oxygen demand and anaerobic zones.</w:t>
            </w:r>
          </w:p>
        </w:tc>
      </w:tr>
      <w:tr>
        <w:tc>
          <w:tcPr>
            <w:tcW w:type="dxa" w:w="1701"/>
            <w:vAlign w:val="center"/>
            <w:tcMar>
              <w:top w:w="80" w:type="dxa"/>
              <w:start w:w="90" w:type="dxa"/>
              <w:bottom w:w="80" w:type="dxa"/>
              <w:end w:w="90" w:type="dxa"/>
            </w:tcMar>
          </w:tcPr>
          <w:p>
            <w:pPr>
              <w:spacing w:after="0"/>
            </w:pPr>
            <w:r/>
            <w:r>
              <w:rPr>
                <w:rFonts w:ascii="Arial" w:hAnsi="Arial"/>
                <w:b/>
                <w:color w:val="183128"/>
                <w:sz w:val="16"/>
              </w:rPr>
              <w:t>Mineralisation</w:t>
            </w:r>
          </w:p>
        </w:tc>
        <w:tc>
          <w:tcPr>
            <w:tcW w:type="dxa" w:w="4139"/>
            <w:vAlign w:val="center"/>
            <w:tcMar>
              <w:top w:w="80" w:type="dxa"/>
              <w:start w:w="90" w:type="dxa"/>
              <w:bottom w:w="80" w:type="dxa"/>
              <w:end w:w="90" w:type="dxa"/>
            </w:tcMar>
          </w:tcPr>
          <w:p>
            <w:pPr>
              <w:spacing w:after="0"/>
            </w:pPr>
            <w:r/>
            <w:r>
              <w:rPr>
                <w:rFonts w:ascii="Arial" w:hAnsi="Arial"/>
                <w:b w:val="0"/>
                <w:color w:val="183128"/>
                <w:sz w:val="16"/>
              </w:rPr>
              <w:t>Recover some nutrients from captured solids under controlled conditions.</w:t>
            </w:r>
          </w:p>
        </w:tc>
        <w:tc>
          <w:tcPr>
            <w:tcW w:type="dxa" w:w="3515"/>
            <w:vAlign w:val="center"/>
            <w:tcMar>
              <w:top w:w="80" w:type="dxa"/>
              <w:start w:w="90" w:type="dxa"/>
              <w:bottom w:w="80" w:type="dxa"/>
              <w:end w:w="90" w:type="dxa"/>
            </w:tcMar>
          </w:tcPr>
          <w:p>
            <w:pPr>
              <w:spacing w:after="0"/>
            </w:pPr>
            <w:r/>
            <w:r>
              <w:rPr>
                <w:rFonts w:ascii="Arial" w:hAnsi="Arial"/>
                <w:b w:val="0"/>
                <w:color w:val="183128"/>
                <w:sz w:val="16"/>
              </w:rPr>
              <w:t>Nutrient loss or uncontrolled putrefaction.</w:t>
            </w:r>
          </w:p>
        </w:tc>
      </w:tr>
      <w:tr>
        <w:tc>
          <w:tcPr>
            <w:tcW w:type="dxa" w:w="1701"/>
            <w:shd w:fill="F1F3EF"/>
            <w:vAlign w:val="center"/>
            <w:tcMar>
              <w:top w:w="80" w:type="dxa"/>
              <w:start w:w="90" w:type="dxa"/>
              <w:bottom w:w="80" w:type="dxa"/>
              <w:end w:w="90" w:type="dxa"/>
            </w:tcMar>
          </w:tcPr>
          <w:p>
            <w:pPr>
              <w:spacing w:after="0"/>
            </w:pPr>
            <w:r/>
            <w:r>
              <w:rPr>
                <w:rFonts w:ascii="Arial" w:hAnsi="Arial"/>
                <w:b/>
                <w:color w:val="183128"/>
                <w:sz w:val="16"/>
              </w:rPr>
              <w:t>Biofilter</w:t>
            </w:r>
          </w:p>
        </w:tc>
        <w:tc>
          <w:tcPr>
            <w:tcW w:type="dxa" w:w="4139"/>
            <w:shd w:fill="F1F3EF"/>
            <w:vAlign w:val="center"/>
            <w:tcMar>
              <w:top w:w="80" w:type="dxa"/>
              <w:start w:w="90" w:type="dxa"/>
              <w:bottom w:w="80" w:type="dxa"/>
              <w:end w:w="90" w:type="dxa"/>
            </w:tcMar>
          </w:tcPr>
          <w:p>
            <w:pPr>
              <w:spacing w:after="0"/>
            </w:pPr>
            <w:r/>
            <w:r>
              <w:rPr>
                <w:rFonts w:ascii="Arial" w:hAnsi="Arial"/>
                <w:b w:val="0"/>
                <w:color w:val="183128"/>
                <w:sz w:val="16"/>
              </w:rPr>
              <w:t>Provide oxygenated surface for nitrifying communities.</w:t>
            </w:r>
          </w:p>
        </w:tc>
        <w:tc>
          <w:tcPr>
            <w:tcW w:type="dxa" w:w="3515"/>
            <w:shd w:fill="F1F3EF"/>
            <w:vAlign w:val="center"/>
            <w:tcMar>
              <w:top w:w="80" w:type="dxa"/>
              <w:start w:w="90" w:type="dxa"/>
              <w:bottom w:w="80" w:type="dxa"/>
              <w:end w:w="90" w:type="dxa"/>
            </w:tcMar>
          </w:tcPr>
          <w:p>
            <w:pPr>
              <w:spacing w:after="0"/>
            </w:pPr>
            <w:r/>
            <w:r>
              <w:rPr>
                <w:rFonts w:ascii="Arial" w:hAnsi="Arial"/>
                <w:b w:val="0"/>
                <w:color w:val="183128"/>
                <w:sz w:val="16"/>
              </w:rPr>
              <w:t>Ammonia/nitrite toxicity.</w:t>
            </w:r>
          </w:p>
        </w:tc>
      </w:tr>
      <w:tr>
        <w:tc>
          <w:tcPr>
            <w:tcW w:type="dxa" w:w="1701"/>
            <w:vAlign w:val="center"/>
            <w:tcMar>
              <w:top w:w="80" w:type="dxa"/>
              <w:start w:w="90" w:type="dxa"/>
              <w:bottom w:w="80" w:type="dxa"/>
              <w:end w:w="90" w:type="dxa"/>
            </w:tcMar>
          </w:tcPr>
          <w:p>
            <w:pPr>
              <w:spacing w:after="0"/>
            </w:pPr>
            <w:r/>
            <w:r>
              <w:rPr>
                <w:rFonts w:ascii="Arial" w:hAnsi="Arial"/>
                <w:b/>
                <w:color w:val="183128"/>
                <w:sz w:val="16"/>
              </w:rPr>
              <w:t>Plant unit</w:t>
            </w:r>
          </w:p>
        </w:tc>
        <w:tc>
          <w:tcPr>
            <w:tcW w:type="dxa" w:w="4139"/>
            <w:vAlign w:val="center"/>
            <w:tcMar>
              <w:top w:w="80" w:type="dxa"/>
              <w:start w:w="90" w:type="dxa"/>
              <w:bottom w:w="80" w:type="dxa"/>
              <w:end w:w="90" w:type="dxa"/>
            </w:tcMar>
          </w:tcPr>
          <w:p>
            <w:pPr>
              <w:spacing w:after="0"/>
            </w:pPr>
            <w:r/>
            <w:r>
              <w:rPr>
                <w:rFonts w:ascii="Arial" w:hAnsi="Arial"/>
                <w:b w:val="0"/>
                <w:color w:val="183128"/>
                <w:sz w:val="16"/>
              </w:rPr>
              <w:t>Remove nitrate and other nutrients; grow saleable biomass.</w:t>
            </w:r>
          </w:p>
        </w:tc>
        <w:tc>
          <w:tcPr>
            <w:tcW w:type="dxa" w:w="3515"/>
            <w:vAlign w:val="center"/>
            <w:tcMar>
              <w:top w:w="80" w:type="dxa"/>
              <w:start w:w="90" w:type="dxa"/>
              <w:bottom w:w="80" w:type="dxa"/>
              <w:end w:w="90" w:type="dxa"/>
            </w:tcMar>
          </w:tcPr>
          <w:p>
            <w:pPr>
              <w:spacing w:after="0"/>
            </w:pPr>
            <w:r/>
            <w:r>
              <w:rPr>
                <w:rFonts w:ascii="Arial" w:hAnsi="Arial"/>
                <w:b w:val="0"/>
                <w:color w:val="183128"/>
                <w:sz w:val="16"/>
              </w:rPr>
              <w:t>Nutrient accumulation/deficiency and unstable balance.</w:t>
            </w:r>
          </w:p>
        </w:tc>
      </w:tr>
      <w:tr>
        <w:tc>
          <w:tcPr>
            <w:tcW w:type="dxa" w:w="1701"/>
            <w:shd w:fill="F1F3EF"/>
            <w:vAlign w:val="center"/>
            <w:tcMar>
              <w:top w:w="80" w:type="dxa"/>
              <w:start w:w="90" w:type="dxa"/>
              <w:bottom w:w="80" w:type="dxa"/>
              <w:end w:w="90" w:type="dxa"/>
            </w:tcMar>
          </w:tcPr>
          <w:p>
            <w:pPr>
              <w:spacing w:after="0"/>
            </w:pPr>
            <w:r/>
            <w:r>
              <w:rPr>
                <w:rFonts w:ascii="Arial" w:hAnsi="Arial"/>
                <w:b/>
                <w:color w:val="183128"/>
                <w:sz w:val="16"/>
              </w:rPr>
              <w:t>Sump/pump/return</w:t>
            </w:r>
          </w:p>
        </w:tc>
        <w:tc>
          <w:tcPr>
            <w:tcW w:type="dxa" w:w="4139"/>
            <w:shd w:fill="F1F3EF"/>
            <w:vAlign w:val="center"/>
            <w:tcMar>
              <w:top w:w="80" w:type="dxa"/>
              <w:start w:w="90" w:type="dxa"/>
              <w:bottom w:w="80" w:type="dxa"/>
              <w:end w:w="90" w:type="dxa"/>
            </w:tcMar>
          </w:tcPr>
          <w:p>
            <w:pPr>
              <w:spacing w:after="0"/>
            </w:pPr>
            <w:r/>
            <w:r>
              <w:rPr>
                <w:rFonts w:ascii="Arial" w:hAnsi="Arial"/>
                <w:b w:val="0"/>
                <w:color w:val="183128"/>
                <w:sz w:val="16"/>
              </w:rPr>
              <w:t>Collect, aerate and recirculate water.</w:t>
            </w:r>
          </w:p>
        </w:tc>
        <w:tc>
          <w:tcPr>
            <w:tcW w:type="dxa" w:w="3515"/>
            <w:shd w:fill="F1F3EF"/>
            <w:vAlign w:val="center"/>
            <w:tcMar>
              <w:top w:w="80" w:type="dxa"/>
              <w:start w:w="90" w:type="dxa"/>
              <w:bottom w:w="80" w:type="dxa"/>
              <w:end w:w="90" w:type="dxa"/>
            </w:tcMar>
          </w:tcPr>
          <w:p>
            <w:pPr>
              <w:spacing w:after="0"/>
            </w:pPr>
            <w:r/>
            <w:r>
              <w:rPr>
                <w:rFonts w:ascii="Arial" w:hAnsi="Arial"/>
                <w:b w:val="0"/>
                <w:color w:val="183128"/>
                <w:sz w:val="16"/>
              </w:rPr>
              <w:t>Rapid loss of flow and oxygen; overflow or dry running.</w:t>
            </w:r>
          </w:p>
        </w:tc>
      </w:tr>
    </w:tbl>
    <w:p>
      <w:pPr>
        <w:spacing w:after="0"/>
      </w:pPr>
    </w:p>
    <w:p>
      <w:pPr>
        <w:pStyle w:val="Heading1"/>
      </w:pPr>
      <w:r>
        <w:t>3.3 Nitrogen cycle: ammonia → nitrite → nitrate</w:t>
      </w:r>
    </w:p>
    <w:p>
      <w:r>
        <w:t>Fish excrete total ammonia nitrogen as NH₃/NH₄⁺. The unionised NH₃ fraction increases as pH and temperature rise and is more toxic. Ammonia-oxidising organisms produce nitrite (NO₂⁻), which is also toxic because it interferes with oxygen transport. Nitrite-oxidising organisms—often Nitrospira-like communities in working systems—produce nitrate (NO₃⁻), which plants can use.</w:t>
      </w:r>
    </w:p>
    <w:tbl>
      <w:tblPr>
        <w:tblStyle w:val="TableGrid"/>
        <w:tblW w:type="auto" w:w="0"/>
        <w:jc w:val="center"/>
        <w:tblLayout w:type="fixed"/>
        <w:tblLook w:firstColumn="1" w:firstRow="1" w:lastColumn="0" w:lastRow="0" w:noHBand="0" w:noVBand="1" w:val="04A0"/>
      </w:tblPr>
      <w:tblGrid>
        <w:gridCol w:w="2268"/>
        <w:gridCol w:w="3685"/>
        <w:gridCol w:w="3402"/>
      </w:tblGrid>
      <w:tr>
        <w:trPr>
          <w:tblHeader w:val="true"/>
        </w:trPr>
        <w:tc>
          <w:tcPr>
            <w:tcW w:type="dxa" w:w="3326"/>
            <w:shd w:fill="15362A"/>
            <w:vAlign w:val="center"/>
            <w:tcMar>
              <w:top w:w="80" w:type="dxa"/>
              <w:start w:w="90" w:type="dxa"/>
              <w:bottom w:w="80" w:type="dxa"/>
              <w:end w:w="90" w:type="dxa"/>
            </w:tcMar>
          </w:tcPr>
          <w:p>
            <w:pPr>
              <w:spacing w:after="0"/>
            </w:pPr>
            <w:r/>
            <w:r>
              <w:rPr>
                <w:rFonts w:ascii="Arial" w:hAnsi="Arial"/>
                <w:b/>
                <w:color w:val="FFFFFF"/>
                <w:sz w:val="16"/>
              </w:rPr>
              <w:t>Biological step</w:t>
            </w:r>
          </w:p>
        </w:tc>
        <w:tc>
          <w:tcPr>
            <w:tcW w:type="dxa" w:w="3326"/>
            <w:shd w:fill="15362A"/>
            <w:vAlign w:val="center"/>
            <w:tcMar>
              <w:top w:w="80" w:type="dxa"/>
              <w:start w:w="90" w:type="dxa"/>
              <w:bottom w:w="80" w:type="dxa"/>
              <w:end w:w="90" w:type="dxa"/>
            </w:tcMar>
          </w:tcPr>
          <w:p>
            <w:pPr>
              <w:spacing w:after="0"/>
            </w:pPr>
            <w:r/>
            <w:r>
              <w:rPr>
                <w:rFonts w:ascii="Arial" w:hAnsi="Arial"/>
                <w:b/>
                <w:color w:val="FFFFFF"/>
                <w:sz w:val="16"/>
              </w:rPr>
              <w:t>Needs</w:t>
            </w:r>
          </w:p>
        </w:tc>
        <w:tc>
          <w:tcPr>
            <w:tcW w:type="dxa" w:w="3326"/>
            <w:shd w:fill="15362A"/>
            <w:vAlign w:val="center"/>
            <w:tcMar>
              <w:top w:w="80" w:type="dxa"/>
              <w:start w:w="90" w:type="dxa"/>
              <w:bottom w:w="80" w:type="dxa"/>
              <w:end w:w="90" w:type="dxa"/>
            </w:tcMar>
          </w:tcPr>
          <w:p>
            <w:pPr>
              <w:spacing w:after="0"/>
            </w:pPr>
            <w:r/>
            <w:r>
              <w:rPr>
                <w:rFonts w:ascii="Arial" w:hAnsi="Arial"/>
                <w:b/>
                <w:color w:val="FFFFFF"/>
                <w:sz w:val="16"/>
              </w:rPr>
              <w:t>Operator evidence</w:t>
            </w:r>
          </w:p>
        </w:tc>
      </w:tr>
      <w:tr>
        <w:tc>
          <w:tcPr>
            <w:tcW w:type="dxa" w:w="2268"/>
            <w:vAlign w:val="center"/>
            <w:tcMar>
              <w:top w:w="80" w:type="dxa"/>
              <w:start w:w="90" w:type="dxa"/>
              <w:bottom w:w="80" w:type="dxa"/>
              <w:end w:w="90" w:type="dxa"/>
            </w:tcMar>
          </w:tcPr>
          <w:p>
            <w:pPr>
              <w:spacing w:after="0"/>
            </w:pPr>
            <w:r/>
            <w:r>
              <w:rPr>
                <w:rFonts w:ascii="Arial" w:hAnsi="Arial"/>
                <w:b/>
                <w:color w:val="183128"/>
                <w:sz w:val="16"/>
              </w:rPr>
              <w:t>Ammonia oxidation</w:t>
            </w:r>
          </w:p>
        </w:tc>
        <w:tc>
          <w:tcPr>
            <w:tcW w:type="dxa" w:w="3685"/>
            <w:vAlign w:val="center"/>
            <w:tcMar>
              <w:top w:w="80" w:type="dxa"/>
              <w:start w:w="90" w:type="dxa"/>
              <w:bottom w:w="80" w:type="dxa"/>
              <w:end w:w="90" w:type="dxa"/>
            </w:tcMar>
          </w:tcPr>
          <w:p>
            <w:pPr>
              <w:spacing w:after="0"/>
            </w:pPr>
            <w:r/>
            <w:r>
              <w:rPr>
                <w:rFonts w:ascii="Arial" w:hAnsi="Arial"/>
                <w:b w:val="0"/>
                <w:color w:val="183128"/>
                <w:sz w:val="16"/>
              </w:rPr>
              <w:t>Dissolved oxygen, biofilm surface, temperature stability and alkalinity.</w:t>
            </w:r>
          </w:p>
        </w:tc>
        <w:tc>
          <w:tcPr>
            <w:tcW w:type="dxa" w:w="3402"/>
            <w:vAlign w:val="center"/>
            <w:tcMar>
              <w:top w:w="80" w:type="dxa"/>
              <w:start w:w="90" w:type="dxa"/>
              <w:bottom w:w="80" w:type="dxa"/>
              <w:end w:w="90" w:type="dxa"/>
            </w:tcMar>
          </w:tcPr>
          <w:p>
            <w:pPr>
              <w:spacing w:after="0"/>
            </w:pPr>
            <w:r/>
            <w:r>
              <w:rPr>
                <w:rFonts w:ascii="Arial" w:hAnsi="Arial"/>
                <w:b w:val="0"/>
                <w:color w:val="183128"/>
                <w:sz w:val="16"/>
              </w:rPr>
              <w:t>Ammonia falls under a known test load while nitrite rises.</w:t>
            </w:r>
          </w:p>
        </w:tc>
      </w:tr>
      <w:tr>
        <w:tc>
          <w:tcPr>
            <w:tcW w:type="dxa" w:w="2268"/>
            <w:shd w:fill="F1F3EF"/>
            <w:vAlign w:val="center"/>
            <w:tcMar>
              <w:top w:w="80" w:type="dxa"/>
              <w:start w:w="90" w:type="dxa"/>
              <w:bottom w:w="80" w:type="dxa"/>
              <w:end w:w="90" w:type="dxa"/>
            </w:tcMar>
          </w:tcPr>
          <w:p>
            <w:pPr>
              <w:spacing w:after="0"/>
            </w:pPr>
            <w:r/>
            <w:r>
              <w:rPr>
                <w:rFonts w:ascii="Arial" w:hAnsi="Arial"/>
                <w:b/>
                <w:color w:val="183128"/>
                <w:sz w:val="16"/>
              </w:rPr>
              <w:t>Nitrite oxidation</w:t>
            </w:r>
          </w:p>
        </w:tc>
        <w:tc>
          <w:tcPr>
            <w:tcW w:type="dxa" w:w="3685"/>
            <w:shd w:fill="F1F3EF"/>
            <w:vAlign w:val="center"/>
            <w:tcMar>
              <w:top w:w="80" w:type="dxa"/>
              <w:start w:w="90" w:type="dxa"/>
              <w:bottom w:w="80" w:type="dxa"/>
              <w:end w:w="90" w:type="dxa"/>
            </w:tcMar>
          </w:tcPr>
          <w:p>
            <w:pPr>
              <w:spacing w:after="0"/>
            </w:pPr>
            <w:r/>
            <w:r>
              <w:rPr>
                <w:rFonts w:ascii="Arial" w:hAnsi="Arial"/>
                <w:b w:val="0"/>
                <w:color w:val="183128"/>
                <w:sz w:val="16"/>
              </w:rPr>
              <w:t>Oxygen, mature community and stable chemistry.</w:t>
            </w:r>
          </w:p>
        </w:tc>
        <w:tc>
          <w:tcPr>
            <w:tcW w:type="dxa" w:w="3402"/>
            <w:shd w:fill="F1F3EF"/>
            <w:vAlign w:val="center"/>
            <w:tcMar>
              <w:top w:w="80" w:type="dxa"/>
              <w:start w:w="90" w:type="dxa"/>
              <w:bottom w:w="80" w:type="dxa"/>
              <w:end w:w="90" w:type="dxa"/>
            </w:tcMar>
          </w:tcPr>
          <w:p>
            <w:pPr>
              <w:spacing w:after="0"/>
            </w:pPr>
            <w:r/>
            <w:r>
              <w:rPr>
                <w:rFonts w:ascii="Arial" w:hAnsi="Arial"/>
                <w:b w:val="0"/>
                <w:color w:val="183128"/>
                <w:sz w:val="16"/>
              </w:rPr>
              <w:t>Nitrite subsequently falls and nitrate accumulates.</w:t>
            </w:r>
          </w:p>
        </w:tc>
      </w:tr>
      <w:tr>
        <w:tc>
          <w:tcPr>
            <w:tcW w:type="dxa" w:w="2268"/>
            <w:vAlign w:val="center"/>
            <w:tcMar>
              <w:top w:w="80" w:type="dxa"/>
              <w:start w:w="90" w:type="dxa"/>
              <w:bottom w:w="80" w:type="dxa"/>
              <w:end w:w="90" w:type="dxa"/>
            </w:tcMar>
          </w:tcPr>
          <w:p>
            <w:pPr>
              <w:spacing w:after="0"/>
            </w:pPr>
            <w:r/>
            <w:r>
              <w:rPr>
                <w:rFonts w:ascii="Arial" w:hAnsi="Arial"/>
                <w:b/>
                <w:color w:val="183128"/>
                <w:sz w:val="16"/>
              </w:rPr>
              <w:t>Plant uptake</w:t>
            </w:r>
          </w:p>
        </w:tc>
        <w:tc>
          <w:tcPr>
            <w:tcW w:type="dxa" w:w="3685"/>
            <w:vAlign w:val="center"/>
            <w:tcMar>
              <w:top w:w="80" w:type="dxa"/>
              <w:start w:w="90" w:type="dxa"/>
              <w:bottom w:w="80" w:type="dxa"/>
              <w:end w:w="90" w:type="dxa"/>
            </w:tcMar>
          </w:tcPr>
          <w:p>
            <w:pPr>
              <w:spacing w:after="0"/>
            </w:pPr>
            <w:r/>
            <w:r>
              <w:rPr>
                <w:rFonts w:ascii="Arial" w:hAnsi="Arial"/>
                <w:b w:val="0"/>
                <w:color w:val="183128"/>
                <w:sz w:val="16"/>
              </w:rPr>
              <w:t>Healthy roots, light, temperature, balanced nutrients and compatible pH.</w:t>
            </w:r>
          </w:p>
        </w:tc>
        <w:tc>
          <w:tcPr>
            <w:tcW w:type="dxa" w:w="3402"/>
            <w:vAlign w:val="center"/>
            <w:tcMar>
              <w:top w:w="80" w:type="dxa"/>
              <w:start w:w="90" w:type="dxa"/>
              <w:bottom w:w="80" w:type="dxa"/>
              <w:end w:w="90" w:type="dxa"/>
            </w:tcMar>
          </w:tcPr>
          <w:p>
            <w:pPr>
              <w:spacing w:after="0"/>
            </w:pPr>
            <w:r/>
            <w:r>
              <w:rPr>
                <w:rFonts w:ascii="Arial" w:hAnsi="Arial"/>
                <w:b w:val="0"/>
                <w:color w:val="183128"/>
                <w:sz w:val="16"/>
              </w:rPr>
              <w:t>Nitrate trend responds to plant biomass and harvest.</w:t>
            </w:r>
          </w:p>
        </w:tc>
      </w:tr>
      <w:tr>
        <w:tc>
          <w:tcPr>
            <w:tcW w:type="dxa" w:w="2268"/>
            <w:shd w:fill="F1F3EF"/>
            <w:vAlign w:val="center"/>
            <w:tcMar>
              <w:top w:w="80" w:type="dxa"/>
              <w:start w:w="90" w:type="dxa"/>
              <w:bottom w:w="80" w:type="dxa"/>
              <w:end w:w="90" w:type="dxa"/>
            </w:tcMar>
          </w:tcPr>
          <w:p>
            <w:pPr>
              <w:spacing w:after="0"/>
            </w:pPr>
            <w:r/>
            <w:r>
              <w:rPr>
                <w:rFonts w:ascii="Arial" w:hAnsi="Arial"/>
                <w:b/>
                <w:color w:val="183128"/>
                <w:sz w:val="16"/>
              </w:rPr>
              <w:t>Harvest/export</w:t>
            </w:r>
          </w:p>
        </w:tc>
        <w:tc>
          <w:tcPr>
            <w:tcW w:type="dxa" w:w="3685"/>
            <w:shd w:fill="F1F3EF"/>
            <w:vAlign w:val="center"/>
            <w:tcMar>
              <w:top w:w="80" w:type="dxa"/>
              <w:start w:w="90" w:type="dxa"/>
              <w:bottom w:w="80" w:type="dxa"/>
              <w:end w:w="90" w:type="dxa"/>
            </w:tcMar>
          </w:tcPr>
          <w:p>
            <w:pPr>
              <w:spacing w:after="0"/>
            </w:pPr>
            <w:r/>
            <w:r>
              <w:rPr>
                <w:rFonts w:ascii="Arial" w:hAnsi="Arial"/>
                <w:b w:val="0"/>
                <w:color w:val="183128"/>
                <w:sz w:val="16"/>
              </w:rPr>
              <w:t>Regular crop removal and solids management.</w:t>
            </w:r>
          </w:p>
        </w:tc>
        <w:tc>
          <w:tcPr>
            <w:tcW w:type="dxa" w:w="3402"/>
            <w:shd w:fill="F1F3EF"/>
            <w:vAlign w:val="center"/>
            <w:tcMar>
              <w:top w:w="80" w:type="dxa"/>
              <w:start w:w="90" w:type="dxa"/>
              <w:bottom w:w="80" w:type="dxa"/>
              <w:end w:w="90" w:type="dxa"/>
            </w:tcMar>
          </w:tcPr>
          <w:p>
            <w:pPr>
              <w:spacing w:after="0"/>
            </w:pPr>
            <w:r/>
            <w:r>
              <w:rPr>
                <w:rFonts w:ascii="Arial" w:hAnsi="Arial"/>
                <w:b w:val="0"/>
                <w:color w:val="183128"/>
                <w:sz w:val="16"/>
              </w:rPr>
              <w:t>Nitrogen leaves as fish/plant product or managed residual.</w:t>
            </w:r>
          </w:p>
        </w:tc>
      </w:tr>
    </w:tbl>
    <w:p>
      <w:pPr>
        <w:spacing w:after="0"/>
      </w:pPr>
    </w:p>
    <w:p>
      <w:r>
        <w:t>Many mixed systems use roughly pH 6.8–7.2 as a compromise, but the safe operating envelope is species- and design-specific. Do not use pH alone: record dissolved oxygen, temperature, alkalinity, total ammonia, calculated unionised ammonia where relevant, nitrite, nitrate, flow, feed and behaviour.</w:t>
      </w:r>
    </w:p>
    <w:p>
      <w:pPr>
        <w:pStyle w:val="Heading1"/>
      </w:pPr>
      <w:r>
        <w:t>3.4 Volcanic rock and other media</w:t>
      </w:r>
    </w:p>
    <w:p>
      <w:r>
        <w:t>Washed lava rock or pumice can provide root support and large biofilm surface area. The media must be tested for pH reaction, contaminants, abrasion and food-contact suitability. A coarse grade around 12–20 mm is common in media beds, but hydraulic design and crop roots determine the final grading.</w:t>
      </w:r>
    </w:p>
    <w:tbl>
      <w:tblPr>
        <w:tblStyle w:val="TableGrid"/>
        <w:tblW w:type="auto" w:w="0"/>
        <w:jc w:val="center"/>
        <w:tblLayout w:type="fixed"/>
        <w:tblLook w:firstColumn="1" w:firstRow="1" w:lastColumn="0" w:lastRow="0" w:noHBand="0" w:noVBand="1" w:val="04A0"/>
      </w:tblPr>
      <w:tblGrid>
        <w:gridCol w:w="1984"/>
        <w:gridCol w:w="3572"/>
        <w:gridCol w:w="3685"/>
      </w:tblGrid>
      <w:tr>
        <w:trPr>
          <w:tblHeader w:val="true"/>
        </w:trPr>
        <w:tc>
          <w:tcPr>
            <w:tcW w:type="dxa" w:w="3326"/>
            <w:shd w:fill="15362A"/>
            <w:vAlign w:val="center"/>
            <w:tcMar>
              <w:top w:w="80" w:type="dxa"/>
              <w:start w:w="90" w:type="dxa"/>
              <w:bottom w:w="80" w:type="dxa"/>
              <w:end w:w="90" w:type="dxa"/>
            </w:tcMar>
          </w:tcPr>
          <w:p>
            <w:pPr>
              <w:spacing w:after="0"/>
            </w:pPr>
            <w:r/>
            <w:r>
              <w:rPr>
                <w:rFonts w:ascii="Arial" w:hAnsi="Arial"/>
                <w:b/>
                <w:color w:val="FFFFFF"/>
                <w:sz w:val="16"/>
              </w:rPr>
              <w:t>Medium</w:t>
            </w:r>
          </w:p>
        </w:tc>
        <w:tc>
          <w:tcPr>
            <w:tcW w:type="dxa" w:w="3326"/>
            <w:shd w:fill="15362A"/>
            <w:vAlign w:val="center"/>
            <w:tcMar>
              <w:top w:w="80" w:type="dxa"/>
              <w:start w:w="90" w:type="dxa"/>
              <w:bottom w:w="80" w:type="dxa"/>
              <w:end w:w="90" w:type="dxa"/>
            </w:tcMar>
          </w:tcPr>
          <w:p>
            <w:pPr>
              <w:spacing w:after="0"/>
            </w:pPr>
            <w:r/>
            <w:r>
              <w:rPr>
                <w:rFonts w:ascii="Arial" w:hAnsi="Arial"/>
                <w:b/>
                <w:color w:val="FFFFFF"/>
                <w:sz w:val="16"/>
              </w:rPr>
              <w:t>Advantages</w:t>
            </w:r>
          </w:p>
        </w:tc>
        <w:tc>
          <w:tcPr>
            <w:tcW w:type="dxa" w:w="3326"/>
            <w:shd w:fill="15362A"/>
            <w:vAlign w:val="center"/>
            <w:tcMar>
              <w:top w:w="80" w:type="dxa"/>
              <w:start w:w="90" w:type="dxa"/>
              <w:bottom w:w="80" w:type="dxa"/>
              <w:end w:w="90" w:type="dxa"/>
            </w:tcMar>
          </w:tcPr>
          <w:p>
            <w:pPr>
              <w:spacing w:after="0"/>
            </w:pPr>
            <w:r/>
            <w:r>
              <w:rPr>
                <w:rFonts w:ascii="Arial" w:hAnsi="Arial"/>
                <w:b/>
                <w:color w:val="FFFFFF"/>
                <w:sz w:val="16"/>
              </w:rPr>
              <w:t>Risks / controls</w:t>
            </w:r>
          </w:p>
        </w:tc>
      </w:tr>
      <w:tr>
        <w:tc>
          <w:tcPr>
            <w:tcW w:type="dxa" w:w="1984"/>
            <w:vAlign w:val="center"/>
            <w:tcMar>
              <w:top w:w="80" w:type="dxa"/>
              <w:start w:w="90" w:type="dxa"/>
              <w:bottom w:w="80" w:type="dxa"/>
              <w:end w:w="90" w:type="dxa"/>
            </w:tcMar>
          </w:tcPr>
          <w:p>
            <w:pPr>
              <w:spacing w:after="0"/>
            </w:pPr>
            <w:r/>
            <w:r>
              <w:rPr>
                <w:rFonts w:ascii="Arial" w:hAnsi="Arial"/>
                <w:b/>
                <w:color w:val="183128"/>
                <w:sz w:val="16"/>
              </w:rPr>
              <w:t>Washed lava rock / pumice</w:t>
            </w:r>
          </w:p>
        </w:tc>
        <w:tc>
          <w:tcPr>
            <w:tcW w:type="dxa" w:w="3572"/>
            <w:vAlign w:val="center"/>
            <w:tcMar>
              <w:top w:w="80" w:type="dxa"/>
              <w:start w:w="90" w:type="dxa"/>
              <w:bottom w:w="80" w:type="dxa"/>
              <w:end w:w="90" w:type="dxa"/>
            </w:tcMar>
          </w:tcPr>
          <w:p>
            <w:pPr>
              <w:spacing w:after="0"/>
            </w:pPr>
            <w:r/>
            <w:r>
              <w:rPr>
                <w:rFonts w:ascii="Arial" w:hAnsi="Arial"/>
                <w:b w:val="0"/>
                <w:color w:val="183128"/>
                <w:sz w:val="16"/>
              </w:rPr>
              <w:t>Porous, durable, high surface area, can be locally available.</w:t>
            </w:r>
          </w:p>
        </w:tc>
        <w:tc>
          <w:tcPr>
            <w:tcW w:type="dxa" w:w="3685"/>
            <w:vAlign w:val="center"/>
            <w:tcMar>
              <w:top w:w="80" w:type="dxa"/>
              <w:start w:w="90" w:type="dxa"/>
              <w:bottom w:w="80" w:type="dxa"/>
              <w:end w:w="90" w:type="dxa"/>
            </w:tcMar>
          </w:tcPr>
          <w:p>
            <w:pPr>
              <w:spacing w:after="0"/>
            </w:pPr>
            <w:r/>
            <w:r>
              <w:rPr>
                <w:rFonts w:ascii="Arial" w:hAnsi="Arial"/>
                <w:b w:val="0"/>
                <w:color w:val="183128"/>
                <w:sz w:val="16"/>
              </w:rPr>
              <w:t>Heavy; sharp; traps solids. Prefilter, support structurally and provide clean-outs.</w:t>
            </w:r>
          </w:p>
        </w:tc>
      </w:tr>
      <w:tr>
        <w:tc>
          <w:tcPr>
            <w:tcW w:type="dxa" w:w="1984"/>
            <w:shd w:fill="F1F3EF"/>
            <w:vAlign w:val="center"/>
            <w:tcMar>
              <w:top w:w="80" w:type="dxa"/>
              <w:start w:w="90" w:type="dxa"/>
              <w:bottom w:w="80" w:type="dxa"/>
              <w:end w:w="90" w:type="dxa"/>
            </w:tcMar>
          </w:tcPr>
          <w:p>
            <w:pPr>
              <w:spacing w:after="0"/>
            </w:pPr>
            <w:r/>
            <w:r>
              <w:rPr>
                <w:rFonts w:ascii="Arial" w:hAnsi="Arial"/>
                <w:b/>
                <w:color w:val="183128"/>
                <w:sz w:val="16"/>
              </w:rPr>
              <w:t>Expanded clay</w:t>
            </w:r>
          </w:p>
        </w:tc>
        <w:tc>
          <w:tcPr>
            <w:tcW w:type="dxa" w:w="3572"/>
            <w:shd w:fill="F1F3EF"/>
            <w:vAlign w:val="center"/>
            <w:tcMar>
              <w:top w:w="80" w:type="dxa"/>
              <w:start w:w="90" w:type="dxa"/>
              <w:bottom w:w="80" w:type="dxa"/>
              <w:end w:w="90" w:type="dxa"/>
            </w:tcMar>
          </w:tcPr>
          <w:p>
            <w:pPr>
              <w:spacing w:after="0"/>
            </w:pPr>
            <w:r/>
            <w:r>
              <w:rPr>
                <w:rFonts w:ascii="Arial" w:hAnsi="Arial"/>
                <w:b w:val="0"/>
                <w:color w:val="183128"/>
                <w:sz w:val="16"/>
              </w:rPr>
              <w:t>Light, easy for roots and handling, predictable.</w:t>
            </w:r>
          </w:p>
        </w:tc>
        <w:tc>
          <w:tcPr>
            <w:tcW w:type="dxa" w:w="3685"/>
            <w:shd w:fill="F1F3EF"/>
            <w:vAlign w:val="center"/>
            <w:tcMar>
              <w:top w:w="80" w:type="dxa"/>
              <w:start w:w="90" w:type="dxa"/>
              <w:bottom w:w="80" w:type="dxa"/>
              <w:end w:w="90" w:type="dxa"/>
            </w:tcMar>
          </w:tcPr>
          <w:p>
            <w:pPr>
              <w:spacing w:after="0"/>
            </w:pPr>
            <w:r/>
            <w:r>
              <w:rPr>
                <w:rFonts w:ascii="Arial" w:hAnsi="Arial"/>
                <w:b w:val="0"/>
                <w:color w:val="183128"/>
                <w:sz w:val="16"/>
              </w:rPr>
              <w:t>Cost; may float initially; embodied energy.</w:t>
            </w:r>
          </w:p>
        </w:tc>
      </w:tr>
      <w:tr>
        <w:tc>
          <w:tcPr>
            <w:tcW w:type="dxa" w:w="1984"/>
            <w:vAlign w:val="center"/>
            <w:tcMar>
              <w:top w:w="80" w:type="dxa"/>
              <w:start w:w="90" w:type="dxa"/>
              <w:bottom w:w="80" w:type="dxa"/>
              <w:end w:w="90" w:type="dxa"/>
            </w:tcMar>
          </w:tcPr>
          <w:p>
            <w:pPr>
              <w:spacing w:after="0"/>
            </w:pPr>
            <w:r/>
            <w:r>
              <w:rPr>
                <w:rFonts w:ascii="Arial" w:hAnsi="Arial"/>
                <w:b/>
                <w:color w:val="183128"/>
                <w:sz w:val="16"/>
              </w:rPr>
              <w:t>Washed gravel</w:t>
            </w:r>
          </w:p>
        </w:tc>
        <w:tc>
          <w:tcPr>
            <w:tcW w:type="dxa" w:w="3572"/>
            <w:vAlign w:val="center"/>
            <w:tcMar>
              <w:top w:w="80" w:type="dxa"/>
              <w:start w:w="90" w:type="dxa"/>
              <w:bottom w:w="80" w:type="dxa"/>
              <w:end w:w="90" w:type="dxa"/>
            </w:tcMar>
          </w:tcPr>
          <w:p>
            <w:pPr>
              <w:spacing w:after="0"/>
            </w:pPr>
            <w:r/>
            <w:r>
              <w:rPr>
                <w:rFonts w:ascii="Arial" w:hAnsi="Arial"/>
                <w:b w:val="0"/>
                <w:color w:val="183128"/>
                <w:sz w:val="16"/>
              </w:rPr>
              <w:t>Low cost and robust.</w:t>
            </w:r>
          </w:p>
        </w:tc>
        <w:tc>
          <w:tcPr>
            <w:tcW w:type="dxa" w:w="3685"/>
            <w:vAlign w:val="center"/>
            <w:tcMar>
              <w:top w:w="80" w:type="dxa"/>
              <w:start w:w="90" w:type="dxa"/>
              <w:bottom w:w="80" w:type="dxa"/>
              <w:end w:w="90" w:type="dxa"/>
            </w:tcMar>
          </w:tcPr>
          <w:p>
            <w:pPr>
              <w:spacing w:after="0"/>
            </w:pPr>
            <w:r/>
            <w:r>
              <w:rPr>
                <w:rFonts w:ascii="Arial" w:hAnsi="Arial"/>
                <w:b w:val="0"/>
                <w:color w:val="183128"/>
                <w:sz w:val="16"/>
              </w:rPr>
              <w:t>Very heavy; carbonate reaction possible; variable contaminants. Vinegar fizz is only a crude screen, not certification.</w:t>
            </w:r>
          </w:p>
        </w:tc>
      </w:tr>
      <w:tr>
        <w:tc>
          <w:tcPr>
            <w:tcW w:type="dxa" w:w="1984"/>
            <w:shd w:fill="F1F3EF"/>
            <w:vAlign w:val="center"/>
            <w:tcMar>
              <w:top w:w="80" w:type="dxa"/>
              <w:start w:w="90" w:type="dxa"/>
              <w:bottom w:w="80" w:type="dxa"/>
              <w:end w:w="90" w:type="dxa"/>
            </w:tcMar>
          </w:tcPr>
          <w:p>
            <w:pPr>
              <w:spacing w:after="0"/>
            </w:pPr>
            <w:r/>
            <w:r>
              <w:rPr>
                <w:rFonts w:ascii="Arial" w:hAnsi="Arial"/>
                <w:b/>
                <w:color w:val="183128"/>
                <w:sz w:val="16"/>
              </w:rPr>
              <w:t>Recycled glass foam</w:t>
            </w:r>
          </w:p>
        </w:tc>
        <w:tc>
          <w:tcPr>
            <w:tcW w:type="dxa" w:w="3572"/>
            <w:shd w:fill="F1F3EF"/>
            <w:vAlign w:val="center"/>
            <w:tcMar>
              <w:top w:w="80" w:type="dxa"/>
              <w:start w:w="90" w:type="dxa"/>
              <w:bottom w:w="80" w:type="dxa"/>
              <w:end w:w="90" w:type="dxa"/>
            </w:tcMar>
          </w:tcPr>
          <w:p>
            <w:pPr>
              <w:spacing w:after="0"/>
            </w:pPr>
            <w:r/>
            <w:r>
              <w:rPr>
                <w:rFonts w:ascii="Arial" w:hAnsi="Arial"/>
                <w:b w:val="0"/>
                <w:color w:val="183128"/>
                <w:sz w:val="16"/>
              </w:rPr>
              <w:t>Light and porous in some products.</w:t>
            </w:r>
          </w:p>
        </w:tc>
        <w:tc>
          <w:tcPr>
            <w:tcW w:type="dxa" w:w="3685"/>
            <w:shd w:fill="F1F3EF"/>
            <w:vAlign w:val="center"/>
            <w:tcMar>
              <w:top w:w="80" w:type="dxa"/>
              <w:start w:w="90" w:type="dxa"/>
              <w:bottom w:w="80" w:type="dxa"/>
              <w:end w:w="90" w:type="dxa"/>
            </w:tcMar>
          </w:tcPr>
          <w:p>
            <w:pPr>
              <w:spacing w:after="0"/>
            </w:pPr>
            <w:r/>
            <w:r>
              <w:rPr>
                <w:rFonts w:ascii="Arial" w:hAnsi="Arial"/>
                <w:b w:val="0"/>
                <w:color w:val="183128"/>
                <w:sz w:val="16"/>
              </w:rPr>
              <w:t>Product-specific food/contact evidence and abrasion testing required.</w:t>
            </w:r>
          </w:p>
        </w:tc>
      </w:tr>
    </w:tbl>
    <w:p>
      <w:pPr>
        <w:spacing w:after="0"/>
      </w:pPr>
    </w:p>
    <w:tbl>
      <w:tblPr>
        <w:tblW w:type="auto" w:w="0"/>
        <w:jc w:val="center"/>
        <w:tblLayout w:type="fixed"/>
        <w:tblLook w:firstColumn="1" w:firstRow="1" w:lastColumn="0" w:lastRow="0" w:noHBand="0" w:noVBand="1" w:val="04A0"/>
      </w:tblPr>
      <w:tblGrid>
        <w:gridCol w:w="198"/>
        <w:gridCol w:w="9298"/>
      </w:tblGrid>
      <w:tr>
        <w:tc>
          <w:tcPr>
            <w:tcW w:type="dxa" w:w="4989"/>
            <w:shd w:fill="B34B45"/>
            <w:vAlign w:val="center"/>
            <w:tcMar>
              <w:top w:w="80" w:type="dxa"/>
              <w:start w:w="90" w:type="dxa"/>
              <w:bottom w:w="80" w:type="dxa"/>
              <w:end w:w="90" w:type="dxa"/>
            </w:tcMar>
          </w:tcPr>
          <w:p>
            <w:pPr>
              <w:spacing w:after="0"/>
            </w:pPr>
            <w:r/>
            <w:r>
              <w:rPr>
                <w:rFonts w:ascii="Arial" w:hAnsi="Arial"/>
                <w:b w:val="0"/>
                <w:color w:val="FFFFFF"/>
                <w:sz w:val="16"/>
              </w:rPr>
            </w:r>
          </w:p>
        </w:tc>
        <w:tc>
          <w:tcPr>
            <w:tcW w:type="dxa" w:w="4989"/>
            <w:shd w:fill="F7E7E5"/>
            <w:tcMar>
              <w:top w:w="120" w:type="dxa"/>
              <w:start w:w="160" w:type="dxa"/>
              <w:bottom w:w="120" w:type="dxa"/>
              <w:end w:w="160" w:type="dxa"/>
            </w:tcMar>
          </w:tcPr>
          <w:p>
            <w:r/>
            <w:r>
              <w:rPr>
                <w:b/>
                <w:color w:val="183128"/>
                <w:sz w:val="20"/>
              </w:rPr>
              <w:t>Never use unknown rubble</w:t>
              <w:br/>
            </w:r>
            <w:r>
              <w:rPr>
                <w:color w:val="56645D"/>
                <w:sz w:val="18"/>
              </w:rPr>
              <w:t>Demolition aggregate may contain asbestos, lead, hydrocarbons, salts or reactive fines. “Recycled” is not automatically safe for fish or food.</w:t>
            </w:r>
          </w:p>
        </w:tc>
      </w:tr>
    </w:tbl>
    <w:p>
      <w:pPr>
        <w:spacing w:after="0"/>
      </w:pPr>
    </w:p>
    <w:p>
      <w:pPr>
        <w:pStyle w:val="Heading1"/>
      </w:pPr>
      <w:r>
        <w:t>3.5 System types and crop fit</w:t>
      </w:r>
    </w:p>
    <w:tbl>
      <w:tblPr>
        <w:tblStyle w:val="TableGrid"/>
        <w:tblW w:type="auto" w:w="0"/>
        <w:jc w:val="center"/>
        <w:tblLayout w:type="fixed"/>
        <w:tblLook w:firstColumn="1" w:firstRow="1" w:lastColumn="0" w:lastRow="0" w:noHBand="0" w:noVBand="1" w:val="04A0"/>
      </w:tblPr>
      <w:tblGrid>
        <w:gridCol w:w="1814"/>
        <w:gridCol w:w="2268"/>
        <w:gridCol w:w="2835"/>
        <w:gridCol w:w="2381"/>
      </w:tblGrid>
      <w:tr>
        <w:trPr>
          <w:tblHeader w:val="true"/>
        </w:trPr>
        <w:tc>
          <w:tcPr>
            <w:tcW w:type="dxa" w:w="2494"/>
            <w:shd w:fill="15362A"/>
            <w:vAlign w:val="center"/>
            <w:tcMar>
              <w:top w:w="80" w:type="dxa"/>
              <w:start w:w="90" w:type="dxa"/>
              <w:bottom w:w="80" w:type="dxa"/>
              <w:end w:w="90" w:type="dxa"/>
            </w:tcMar>
          </w:tcPr>
          <w:p>
            <w:pPr>
              <w:spacing w:after="0"/>
            </w:pPr>
            <w:r/>
            <w:r>
              <w:rPr>
                <w:rFonts w:ascii="Arial" w:hAnsi="Arial"/>
                <w:b/>
                <w:color w:val="FFFFFF"/>
                <w:sz w:val="15"/>
              </w:rPr>
              <w:t>System</w:t>
            </w:r>
          </w:p>
        </w:tc>
        <w:tc>
          <w:tcPr>
            <w:tcW w:type="dxa" w:w="2494"/>
            <w:shd w:fill="15362A"/>
            <w:vAlign w:val="center"/>
            <w:tcMar>
              <w:top w:w="80" w:type="dxa"/>
              <w:start w:w="90" w:type="dxa"/>
              <w:bottom w:w="80" w:type="dxa"/>
              <w:end w:w="90" w:type="dxa"/>
            </w:tcMar>
          </w:tcPr>
          <w:p>
            <w:pPr>
              <w:spacing w:after="0"/>
            </w:pPr>
            <w:r/>
            <w:r>
              <w:rPr>
                <w:rFonts w:ascii="Arial" w:hAnsi="Arial"/>
                <w:b/>
                <w:color w:val="FFFFFF"/>
                <w:sz w:val="15"/>
              </w:rPr>
              <w:t>Good fit</w:t>
            </w:r>
          </w:p>
        </w:tc>
        <w:tc>
          <w:tcPr>
            <w:tcW w:type="dxa" w:w="2494"/>
            <w:shd w:fill="15362A"/>
            <w:vAlign w:val="center"/>
            <w:tcMar>
              <w:top w:w="80" w:type="dxa"/>
              <w:start w:w="90" w:type="dxa"/>
              <w:bottom w:w="80" w:type="dxa"/>
              <w:end w:w="90" w:type="dxa"/>
            </w:tcMar>
          </w:tcPr>
          <w:p>
            <w:pPr>
              <w:spacing w:after="0"/>
            </w:pPr>
            <w:r/>
            <w:r>
              <w:rPr>
                <w:rFonts w:ascii="Arial" w:hAnsi="Arial"/>
                <w:b/>
                <w:color w:val="FFFFFF"/>
                <w:sz w:val="15"/>
              </w:rPr>
              <w:t>Strength</w:t>
            </w:r>
          </w:p>
        </w:tc>
        <w:tc>
          <w:tcPr>
            <w:tcW w:type="dxa" w:w="2494"/>
            <w:shd w:fill="15362A"/>
            <w:vAlign w:val="center"/>
            <w:tcMar>
              <w:top w:w="80" w:type="dxa"/>
              <w:start w:w="90" w:type="dxa"/>
              <w:bottom w:w="80" w:type="dxa"/>
              <w:end w:w="90" w:type="dxa"/>
            </w:tcMar>
          </w:tcPr>
          <w:p>
            <w:pPr>
              <w:spacing w:after="0"/>
            </w:pPr>
            <w:r/>
            <w:r>
              <w:rPr>
                <w:rFonts w:ascii="Arial" w:hAnsi="Arial"/>
                <w:b/>
                <w:color w:val="FFFFFF"/>
                <w:sz w:val="15"/>
              </w:rPr>
              <w:t>Watch</w:t>
            </w:r>
          </w:p>
        </w:tc>
      </w:tr>
      <w:tr>
        <w:tc>
          <w:tcPr>
            <w:tcW w:type="dxa" w:w="1814"/>
            <w:vAlign w:val="center"/>
            <w:tcMar>
              <w:top w:w="80" w:type="dxa"/>
              <w:start w:w="90" w:type="dxa"/>
              <w:bottom w:w="80" w:type="dxa"/>
              <w:end w:w="90" w:type="dxa"/>
            </w:tcMar>
          </w:tcPr>
          <w:p>
            <w:pPr>
              <w:spacing w:after="0"/>
            </w:pPr>
            <w:r/>
            <w:r>
              <w:rPr>
                <w:rFonts w:ascii="Arial" w:hAnsi="Arial"/>
                <w:b/>
                <w:color w:val="183128"/>
                <w:sz w:val="15"/>
              </w:rPr>
              <w:t>Flood-and-drain media</w:t>
            </w:r>
          </w:p>
        </w:tc>
        <w:tc>
          <w:tcPr>
            <w:tcW w:type="dxa" w:w="2268"/>
            <w:vAlign w:val="center"/>
            <w:tcMar>
              <w:top w:w="80" w:type="dxa"/>
              <w:start w:w="90" w:type="dxa"/>
              <w:bottom w:w="80" w:type="dxa"/>
              <w:end w:w="90" w:type="dxa"/>
            </w:tcMar>
          </w:tcPr>
          <w:p>
            <w:pPr>
              <w:spacing w:after="0"/>
            </w:pPr>
            <w:r/>
            <w:r>
              <w:rPr>
                <w:rFonts w:ascii="Arial" w:hAnsi="Arial"/>
                <w:b w:val="0"/>
                <w:color w:val="183128"/>
                <w:sz w:val="15"/>
              </w:rPr>
              <w:t>Herbs and mixed crops</w:t>
            </w:r>
          </w:p>
        </w:tc>
        <w:tc>
          <w:tcPr>
            <w:tcW w:type="dxa" w:w="2835"/>
            <w:vAlign w:val="center"/>
            <w:tcMar>
              <w:top w:w="80" w:type="dxa"/>
              <w:start w:w="90" w:type="dxa"/>
              <w:bottom w:w="80" w:type="dxa"/>
              <w:end w:w="90" w:type="dxa"/>
            </w:tcMar>
          </w:tcPr>
          <w:p>
            <w:pPr>
              <w:spacing w:after="0"/>
            </w:pPr>
            <w:r/>
            <w:r>
              <w:rPr>
                <w:rFonts w:ascii="Arial" w:hAnsi="Arial"/>
                <w:b w:val="0"/>
                <w:color w:val="183128"/>
                <w:sz w:val="15"/>
              </w:rPr>
              <w:t>Accessible and tolerant; media hosts biofilm.</w:t>
            </w:r>
          </w:p>
        </w:tc>
        <w:tc>
          <w:tcPr>
            <w:tcW w:type="dxa" w:w="2381"/>
            <w:vAlign w:val="center"/>
            <w:tcMar>
              <w:top w:w="80" w:type="dxa"/>
              <w:start w:w="90" w:type="dxa"/>
              <w:bottom w:w="80" w:type="dxa"/>
              <w:end w:w="90" w:type="dxa"/>
            </w:tcMar>
          </w:tcPr>
          <w:p>
            <w:pPr>
              <w:spacing w:after="0"/>
            </w:pPr>
            <w:r/>
            <w:r>
              <w:rPr>
                <w:rFonts w:ascii="Arial" w:hAnsi="Arial"/>
                <w:b w:val="0"/>
                <w:color w:val="183128"/>
                <w:sz w:val="15"/>
              </w:rPr>
              <w:t>Weight, solids accumulation and uneven flow.</w:t>
            </w:r>
          </w:p>
        </w:tc>
      </w:tr>
      <w:tr>
        <w:tc>
          <w:tcPr>
            <w:tcW w:type="dxa" w:w="1814"/>
            <w:shd w:fill="F1F3EF"/>
            <w:vAlign w:val="center"/>
            <w:tcMar>
              <w:top w:w="80" w:type="dxa"/>
              <w:start w:w="90" w:type="dxa"/>
              <w:bottom w:w="80" w:type="dxa"/>
              <w:end w:w="90" w:type="dxa"/>
            </w:tcMar>
          </w:tcPr>
          <w:p>
            <w:pPr>
              <w:spacing w:after="0"/>
            </w:pPr>
            <w:r/>
            <w:r>
              <w:rPr>
                <w:rFonts w:ascii="Arial" w:hAnsi="Arial"/>
                <w:b/>
                <w:color w:val="183128"/>
                <w:sz w:val="15"/>
              </w:rPr>
              <w:t>Deep-water culture / rafts</w:t>
            </w:r>
          </w:p>
        </w:tc>
        <w:tc>
          <w:tcPr>
            <w:tcW w:type="dxa" w:w="2268"/>
            <w:shd w:fill="F1F3EF"/>
            <w:vAlign w:val="center"/>
            <w:tcMar>
              <w:top w:w="80" w:type="dxa"/>
              <w:start w:w="90" w:type="dxa"/>
              <w:bottom w:w="80" w:type="dxa"/>
              <w:end w:w="90" w:type="dxa"/>
            </w:tcMar>
          </w:tcPr>
          <w:p>
            <w:pPr>
              <w:spacing w:after="0"/>
            </w:pPr>
            <w:r/>
            <w:r>
              <w:rPr>
                <w:rFonts w:ascii="Arial" w:hAnsi="Arial"/>
                <w:b w:val="0"/>
                <w:color w:val="183128"/>
                <w:sz w:val="15"/>
              </w:rPr>
              <w:t>Leafy greens</w:t>
            </w:r>
          </w:p>
        </w:tc>
        <w:tc>
          <w:tcPr>
            <w:tcW w:type="dxa" w:w="2835"/>
            <w:shd w:fill="F1F3EF"/>
            <w:vAlign w:val="center"/>
            <w:tcMar>
              <w:top w:w="80" w:type="dxa"/>
              <w:start w:w="90" w:type="dxa"/>
              <w:bottom w:w="80" w:type="dxa"/>
              <w:end w:w="90" w:type="dxa"/>
            </w:tcMar>
          </w:tcPr>
          <w:p>
            <w:pPr>
              <w:spacing w:after="0"/>
            </w:pPr>
            <w:r/>
            <w:r>
              <w:rPr>
                <w:rFonts w:ascii="Arial" w:hAnsi="Arial"/>
                <w:b w:val="0"/>
                <w:color w:val="183128"/>
                <w:sz w:val="15"/>
              </w:rPr>
              <w:t>Stable root-zone water and commercial density.</w:t>
            </w:r>
          </w:p>
        </w:tc>
        <w:tc>
          <w:tcPr>
            <w:tcW w:type="dxa" w:w="2381"/>
            <w:shd w:fill="F1F3EF"/>
            <w:vAlign w:val="center"/>
            <w:tcMar>
              <w:top w:w="80" w:type="dxa"/>
              <w:start w:w="90" w:type="dxa"/>
              <w:bottom w:w="80" w:type="dxa"/>
              <w:end w:w="90" w:type="dxa"/>
            </w:tcMar>
          </w:tcPr>
          <w:p>
            <w:pPr>
              <w:spacing w:after="0"/>
            </w:pPr>
            <w:r/>
            <w:r>
              <w:rPr>
                <w:rFonts w:ascii="Arial" w:hAnsi="Arial"/>
                <w:b w:val="0"/>
                <w:color w:val="183128"/>
                <w:sz w:val="15"/>
              </w:rPr>
              <w:t>Needs excellent solids removal and aeration.</w:t>
            </w:r>
          </w:p>
        </w:tc>
      </w:tr>
      <w:tr>
        <w:tc>
          <w:tcPr>
            <w:tcW w:type="dxa" w:w="1814"/>
            <w:vAlign w:val="center"/>
            <w:tcMar>
              <w:top w:w="80" w:type="dxa"/>
              <w:start w:w="90" w:type="dxa"/>
              <w:bottom w:w="80" w:type="dxa"/>
              <w:end w:w="90" w:type="dxa"/>
            </w:tcMar>
          </w:tcPr>
          <w:p>
            <w:pPr>
              <w:spacing w:after="0"/>
            </w:pPr>
            <w:r/>
            <w:r>
              <w:rPr>
                <w:rFonts w:ascii="Arial" w:hAnsi="Arial"/>
                <w:b/>
                <w:color w:val="183128"/>
                <w:sz w:val="15"/>
              </w:rPr>
              <w:t>NFT channels</w:t>
            </w:r>
          </w:p>
        </w:tc>
        <w:tc>
          <w:tcPr>
            <w:tcW w:type="dxa" w:w="2268"/>
            <w:vAlign w:val="center"/>
            <w:tcMar>
              <w:top w:w="80" w:type="dxa"/>
              <w:start w:w="90" w:type="dxa"/>
              <w:bottom w:w="80" w:type="dxa"/>
              <w:end w:w="90" w:type="dxa"/>
            </w:tcMar>
          </w:tcPr>
          <w:p>
            <w:pPr>
              <w:spacing w:after="0"/>
            </w:pPr>
            <w:r/>
            <w:r>
              <w:rPr>
                <w:rFonts w:ascii="Arial" w:hAnsi="Arial"/>
                <w:b w:val="0"/>
                <w:color w:val="183128"/>
                <w:sz w:val="15"/>
              </w:rPr>
              <w:t>Small leafy crops</w:t>
            </w:r>
          </w:p>
        </w:tc>
        <w:tc>
          <w:tcPr>
            <w:tcW w:type="dxa" w:w="2835"/>
            <w:vAlign w:val="center"/>
            <w:tcMar>
              <w:top w:w="80" w:type="dxa"/>
              <w:start w:w="90" w:type="dxa"/>
              <w:bottom w:w="80" w:type="dxa"/>
              <w:end w:w="90" w:type="dxa"/>
            </w:tcMar>
          </w:tcPr>
          <w:p>
            <w:pPr>
              <w:spacing w:after="0"/>
            </w:pPr>
            <w:r/>
            <w:r>
              <w:rPr>
                <w:rFonts w:ascii="Arial" w:hAnsi="Arial"/>
                <w:b w:val="0"/>
                <w:color w:val="183128"/>
                <w:sz w:val="15"/>
              </w:rPr>
              <w:t>Low water volume and clean harvesting.</w:t>
            </w:r>
          </w:p>
        </w:tc>
        <w:tc>
          <w:tcPr>
            <w:tcW w:type="dxa" w:w="2381"/>
            <w:vAlign w:val="center"/>
            <w:tcMar>
              <w:top w:w="80" w:type="dxa"/>
              <w:start w:w="90" w:type="dxa"/>
              <w:bottom w:w="80" w:type="dxa"/>
              <w:end w:w="90" w:type="dxa"/>
            </w:tcMar>
          </w:tcPr>
          <w:p>
            <w:pPr>
              <w:spacing w:after="0"/>
            </w:pPr>
            <w:r/>
            <w:r>
              <w:rPr>
                <w:rFonts w:ascii="Arial" w:hAnsi="Arial"/>
                <w:b w:val="0"/>
                <w:color w:val="183128"/>
                <w:sz w:val="15"/>
              </w:rPr>
              <w:t>Blockage, root mats and rapid pump-failure risk.</w:t>
            </w:r>
          </w:p>
        </w:tc>
      </w:tr>
      <w:tr>
        <w:tc>
          <w:tcPr>
            <w:tcW w:type="dxa" w:w="1814"/>
            <w:shd w:fill="F1F3EF"/>
            <w:vAlign w:val="center"/>
            <w:tcMar>
              <w:top w:w="80" w:type="dxa"/>
              <w:start w:w="90" w:type="dxa"/>
              <w:bottom w:w="80" w:type="dxa"/>
              <w:end w:w="90" w:type="dxa"/>
            </w:tcMar>
          </w:tcPr>
          <w:p>
            <w:pPr>
              <w:spacing w:after="0"/>
            </w:pPr>
            <w:r/>
            <w:r>
              <w:rPr>
                <w:rFonts w:ascii="Arial" w:hAnsi="Arial"/>
                <w:b/>
                <w:color w:val="183128"/>
                <w:sz w:val="15"/>
              </w:rPr>
              <w:t>Dutch buckets</w:t>
            </w:r>
          </w:p>
        </w:tc>
        <w:tc>
          <w:tcPr>
            <w:tcW w:type="dxa" w:w="2268"/>
            <w:shd w:fill="F1F3EF"/>
            <w:vAlign w:val="center"/>
            <w:tcMar>
              <w:top w:w="80" w:type="dxa"/>
              <w:start w:w="90" w:type="dxa"/>
              <w:bottom w:w="80" w:type="dxa"/>
              <w:end w:w="90" w:type="dxa"/>
            </w:tcMar>
          </w:tcPr>
          <w:p>
            <w:pPr>
              <w:spacing w:after="0"/>
            </w:pPr>
            <w:r/>
            <w:r>
              <w:rPr>
                <w:rFonts w:ascii="Arial" w:hAnsi="Arial"/>
                <w:b w:val="0"/>
                <w:color w:val="183128"/>
                <w:sz w:val="15"/>
              </w:rPr>
              <w:t>Tomato, cucumber, pepper and other fruiting crops</w:t>
            </w:r>
          </w:p>
        </w:tc>
        <w:tc>
          <w:tcPr>
            <w:tcW w:type="dxa" w:w="2835"/>
            <w:shd w:fill="F1F3EF"/>
            <w:vAlign w:val="center"/>
            <w:tcMar>
              <w:top w:w="80" w:type="dxa"/>
              <w:start w:w="90" w:type="dxa"/>
              <w:bottom w:w="80" w:type="dxa"/>
              <w:end w:w="90" w:type="dxa"/>
            </w:tcMar>
          </w:tcPr>
          <w:p>
            <w:pPr>
              <w:spacing w:after="0"/>
            </w:pPr>
            <w:r/>
            <w:r>
              <w:rPr>
                <w:rFonts w:ascii="Arial" w:hAnsi="Arial"/>
                <w:b w:val="0"/>
                <w:color w:val="183128"/>
                <w:sz w:val="15"/>
              </w:rPr>
              <w:t>Large modular root zone.</w:t>
            </w:r>
          </w:p>
        </w:tc>
        <w:tc>
          <w:tcPr>
            <w:tcW w:type="dxa" w:w="2381"/>
            <w:shd w:fill="F1F3EF"/>
            <w:vAlign w:val="center"/>
            <w:tcMar>
              <w:top w:w="80" w:type="dxa"/>
              <w:start w:w="90" w:type="dxa"/>
              <w:bottom w:w="80" w:type="dxa"/>
              <w:end w:w="90" w:type="dxa"/>
            </w:tcMar>
          </w:tcPr>
          <w:p>
            <w:pPr>
              <w:spacing w:after="0"/>
            </w:pPr>
            <w:r/>
            <w:r>
              <w:rPr>
                <w:rFonts w:ascii="Arial" w:hAnsi="Arial"/>
                <w:b w:val="0"/>
                <w:color w:val="183128"/>
                <w:sz w:val="15"/>
              </w:rPr>
              <w:t>Nutrient supplementation and hydraulic balancing.</w:t>
            </w:r>
          </w:p>
        </w:tc>
      </w:tr>
      <w:tr>
        <w:tc>
          <w:tcPr>
            <w:tcW w:type="dxa" w:w="1814"/>
            <w:vAlign w:val="center"/>
            <w:tcMar>
              <w:top w:w="80" w:type="dxa"/>
              <w:start w:w="90" w:type="dxa"/>
              <w:bottom w:w="80" w:type="dxa"/>
              <w:end w:w="90" w:type="dxa"/>
            </w:tcMar>
          </w:tcPr>
          <w:p>
            <w:pPr>
              <w:spacing w:after="0"/>
            </w:pPr>
            <w:r/>
            <w:r>
              <w:rPr>
                <w:rFonts w:ascii="Arial" w:hAnsi="Arial"/>
                <w:b/>
                <w:color w:val="183128"/>
                <w:sz w:val="15"/>
              </w:rPr>
              <w:t>Decoupled aquaponics</w:t>
            </w:r>
          </w:p>
        </w:tc>
        <w:tc>
          <w:tcPr>
            <w:tcW w:type="dxa" w:w="2268"/>
            <w:vAlign w:val="center"/>
            <w:tcMar>
              <w:top w:w="80" w:type="dxa"/>
              <w:start w:w="90" w:type="dxa"/>
              <w:bottom w:w="80" w:type="dxa"/>
              <w:end w:w="90" w:type="dxa"/>
            </w:tcMar>
          </w:tcPr>
          <w:p>
            <w:pPr>
              <w:spacing w:after="0"/>
            </w:pPr>
            <w:r/>
            <w:r>
              <w:rPr>
                <w:rFonts w:ascii="Arial" w:hAnsi="Arial"/>
                <w:b w:val="0"/>
                <w:color w:val="183128"/>
                <w:sz w:val="15"/>
              </w:rPr>
              <w:t>Higher-control commercial plant production</w:t>
            </w:r>
          </w:p>
        </w:tc>
        <w:tc>
          <w:tcPr>
            <w:tcW w:type="dxa" w:w="2835"/>
            <w:vAlign w:val="center"/>
            <w:tcMar>
              <w:top w:w="80" w:type="dxa"/>
              <w:start w:w="90" w:type="dxa"/>
              <w:bottom w:w="80" w:type="dxa"/>
              <w:end w:w="90" w:type="dxa"/>
            </w:tcMar>
          </w:tcPr>
          <w:p>
            <w:pPr>
              <w:spacing w:after="0"/>
            </w:pPr>
            <w:r/>
            <w:r>
              <w:rPr>
                <w:rFonts w:ascii="Arial" w:hAnsi="Arial"/>
                <w:b w:val="0"/>
                <w:color w:val="183128"/>
                <w:sz w:val="15"/>
              </w:rPr>
              <w:t>Fish and plant chemistry can be optimised separately.</w:t>
            </w:r>
          </w:p>
        </w:tc>
        <w:tc>
          <w:tcPr>
            <w:tcW w:type="dxa" w:w="2381"/>
            <w:vAlign w:val="center"/>
            <w:tcMar>
              <w:top w:w="80" w:type="dxa"/>
              <w:start w:w="90" w:type="dxa"/>
              <w:bottom w:w="80" w:type="dxa"/>
              <w:end w:w="90" w:type="dxa"/>
            </w:tcMar>
          </w:tcPr>
          <w:p>
            <w:pPr>
              <w:spacing w:after="0"/>
            </w:pPr>
            <w:r/>
            <w:r>
              <w:rPr>
                <w:rFonts w:ascii="Arial" w:hAnsi="Arial"/>
                <w:b w:val="0"/>
                <w:color w:val="183128"/>
                <w:sz w:val="15"/>
              </w:rPr>
              <w:t>More equipment, controls and operator skill.</w:t>
            </w:r>
          </w:p>
        </w:tc>
      </w:tr>
      <w:tr>
        <w:tc>
          <w:tcPr>
            <w:tcW w:type="dxa" w:w="1814"/>
            <w:shd w:fill="F1F3EF"/>
            <w:vAlign w:val="center"/>
            <w:tcMar>
              <w:top w:w="80" w:type="dxa"/>
              <w:start w:w="90" w:type="dxa"/>
              <w:bottom w:w="80" w:type="dxa"/>
              <w:end w:w="90" w:type="dxa"/>
            </w:tcMar>
          </w:tcPr>
          <w:p>
            <w:pPr>
              <w:spacing w:after="0"/>
            </w:pPr>
            <w:r/>
            <w:r>
              <w:rPr>
                <w:rFonts w:ascii="Arial" w:hAnsi="Arial"/>
                <w:b/>
                <w:color w:val="183128"/>
                <w:sz w:val="15"/>
              </w:rPr>
              <w:t>Tree nursery/polishing loop</w:t>
            </w:r>
          </w:p>
        </w:tc>
        <w:tc>
          <w:tcPr>
            <w:tcW w:type="dxa" w:w="2268"/>
            <w:shd w:fill="F1F3EF"/>
            <w:vAlign w:val="center"/>
            <w:tcMar>
              <w:top w:w="80" w:type="dxa"/>
              <w:start w:w="90" w:type="dxa"/>
              <w:bottom w:w="80" w:type="dxa"/>
              <w:end w:w="90" w:type="dxa"/>
            </w:tcMar>
          </w:tcPr>
          <w:p>
            <w:pPr>
              <w:spacing w:after="0"/>
            </w:pPr>
            <w:r/>
            <w:r>
              <w:rPr>
                <w:rFonts w:ascii="Arial" w:hAnsi="Arial"/>
                <w:b w:val="0"/>
                <w:color w:val="183128"/>
                <w:sz w:val="15"/>
              </w:rPr>
              <w:t>Young fruit/nut trees and shrubs in large containers</w:t>
            </w:r>
          </w:p>
        </w:tc>
        <w:tc>
          <w:tcPr>
            <w:tcW w:type="dxa" w:w="2835"/>
            <w:shd w:fill="F1F3EF"/>
            <w:vAlign w:val="center"/>
            <w:tcMar>
              <w:top w:w="80" w:type="dxa"/>
              <w:start w:w="90" w:type="dxa"/>
              <w:bottom w:w="80" w:type="dxa"/>
              <w:end w:w="90" w:type="dxa"/>
            </w:tcMar>
          </w:tcPr>
          <w:p>
            <w:pPr>
              <w:spacing w:after="0"/>
            </w:pPr>
            <w:r/>
            <w:r>
              <w:rPr>
                <w:rFonts w:ascii="Arial" w:hAnsi="Arial"/>
                <w:b w:val="0"/>
                <w:color w:val="183128"/>
                <w:sz w:val="15"/>
              </w:rPr>
              <w:t>Uses filtered purge/mineralised water outside core fish loop.</w:t>
            </w:r>
          </w:p>
        </w:tc>
        <w:tc>
          <w:tcPr>
            <w:tcW w:type="dxa" w:w="2381"/>
            <w:shd w:fill="F1F3EF"/>
            <w:vAlign w:val="center"/>
            <w:tcMar>
              <w:top w:w="80" w:type="dxa"/>
              <w:start w:w="90" w:type="dxa"/>
              <w:bottom w:w="80" w:type="dxa"/>
              <w:end w:w="90" w:type="dxa"/>
            </w:tcMar>
          </w:tcPr>
          <w:p>
            <w:pPr>
              <w:spacing w:after="0"/>
            </w:pPr>
            <w:r/>
            <w:r>
              <w:rPr>
                <w:rFonts w:ascii="Arial" w:hAnsi="Arial"/>
                <w:b w:val="0"/>
                <w:color w:val="183128"/>
                <w:sz w:val="15"/>
              </w:rPr>
              <w:t>Root clogging, uneven demand and long crop cycles; separate hydraulics.</w:t>
            </w:r>
          </w:p>
        </w:tc>
      </w:tr>
    </w:tbl>
    <w:p>
      <w:pPr>
        <w:spacing w:after="0"/>
      </w:pPr>
    </w:p>
    <w:p>
      <w:pPr>
        <w:pStyle w:val="Heading1"/>
      </w:pPr>
      <w:r>
        <w:t>3.6 Aquaponic tree farming: credible configuration</w:t>
      </w:r>
    </w:p>
    <w:p>
      <w:r>
        <w:t>Mature trees should not normally sit in standard recirculating pipes or NFT channels. Large roots clog, demand varies seasonally and tree timescales do not match the rapid feedback needed for fish welfare. The credible model is a core aquaponic unit for leafy greens, herbs and selected fruiting crops, plus a separated tree nursery or orchard polishing loop supplied with filtered, analysed purge water or a controlled nutrient stream.</w:t>
      </w:r>
    </w:p>
    <w:p>
      <w:pPr>
        <w:pStyle w:val="ListBullet"/>
      </w:pPr>
      <w:r>
        <w:t>Use large inert media containers, wicking beds or drip irrigation with drainage collection.</w:t>
      </w:r>
    </w:p>
    <w:p>
      <w:pPr>
        <w:pStyle w:val="ListBullet"/>
      </w:pPr>
      <w:r>
        <w:t>Keep isolation valves and a return-quality barrier so root-zone pathogens or sediments cannot reach fish.</w:t>
      </w:r>
    </w:p>
    <w:p>
      <w:pPr>
        <w:pStyle w:val="ListBullet"/>
      </w:pPr>
      <w:r>
        <w:t>Analyse nutrient balance; fish water is often short of potassium, calcium or iron for demanding crops.</w:t>
      </w:r>
    </w:p>
    <w:p>
      <w:pPr>
        <w:pStyle w:val="ListBullet"/>
      </w:pPr>
      <w:r>
        <w:t>Use irrigation scheduling by container/root-zone moisture, not continuous flooding by default.</w:t>
      </w:r>
    </w:p>
    <w:p>
      <w:pPr>
        <w:pStyle w:val="ListBullet"/>
      </w:pPr>
      <w:r>
        <w:t>Treat mature field orchard irrigation as a regulated water-reuse application, not part of the fish life-support loop.</w:t>
      </w:r>
    </w:p>
    <w:p>
      <w:pPr>
        <w:pStyle w:val="Heading1"/>
      </w:pPr>
      <w:r>
        <w:t>3.7 Commissioning and cycling</w:t>
      </w:r>
    </w:p>
    <w:tbl>
      <w:tblPr>
        <w:tblStyle w:val="TableGrid"/>
        <w:tblW w:type="auto" w:w="0"/>
        <w:jc w:val="center"/>
        <w:tblLayout w:type="fixed"/>
        <w:tblLook w:firstColumn="1" w:firstRow="1" w:lastColumn="0" w:lastRow="0" w:noHBand="0" w:noVBand="1" w:val="04A0"/>
      </w:tblPr>
      <w:tblGrid>
        <w:gridCol w:w="1814"/>
        <w:gridCol w:w="4535"/>
        <w:gridCol w:w="2948"/>
      </w:tblGrid>
      <w:tr>
        <w:trPr>
          <w:tblHeader w:val="true"/>
        </w:trPr>
        <w:tc>
          <w:tcPr>
            <w:tcW w:type="dxa" w:w="3326"/>
            <w:shd w:fill="15362A"/>
            <w:vAlign w:val="center"/>
            <w:tcMar>
              <w:top w:w="80" w:type="dxa"/>
              <w:start w:w="90" w:type="dxa"/>
              <w:bottom w:w="80" w:type="dxa"/>
              <w:end w:w="90" w:type="dxa"/>
            </w:tcMar>
          </w:tcPr>
          <w:p>
            <w:pPr>
              <w:spacing w:after="0"/>
            </w:pPr>
            <w:r/>
            <w:r>
              <w:rPr>
                <w:rFonts w:ascii="Arial" w:hAnsi="Arial"/>
                <w:b/>
                <w:color w:val="FFFFFF"/>
                <w:sz w:val="16"/>
              </w:rPr>
              <w:t>Phase</w:t>
            </w:r>
          </w:p>
        </w:tc>
        <w:tc>
          <w:tcPr>
            <w:tcW w:type="dxa" w:w="3326"/>
            <w:shd w:fill="15362A"/>
            <w:vAlign w:val="center"/>
            <w:tcMar>
              <w:top w:w="80" w:type="dxa"/>
              <w:start w:w="90" w:type="dxa"/>
              <w:bottom w:w="80" w:type="dxa"/>
              <w:end w:w="90" w:type="dxa"/>
            </w:tcMar>
          </w:tcPr>
          <w:p>
            <w:pPr>
              <w:spacing w:after="0"/>
            </w:pPr>
            <w:r/>
            <w:r>
              <w:rPr>
                <w:rFonts w:ascii="Arial" w:hAnsi="Arial"/>
                <w:b/>
                <w:color w:val="FFFFFF"/>
                <w:sz w:val="16"/>
              </w:rPr>
              <w:t>Actions</w:t>
            </w:r>
          </w:p>
        </w:tc>
        <w:tc>
          <w:tcPr>
            <w:tcW w:type="dxa" w:w="3326"/>
            <w:shd w:fill="15362A"/>
            <w:vAlign w:val="center"/>
            <w:tcMar>
              <w:top w:w="80" w:type="dxa"/>
              <w:start w:w="90" w:type="dxa"/>
              <w:bottom w:w="80" w:type="dxa"/>
              <w:end w:w="90" w:type="dxa"/>
            </w:tcMar>
          </w:tcPr>
          <w:p>
            <w:pPr>
              <w:spacing w:after="0"/>
            </w:pPr>
            <w:r/>
            <w:r>
              <w:rPr>
                <w:rFonts w:ascii="Arial" w:hAnsi="Arial"/>
                <w:b/>
                <w:color w:val="FFFFFF"/>
                <w:sz w:val="16"/>
              </w:rPr>
              <w:t>Gate</w:t>
            </w:r>
          </w:p>
        </w:tc>
      </w:tr>
      <w:tr>
        <w:tc>
          <w:tcPr>
            <w:tcW w:type="dxa" w:w="1814"/>
            <w:vAlign w:val="center"/>
            <w:tcMar>
              <w:top w:w="80" w:type="dxa"/>
              <w:start w:w="90" w:type="dxa"/>
              <w:bottom w:w="80" w:type="dxa"/>
              <w:end w:w="90" w:type="dxa"/>
            </w:tcMar>
          </w:tcPr>
          <w:p>
            <w:pPr>
              <w:spacing w:after="0"/>
            </w:pPr>
            <w:r/>
            <w:r>
              <w:rPr>
                <w:rFonts w:ascii="Arial" w:hAnsi="Arial"/>
                <w:b/>
                <w:color w:val="183128"/>
                <w:sz w:val="16"/>
              </w:rPr>
              <w:t>Dry/wet commissioning</w:t>
            </w:r>
          </w:p>
        </w:tc>
        <w:tc>
          <w:tcPr>
            <w:tcW w:type="dxa" w:w="4535"/>
            <w:vAlign w:val="center"/>
            <w:tcMar>
              <w:top w:w="80" w:type="dxa"/>
              <w:start w:w="90" w:type="dxa"/>
              <w:bottom w:w="80" w:type="dxa"/>
              <w:end w:w="90" w:type="dxa"/>
            </w:tcMar>
          </w:tcPr>
          <w:p>
            <w:pPr>
              <w:spacing w:after="0"/>
            </w:pPr>
            <w:r/>
            <w:r>
              <w:rPr>
                <w:rFonts w:ascii="Arial" w:hAnsi="Arial"/>
                <w:b w:val="0"/>
                <w:color w:val="183128"/>
                <w:sz w:val="16"/>
              </w:rPr>
              <w:t>Materials approval, disinfect/rinse protocol, leak/overflow test, pump curves, alarms, backup and probe calibration.</w:t>
            </w:r>
          </w:p>
        </w:tc>
        <w:tc>
          <w:tcPr>
            <w:tcW w:type="dxa" w:w="2948"/>
            <w:vAlign w:val="center"/>
            <w:tcMar>
              <w:top w:w="80" w:type="dxa"/>
              <w:start w:w="90" w:type="dxa"/>
              <w:bottom w:w="80" w:type="dxa"/>
              <w:end w:w="90" w:type="dxa"/>
            </w:tcMar>
          </w:tcPr>
          <w:p>
            <w:pPr>
              <w:spacing w:after="0"/>
            </w:pPr>
            <w:r/>
            <w:r>
              <w:rPr>
                <w:rFonts w:ascii="Arial" w:hAnsi="Arial"/>
                <w:b w:val="0"/>
                <w:color w:val="183128"/>
                <w:sz w:val="16"/>
              </w:rPr>
              <w:t>System holds water; safe overflow and emergency aeration proven.</w:t>
            </w:r>
          </w:p>
        </w:tc>
      </w:tr>
      <w:tr>
        <w:tc>
          <w:tcPr>
            <w:tcW w:type="dxa" w:w="1814"/>
            <w:shd w:fill="F1F3EF"/>
            <w:vAlign w:val="center"/>
            <w:tcMar>
              <w:top w:w="80" w:type="dxa"/>
              <w:start w:w="90" w:type="dxa"/>
              <w:bottom w:w="80" w:type="dxa"/>
              <w:end w:w="90" w:type="dxa"/>
            </w:tcMar>
          </w:tcPr>
          <w:p>
            <w:pPr>
              <w:spacing w:after="0"/>
            </w:pPr>
            <w:r/>
            <w:r>
              <w:rPr>
                <w:rFonts w:ascii="Arial" w:hAnsi="Arial"/>
                <w:b/>
                <w:color w:val="183128"/>
                <w:sz w:val="16"/>
              </w:rPr>
              <w:t>Fishless or low-load cycle</w:t>
            </w:r>
          </w:p>
        </w:tc>
        <w:tc>
          <w:tcPr>
            <w:tcW w:type="dxa" w:w="4535"/>
            <w:shd w:fill="F1F3EF"/>
            <w:vAlign w:val="center"/>
            <w:tcMar>
              <w:top w:w="80" w:type="dxa"/>
              <w:start w:w="90" w:type="dxa"/>
              <w:bottom w:w="80" w:type="dxa"/>
              <w:end w:w="90" w:type="dxa"/>
            </w:tcMar>
          </w:tcPr>
          <w:p>
            <w:pPr>
              <w:spacing w:after="0"/>
            </w:pPr>
            <w:r/>
            <w:r>
              <w:rPr>
                <w:rFonts w:ascii="Arial" w:hAnsi="Arial"/>
                <w:b w:val="0"/>
                <w:color w:val="183128"/>
                <w:sz w:val="16"/>
              </w:rPr>
              <w:t>Add controlled ammonia source or approved inoculum; run aeration continuously; track ammonia/nitrite/nitrate.</w:t>
            </w:r>
          </w:p>
        </w:tc>
        <w:tc>
          <w:tcPr>
            <w:tcW w:type="dxa" w:w="2948"/>
            <w:shd w:fill="F1F3EF"/>
            <w:vAlign w:val="center"/>
            <w:tcMar>
              <w:top w:w="80" w:type="dxa"/>
              <w:start w:w="90" w:type="dxa"/>
              <w:bottom w:w="80" w:type="dxa"/>
              <w:end w:w="90" w:type="dxa"/>
            </w:tcMar>
          </w:tcPr>
          <w:p>
            <w:pPr>
              <w:spacing w:after="0"/>
            </w:pPr>
            <w:r/>
            <w:r>
              <w:rPr>
                <w:rFonts w:ascii="Arial" w:hAnsi="Arial"/>
                <w:b w:val="0"/>
                <w:color w:val="183128"/>
                <w:sz w:val="16"/>
              </w:rPr>
              <w:t>Both oxidation steps demonstrated under a known test load.</w:t>
            </w:r>
          </w:p>
        </w:tc>
      </w:tr>
      <w:tr>
        <w:tc>
          <w:tcPr>
            <w:tcW w:type="dxa" w:w="1814"/>
            <w:vAlign w:val="center"/>
            <w:tcMar>
              <w:top w:w="80" w:type="dxa"/>
              <w:start w:w="90" w:type="dxa"/>
              <w:bottom w:w="80" w:type="dxa"/>
              <w:end w:w="90" w:type="dxa"/>
            </w:tcMar>
          </w:tcPr>
          <w:p>
            <w:pPr>
              <w:spacing w:after="0"/>
            </w:pPr>
            <w:r/>
            <w:r>
              <w:rPr>
                <w:rFonts w:ascii="Arial" w:hAnsi="Arial"/>
                <w:b/>
                <w:color w:val="183128"/>
                <w:sz w:val="16"/>
              </w:rPr>
              <w:t>Gradual stocking</w:t>
            </w:r>
          </w:p>
        </w:tc>
        <w:tc>
          <w:tcPr>
            <w:tcW w:type="dxa" w:w="4535"/>
            <w:vAlign w:val="center"/>
            <w:tcMar>
              <w:top w:w="80" w:type="dxa"/>
              <w:start w:w="90" w:type="dxa"/>
              <w:bottom w:w="80" w:type="dxa"/>
              <w:end w:w="90" w:type="dxa"/>
            </w:tcMar>
          </w:tcPr>
          <w:p>
            <w:pPr>
              <w:spacing w:after="0"/>
            </w:pPr>
            <w:r/>
            <w:r>
              <w:rPr>
                <w:rFonts w:ascii="Arial" w:hAnsi="Arial"/>
                <w:b w:val="0"/>
                <w:color w:val="183128"/>
                <w:sz w:val="16"/>
              </w:rPr>
              <w:t>Add fish/feed in small increments; increase plant area with loading.</w:t>
            </w:r>
          </w:p>
        </w:tc>
        <w:tc>
          <w:tcPr>
            <w:tcW w:type="dxa" w:w="2948"/>
            <w:vAlign w:val="center"/>
            <w:tcMar>
              <w:top w:w="80" w:type="dxa"/>
              <w:start w:w="90" w:type="dxa"/>
              <w:bottom w:w="80" w:type="dxa"/>
              <w:end w:w="90" w:type="dxa"/>
            </w:tcMar>
          </w:tcPr>
          <w:p>
            <w:pPr>
              <w:spacing w:after="0"/>
            </w:pPr>
            <w:r/>
            <w:r>
              <w:rPr>
                <w:rFonts w:ascii="Arial" w:hAnsi="Arial"/>
                <w:b w:val="0"/>
                <w:color w:val="183128"/>
                <w:sz w:val="16"/>
              </w:rPr>
              <w:t>Stable trends, welfare and response procedures demonstrated.</w:t>
            </w:r>
          </w:p>
        </w:tc>
      </w:tr>
      <w:tr>
        <w:tc>
          <w:tcPr>
            <w:tcW w:type="dxa" w:w="1814"/>
            <w:shd w:fill="F1F3EF"/>
            <w:vAlign w:val="center"/>
            <w:tcMar>
              <w:top w:w="80" w:type="dxa"/>
              <w:start w:w="90" w:type="dxa"/>
              <w:bottom w:w="80" w:type="dxa"/>
              <w:end w:w="90" w:type="dxa"/>
            </w:tcMar>
          </w:tcPr>
          <w:p>
            <w:pPr>
              <w:spacing w:after="0"/>
            </w:pPr>
            <w:r/>
            <w:r>
              <w:rPr>
                <w:rFonts w:ascii="Arial" w:hAnsi="Arial"/>
                <w:b/>
                <w:color w:val="183128"/>
                <w:sz w:val="16"/>
              </w:rPr>
              <w:t>Production</w:t>
            </w:r>
          </w:p>
        </w:tc>
        <w:tc>
          <w:tcPr>
            <w:tcW w:type="dxa" w:w="4535"/>
            <w:shd w:fill="F1F3EF"/>
            <w:vAlign w:val="center"/>
            <w:tcMar>
              <w:top w:w="80" w:type="dxa"/>
              <w:start w:w="90" w:type="dxa"/>
              <w:bottom w:w="80" w:type="dxa"/>
              <w:end w:w="90" w:type="dxa"/>
            </w:tcMar>
          </w:tcPr>
          <w:p>
            <w:pPr>
              <w:spacing w:after="0"/>
            </w:pPr>
            <w:r/>
            <w:r>
              <w:rPr>
                <w:rFonts w:ascii="Arial" w:hAnsi="Arial"/>
                <w:b w:val="0"/>
                <w:color w:val="183128"/>
                <w:sz w:val="16"/>
              </w:rPr>
              <w:t>Routine feed, harvest, solids/mineralisation and supplementation plan.</w:t>
            </w:r>
          </w:p>
        </w:tc>
        <w:tc>
          <w:tcPr>
            <w:tcW w:type="dxa" w:w="2948"/>
            <w:shd w:fill="F1F3EF"/>
            <w:vAlign w:val="center"/>
            <w:tcMar>
              <w:top w:w="80" w:type="dxa"/>
              <w:start w:w="90" w:type="dxa"/>
              <w:bottom w:w="80" w:type="dxa"/>
              <w:end w:w="90" w:type="dxa"/>
            </w:tcMar>
          </w:tcPr>
          <w:p>
            <w:pPr>
              <w:spacing w:after="0"/>
            </w:pPr>
            <w:r/>
            <w:r>
              <w:rPr>
                <w:rFonts w:ascii="Arial" w:hAnsi="Arial"/>
                <w:b w:val="0"/>
                <w:color w:val="183128"/>
                <w:sz w:val="16"/>
              </w:rPr>
              <w:t>Documented standard operating procedures and trained cover.</w:t>
            </w:r>
          </w:p>
        </w:tc>
      </w:tr>
    </w:tbl>
    <w:p>
      <w:pPr>
        <w:spacing w:after="0"/>
      </w:pPr>
    </w:p>
    <w:p>
      <w:r>
        <w:t>Cycling commonly takes several weeks—often roughly 4–8—but temperature, inoculum, media and loading can shorten or lengthen it. Calendar time is not the commissioning test; conversion performance is.</w:t>
      </w:r>
    </w:p>
    <w:p>
      <w:pPr>
        <w:pStyle w:val="Heading1"/>
      </w:pPr>
      <w:r>
        <w:t>3.8 Monitoring and response</w:t>
      </w:r>
    </w:p>
    <w:tbl>
      <w:tblPr>
        <w:tblStyle w:val="TableGrid"/>
        <w:tblW w:type="auto" w:w="0"/>
        <w:jc w:val="center"/>
        <w:tblLayout w:type="fixed"/>
        <w:tblLook w:firstColumn="1" w:firstRow="1" w:lastColumn="0" w:lastRow="0" w:noHBand="0" w:noVBand="1" w:val="04A0"/>
      </w:tblPr>
      <w:tblGrid>
        <w:gridCol w:w="1814"/>
        <w:gridCol w:w="3969"/>
        <w:gridCol w:w="3515"/>
      </w:tblGrid>
      <w:tr>
        <w:trPr>
          <w:tblHeader w:val="true"/>
        </w:trPr>
        <w:tc>
          <w:tcPr>
            <w:tcW w:type="dxa" w:w="3326"/>
            <w:shd w:fill="15362A"/>
            <w:vAlign w:val="center"/>
            <w:tcMar>
              <w:top w:w="80" w:type="dxa"/>
              <w:start w:w="90" w:type="dxa"/>
              <w:bottom w:w="80" w:type="dxa"/>
              <w:end w:w="90" w:type="dxa"/>
            </w:tcMar>
          </w:tcPr>
          <w:p>
            <w:pPr>
              <w:spacing w:after="0"/>
            </w:pPr>
            <w:r/>
            <w:r>
              <w:rPr>
                <w:rFonts w:ascii="Arial" w:hAnsi="Arial"/>
                <w:b/>
                <w:color w:val="FFFFFF"/>
                <w:sz w:val="15"/>
              </w:rPr>
              <w:t>Variable</w:t>
            </w:r>
          </w:p>
        </w:tc>
        <w:tc>
          <w:tcPr>
            <w:tcW w:type="dxa" w:w="3326"/>
            <w:shd w:fill="15362A"/>
            <w:vAlign w:val="center"/>
            <w:tcMar>
              <w:top w:w="80" w:type="dxa"/>
              <w:start w:w="90" w:type="dxa"/>
              <w:bottom w:w="80" w:type="dxa"/>
              <w:end w:w="90" w:type="dxa"/>
            </w:tcMar>
          </w:tcPr>
          <w:p>
            <w:pPr>
              <w:spacing w:after="0"/>
            </w:pPr>
            <w:r/>
            <w:r>
              <w:rPr>
                <w:rFonts w:ascii="Arial" w:hAnsi="Arial"/>
                <w:b/>
                <w:color w:val="FFFFFF"/>
                <w:sz w:val="15"/>
              </w:rPr>
              <w:t>Why it matters</w:t>
            </w:r>
          </w:p>
        </w:tc>
        <w:tc>
          <w:tcPr>
            <w:tcW w:type="dxa" w:w="3326"/>
            <w:shd w:fill="15362A"/>
            <w:vAlign w:val="center"/>
            <w:tcMar>
              <w:top w:w="80" w:type="dxa"/>
              <w:start w:w="90" w:type="dxa"/>
              <w:bottom w:w="80" w:type="dxa"/>
              <w:end w:w="90" w:type="dxa"/>
            </w:tcMar>
          </w:tcPr>
          <w:p>
            <w:pPr>
              <w:spacing w:after="0"/>
            </w:pPr>
            <w:r/>
            <w:r>
              <w:rPr>
                <w:rFonts w:ascii="Arial" w:hAnsi="Arial"/>
                <w:b/>
                <w:color w:val="FFFFFF"/>
                <w:sz w:val="15"/>
              </w:rPr>
              <w:t>Response principle</w:t>
            </w:r>
          </w:p>
        </w:tc>
      </w:tr>
      <w:tr>
        <w:tc>
          <w:tcPr>
            <w:tcW w:type="dxa" w:w="1814"/>
            <w:vAlign w:val="center"/>
            <w:tcMar>
              <w:top w:w="80" w:type="dxa"/>
              <w:start w:w="90" w:type="dxa"/>
              <w:bottom w:w="80" w:type="dxa"/>
              <w:end w:w="90" w:type="dxa"/>
            </w:tcMar>
          </w:tcPr>
          <w:p>
            <w:pPr>
              <w:spacing w:after="0"/>
            </w:pPr>
            <w:r/>
            <w:r>
              <w:rPr>
                <w:rFonts w:ascii="Arial" w:hAnsi="Arial"/>
                <w:b/>
                <w:color w:val="183128"/>
                <w:sz w:val="15"/>
              </w:rPr>
              <w:t>Fish behaviour/mortality</w:t>
            </w:r>
          </w:p>
        </w:tc>
        <w:tc>
          <w:tcPr>
            <w:tcW w:type="dxa" w:w="3969"/>
            <w:vAlign w:val="center"/>
            <w:tcMar>
              <w:top w:w="80" w:type="dxa"/>
              <w:start w:w="90" w:type="dxa"/>
              <w:bottom w:w="80" w:type="dxa"/>
              <w:end w:w="90" w:type="dxa"/>
            </w:tcMar>
          </w:tcPr>
          <w:p>
            <w:pPr>
              <w:spacing w:after="0"/>
            </w:pPr>
            <w:r/>
            <w:r>
              <w:rPr>
                <w:rFonts w:ascii="Arial" w:hAnsi="Arial"/>
                <w:b w:val="0"/>
                <w:color w:val="183128"/>
                <w:sz w:val="15"/>
              </w:rPr>
              <w:t>Fastest whole-system warning.</w:t>
            </w:r>
          </w:p>
        </w:tc>
        <w:tc>
          <w:tcPr>
            <w:tcW w:type="dxa" w:w="3515"/>
            <w:vAlign w:val="center"/>
            <w:tcMar>
              <w:top w:w="80" w:type="dxa"/>
              <w:start w:w="90" w:type="dxa"/>
              <w:bottom w:w="80" w:type="dxa"/>
              <w:end w:w="90" w:type="dxa"/>
            </w:tcMar>
          </w:tcPr>
          <w:p>
            <w:pPr>
              <w:spacing w:after="0"/>
            </w:pPr>
            <w:r/>
            <w:r>
              <w:rPr>
                <w:rFonts w:ascii="Arial" w:hAnsi="Arial"/>
                <w:b w:val="0"/>
                <w:color w:val="183128"/>
                <w:sz w:val="15"/>
              </w:rPr>
              <w:t>Observe at every visit/feed; stop feed and investigate abnormal behaviour.</w:t>
            </w:r>
          </w:p>
        </w:tc>
      </w:tr>
      <w:tr>
        <w:tc>
          <w:tcPr>
            <w:tcW w:type="dxa" w:w="1814"/>
            <w:shd w:fill="F1F3EF"/>
            <w:vAlign w:val="center"/>
            <w:tcMar>
              <w:top w:w="80" w:type="dxa"/>
              <w:start w:w="90" w:type="dxa"/>
              <w:bottom w:w="80" w:type="dxa"/>
              <w:end w:w="90" w:type="dxa"/>
            </w:tcMar>
          </w:tcPr>
          <w:p>
            <w:pPr>
              <w:spacing w:after="0"/>
            </w:pPr>
            <w:r/>
            <w:r>
              <w:rPr>
                <w:rFonts w:ascii="Arial" w:hAnsi="Arial"/>
                <w:b/>
                <w:color w:val="183128"/>
                <w:sz w:val="15"/>
              </w:rPr>
              <w:t>Dissolved oxygen</w:t>
            </w:r>
          </w:p>
        </w:tc>
        <w:tc>
          <w:tcPr>
            <w:tcW w:type="dxa" w:w="3969"/>
            <w:shd w:fill="F1F3EF"/>
            <w:vAlign w:val="center"/>
            <w:tcMar>
              <w:top w:w="80" w:type="dxa"/>
              <w:start w:w="90" w:type="dxa"/>
              <w:bottom w:w="80" w:type="dxa"/>
              <w:end w:w="90" w:type="dxa"/>
            </w:tcMar>
          </w:tcPr>
          <w:p>
            <w:pPr>
              <w:spacing w:after="0"/>
            </w:pPr>
            <w:r/>
            <w:r>
              <w:rPr>
                <w:rFonts w:ascii="Arial" w:hAnsi="Arial"/>
                <w:b w:val="0"/>
                <w:color w:val="183128"/>
                <w:sz w:val="15"/>
              </w:rPr>
              <w:t>Fish and nitrifiers are oxygen-dependent.</w:t>
            </w:r>
          </w:p>
        </w:tc>
        <w:tc>
          <w:tcPr>
            <w:tcW w:type="dxa" w:w="3515"/>
            <w:shd w:fill="F1F3EF"/>
            <w:vAlign w:val="center"/>
            <w:tcMar>
              <w:top w:w="80" w:type="dxa"/>
              <w:start w:w="90" w:type="dxa"/>
              <w:bottom w:w="80" w:type="dxa"/>
              <w:end w:w="90" w:type="dxa"/>
            </w:tcMar>
          </w:tcPr>
          <w:p>
            <w:pPr>
              <w:spacing w:after="0"/>
            </w:pPr>
            <w:r/>
            <w:r>
              <w:rPr>
                <w:rFonts w:ascii="Arial" w:hAnsi="Arial"/>
                <w:b w:val="0"/>
                <w:color w:val="183128"/>
                <w:sz w:val="15"/>
              </w:rPr>
              <w:t>Species-specific alarm; start backup aeration immediately.</w:t>
            </w:r>
          </w:p>
        </w:tc>
      </w:tr>
      <w:tr>
        <w:tc>
          <w:tcPr>
            <w:tcW w:type="dxa" w:w="1814"/>
            <w:vAlign w:val="center"/>
            <w:tcMar>
              <w:top w:w="80" w:type="dxa"/>
              <w:start w:w="90" w:type="dxa"/>
              <w:bottom w:w="80" w:type="dxa"/>
              <w:end w:w="90" w:type="dxa"/>
            </w:tcMar>
          </w:tcPr>
          <w:p>
            <w:pPr>
              <w:spacing w:after="0"/>
            </w:pPr>
            <w:r/>
            <w:r>
              <w:rPr>
                <w:rFonts w:ascii="Arial" w:hAnsi="Arial"/>
                <w:b/>
                <w:color w:val="183128"/>
                <w:sz w:val="15"/>
              </w:rPr>
              <w:t>Flow and water level</w:t>
            </w:r>
          </w:p>
        </w:tc>
        <w:tc>
          <w:tcPr>
            <w:tcW w:type="dxa" w:w="3969"/>
            <w:vAlign w:val="center"/>
            <w:tcMar>
              <w:top w:w="80" w:type="dxa"/>
              <w:start w:w="90" w:type="dxa"/>
              <w:bottom w:w="80" w:type="dxa"/>
              <w:end w:w="90" w:type="dxa"/>
            </w:tcMar>
          </w:tcPr>
          <w:p>
            <w:pPr>
              <w:spacing w:after="0"/>
            </w:pPr>
            <w:r/>
            <w:r>
              <w:rPr>
                <w:rFonts w:ascii="Arial" w:hAnsi="Arial"/>
                <w:b w:val="0"/>
                <w:color w:val="183128"/>
                <w:sz w:val="15"/>
              </w:rPr>
              <w:t>Controls filtration and gas exchange.</w:t>
            </w:r>
          </w:p>
        </w:tc>
        <w:tc>
          <w:tcPr>
            <w:tcW w:type="dxa" w:w="3515"/>
            <w:vAlign w:val="center"/>
            <w:tcMar>
              <w:top w:w="80" w:type="dxa"/>
              <w:start w:w="90" w:type="dxa"/>
              <w:bottom w:w="80" w:type="dxa"/>
              <w:end w:w="90" w:type="dxa"/>
            </w:tcMar>
          </w:tcPr>
          <w:p>
            <w:pPr>
              <w:spacing w:after="0"/>
            </w:pPr>
            <w:r/>
            <w:r>
              <w:rPr>
                <w:rFonts w:ascii="Arial" w:hAnsi="Arial"/>
                <w:b w:val="0"/>
                <w:color w:val="183128"/>
                <w:sz w:val="15"/>
              </w:rPr>
              <w:t>High/low alarms, gravity overflow, spare pump and visual indicators.</w:t>
            </w:r>
          </w:p>
        </w:tc>
      </w:tr>
      <w:tr>
        <w:tc>
          <w:tcPr>
            <w:tcW w:type="dxa" w:w="1814"/>
            <w:shd w:fill="F1F3EF"/>
            <w:vAlign w:val="center"/>
            <w:tcMar>
              <w:top w:w="80" w:type="dxa"/>
              <w:start w:w="90" w:type="dxa"/>
              <w:bottom w:w="80" w:type="dxa"/>
              <w:end w:w="90" w:type="dxa"/>
            </w:tcMar>
          </w:tcPr>
          <w:p>
            <w:pPr>
              <w:spacing w:after="0"/>
            </w:pPr>
            <w:r/>
            <w:r>
              <w:rPr>
                <w:rFonts w:ascii="Arial" w:hAnsi="Arial"/>
                <w:b/>
                <w:color w:val="183128"/>
                <w:sz w:val="15"/>
              </w:rPr>
              <w:t>Temperature</w:t>
            </w:r>
          </w:p>
        </w:tc>
        <w:tc>
          <w:tcPr>
            <w:tcW w:type="dxa" w:w="3969"/>
            <w:shd w:fill="F1F3EF"/>
            <w:vAlign w:val="center"/>
            <w:tcMar>
              <w:top w:w="80" w:type="dxa"/>
              <w:start w:w="90" w:type="dxa"/>
              <w:bottom w:w="80" w:type="dxa"/>
              <w:end w:w="90" w:type="dxa"/>
            </w:tcMar>
          </w:tcPr>
          <w:p>
            <w:pPr>
              <w:spacing w:after="0"/>
            </w:pPr>
            <w:r/>
            <w:r>
              <w:rPr>
                <w:rFonts w:ascii="Arial" w:hAnsi="Arial"/>
                <w:b w:val="0"/>
                <w:color w:val="183128"/>
                <w:sz w:val="15"/>
              </w:rPr>
              <w:t>Governs fish metabolism, oxygen solubility and ammonia toxicity.</w:t>
            </w:r>
          </w:p>
        </w:tc>
        <w:tc>
          <w:tcPr>
            <w:tcW w:type="dxa" w:w="3515"/>
            <w:shd w:fill="F1F3EF"/>
            <w:vAlign w:val="center"/>
            <w:tcMar>
              <w:top w:w="80" w:type="dxa"/>
              <w:start w:w="90" w:type="dxa"/>
              <w:bottom w:w="80" w:type="dxa"/>
              <w:end w:w="90" w:type="dxa"/>
            </w:tcMar>
          </w:tcPr>
          <w:p>
            <w:pPr>
              <w:spacing w:after="0"/>
            </w:pPr>
            <w:r/>
            <w:r>
              <w:rPr>
                <w:rFonts w:ascii="Arial" w:hAnsi="Arial"/>
                <w:b w:val="0"/>
                <w:color w:val="183128"/>
                <w:sz w:val="15"/>
              </w:rPr>
              <w:t>Match species; control rate of change as well as absolute value.</w:t>
            </w:r>
          </w:p>
        </w:tc>
      </w:tr>
      <w:tr>
        <w:tc>
          <w:tcPr>
            <w:tcW w:type="dxa" w:w="1814"/>
            <w:vAlign w:val="center"/>
            <w:tcMar>
              <w:top w:w="80" w:type="dxa"/>
              <w:start w:w="90" w:type="dxa"/>
              <w:bottom w:w="80" w:type="dxa"/>
              <w:end w:w="90" w:type="dxa"/>
            </w:tcMar>
          </w:tcPr>
          <w:p>
            <w:pPr>
              <w:spacing w:after="0"/>
            </w:pPr>
            <w:r/>
            <w:r>
              <w:rPr>
                <w:rFonts w:ascii="Arial" w:hAnsi="Arial"/>
                <w:b/>
                <w:color w:val="183128"/>
                <w:sz w:val="15"/>
              </w:rPr>
              <w:t>pH and alkalinity</w:t>
            </w:r>
          </w:p>
        </w:tc>
        <w:tc>
          <w:tcPr>
            <w:tcW w:type="dxa" w:w="3969"/>
            <w:vAlign w:val="center"/>
            <w:tcMar>
              <w:top w:w="80" w:type="dxa"/>
              <w:start w:w="90" w:type="dxa"/>
              <w:bottom w:w="80" w:type="dxa"/>
              <w:end w:w="90" w:type="dxa"/>
            </w:tcMar>
          </w:tcPr>
          <w:p>
            <w:pPr>
              <w:spacing w:after="0"/>
            </w:pPr>
            <w:r/>
            <w:r>
              <w:rPr>
                <w:rFonts w:ascii="Arial" w:hAnsi="Arial"/>
                <w:b w:val="0"/>
                <w:color w:val="183128"/>
                <w:sz w:val="15"/>
              </w:rPr>
              <w:t>Nitrification consumes alkalinity and pushes pH down.</w:t>
            </w:r>
          </w:p>
        </w:tc>
        <w:tc>
          <w:tcPr>
            <w:tcW w:type="dxa" w:w="3515"/>
            <w:vAlign w:val="center"/>
            <w:tcMar>
              <w:top w:w="80" w:type="dxa"/>
              <w:start w:w="90" w:type="dxa"/>
              <w:bottom w:w="80" w:type="dxa"/>
              <w:end w:w="90" w:type="dxa"/>
            </w:tcMar>
          </w:tcPr>
          <w:p>
            <w:pPr>
              <w:spacing w:after="0"/>
            </w:pPr>
            <w:r/>
            <w:r>
              <w:rPr>
                <w:rFonts w:ascii="Arial" w:hAnsi="Arial"/>
                <w:b w:val="0"/>
                <w:color w:val="183128"/>
                <w:sz w:val="15"/>
              </w:rPr>
              <w:t>Trend and buffer with approved compounds; avoid abrupt correction.</w:t>
            </w:r>
          </w:p>
        </w:tc>
      </w:tr>
      <w:tr>
        <w:tc>
          <w:tcPr>
            <w:tcW w:type="dxa" w:w="1814"/>
            <w:shd w:fill="F1F3EF"/>
            <w:vAlign w:val="center"/>
            <w:tcMar>
              <w:top w:w="80" w:type="dxa"/>
              <w:start w:w="90" w:type="dxa"/>
              <w:bottom w:w="80" w:type="dxa"/>
              <w:end w:w="90" w:type="dxa"/>
            </w:tcMar>
          </w:tcPr>
          <w:p>
            <w:pPr>
              <w:spacing w:after="0"/>
            </w:pPr>
            <w:r/>
            <w:r>
              <w:rPr>
                <w:rFonts w:ascii="Arial" w:hAnsi="Arial"/>
                <w:b/>
                <w:color w:val="183128"/>
                <w:sz w:val="15"/>
              </w:rPr>
              <w:t>Ammonia/nitrite</w:t>
            </w:r>
          </w:p>
        </w:tc>
        <w:tc>
          <w:tcPr>
            <w:tcW w:type="dxa" w:w="3969"/>
            <w:shd w:fill="F1F3EF"/>
            <w:vAlign w:val="center"/>
            <w:tcMar>
              <w:top w:w="80" w:type="dxa"/>
              <w:start w:w="90" w:type="dxa"/>
              <w:bottom w:w="80" w:type="dxa"/>
              <w:end w:w="90" w:type="dxa"/>
            </w:tcMar>
          </w:tcPr>
          <w:p>
            <w:pPr>
              <w:spacing w:after="0"/>
            </w:pPr>
            <w:r/>
            <w:r>
              <w:rPr>
                <w:rFonts w:ascii="Arial" w:hAnsi="Arial"/>
                <w:b w:val="0"/>
                <w:color w:val="183128"/>
                <w:sz w:val="15"/>
              </w:rPr>
              <w:t>Direct toxicity and evidence of loading/biofilter failure.</w:t>
            </w:r>
          </w:p>
        </w:tc>
        <w:tc>
          <w:tcPr>
            <w:tcW w:type="dxa" w:w="3515"/>
            <w:shd w:fill="F1F3EF"/>
            <w:vAlign w:val="center"/>
            <w:tcMar>
              <w:top w:w="80" w:type="dxa"/>
              <w:start w:w="90" w:type="dxa"/>
              <w:bottom w:w="80" w:type="dxa"/>
              <w:end w:w="90" w:type="dxa"/>
            </w:tcMar>
          </w:tcPr>
          <w:p>
            <w:pPr>
              <w:spacing w:after="0"/>
            </w:pPr>
            <w:r/>
            <w:r>
              <w:rPr>
                <w:rFonts w:ascii="Arial" w:hAnsi="Arial"/>
                <w:b w:val="0"/>
                <w:color w:val="183128"/>
                <w:sz w:val="15"/>
              </w:rPr>
              <w:t>Reduce/stop feed, restore oxygen/flow, confirm test and follow welfare plan.</w:t>
            </w:r>
          </w:p>
        </w:tc>
      </w:tr>
      <w:tr>
        <w:tc>
          <w:tcPr>
            <w:tcW w:type="dxa" w:w="1814"/>
            <w:vAlign w:val="center"/>
            <w:tcMar>
              <w:top w:w="80" w:type="dxa"/>
              <w:start w:w="90" w:type="dxa"/>
              <w:bottom w:w="80" w:type="dxa"/>
              <w:end w:w="90" w:type="dxa"/>
            </w:tcMar>
          </w:tcPr>
          <w:p>
            <w:pPr>
              <w:spacing w:after="0"/>
            </w:pPr>
            <w:r/>
            <w:r>
              <w:rPr>
                <w:rFonts w:ascii="Arial" w:hAnsi="Arial"/>
                <w:b/>
                <w:color w:val="183128"/>
                <w:sz w:val="15"/>
              </w:rPr>
              <w:t>Nitrate/plant health</w:t>
            </w:r>
          </w:p>
        </w:tc>
        <w:tc>
          <w:tcPr>
            <w:tcW w:type="dxa" w:w="3969"/>
            <w:vAlign w:val="center"/>
            <w:tcMar>
              <w:top w:w="80" w:type="dxa"/>
              <w:start w:w="90" w:type="dxa"/>
              <w:bottom w:w="80" w:type="dxa"/>
              <w:end w:w="90" w:type="dxa"/>
            </w:tcMar>
          </w:tcPr>
          <w:p>
            <w:pPr>
              <w:spacing w:after="0"/>
            </w:pPr>
            <w:r/>
            <w:r>
              <w:rPr>
                <w:rFonts w:ascii="Arial" w:hAnsi="Arial"/>
                <w:b w:val="0"/>
                <w:color w:val="183128"/>
                <w:sz w:val="15"/>
              </w:rPr>
              <w:t>Shows balance between feed loading and plant uptake.</w:t>
            </w:r>
          </w:p>
        </w:tc>
        <w:tc>
          <w:tcPr>
            <w:tcW w:type="dxa" w:w="3515"/>
            <w:vAlign w:val="center"/>
            <w:tcMar>
              <w:top w:w="80" w:type="dxa"/>
              <w:start w:w="90" w:type="dxa"/>
              <w:bottom w:w="80" w:type="dxa"/>
              <w:end w:w="90" w:type="dxa"/>
            </w:tcMar>
          </w:tcPr>
          <w:p>
            <w:pPr>
              <w:spacing w:after="0"/>
            </w:pPr>
            <w:r/>
            <w:r>
              <w:rPr>
                <w:rFonts w:ascii="Arial" w:hAnsi="Arial"/>
                <w:b w:val="0"/>
                <w:color w:val="183128"/>
                <w:sz w:val="15"/>
              </w:rPr>
              <w:t>Adjust plant area, harvest, supplementation or controlled water exchange.</w:t>
            </w:r>
          </w:p>
        </w:tc>
      </w:tr>
      <w:tr>
        <w:tc>
          <w:tcPr>
            <w:tcW w:type="dxa" w:w="1814"/>
            <w:shd w:fill="F1F3EF"/>
            <w:vAlign w:val="center"/>
            <w:tcMar>
              <w:top w:w="80" w:type="dxa"/>
              <w:start w:w="90" w:type="dxa"/>
              <w:bottom w:w="80" w:type="dxa"/>
              <w:end w:w="90" w:type="dxa"/>
            </w:tcMar>
          </w:tcPr>
          <w:p>
            <w:pPr>
              <w:spacing w:after="0"/>
            </w:pPr>
            <w:r/>
            <w:r>
              <w:rPr>
                <w:rFonts w:ascii="Arial" w:hAnsi="Arial"/>
                <w:b/>
                <w:color w:val="183128"/>
                <w:sz w:val="15"/>
              </w:rPr>
              <w:t>Feed, water, energy, supplements</w:t>
            </w:r>
          </w:p>
        </w:tc>
        <w:tc>
          <w:tcPr>
            <w:tcW w:type="dxa" w:w="3969"/>
            <w:shd w:fill="F1F3EF"/>
            <w:vAlign w:val="center"/>
            <w:tcMar>
              <w:top w:w="80" w:type="dxa"/>
              <w:start w:w="90" w:type="dxa"/>
              <w:bottom w:w="80" w:type="dxa"/>
              <w:end w:w="90" w:type="dxa"/>
            </w:tcMar>
          </w:tcPr>
          <w:p>
            <w:pPr>
              <w:spacing w:after="0"/>
            </w:pPr>
            <w:r/>
            <w:r>
              <w:rPr>
                <w:rFonts w:ascii="Arial" w:hAnsi="Arial"/>
                <w:b w:val="0"/>
                <w:color w:val="183128"/>
                <w:sz w:val="15"/>
              </w:rPr>
              <w:t>Determines cost and environmental performance.</w:t>
            </w:r>
          </w:p>
        </w:tc>
        <w:tc>
          <w:tcPr>
            <w:tcW w:type="dxa" w:w="3515"/>
            <w:shd w:fill="F1F3EF"/>
            <w:vAlign w:val="center"/>
            <w:tcMar>
              <w:top w:w="80" w:type="dxa"/>
              <w:start w:w="90" w:type="dxa"/>
              <w:bottom w:w="80" w:type="dxa"/>
              <w:end w:w="90" w:type="dxa"/>
            </w:tcMar>
          </w:tcPr>
          <w:p>
            <w:pPr>
              <w:spacing w:after="0"/>
            </w:pPr>
            <w:r/>
            <w:r>
              <w:rPr>
                <w:rFonts w:ascii="Arial" w:hAnsi="Arial"/>
                <w:b w:val="0"/>
                <w:color w:val="183128"/>
                <w:sz w:val="15"/>
              </w:rPr>
              <w:t>Meter per kg fish and crop; investigate drift.</w:t>
            </w:r>
          </w:p>
        </w:tc>
      </w:tr>
    </w:tbl>
    <w:p>
      <w:pPr>
        <w:spacing w:after="0"/>
      </w:pPr>
    </w:p>
    <w:p>
      <w:pPr>
        <w:pStyle w:val="Heading1"/>
      </w:pPr>
      <w:r>
        <w:t>3.9 Resilience, biosecurity and food safety</w:t>
      </w:r>
    </w:p>
    <w:p>
      <w:pPr>
        <w:pStyle w:val="ListBullet"/>
      </w:pPr>
      <w:r>
        <w:t>Dual air pumps on independent circuits where practicable; UPS/battery or generator sized for survival duty, not average duty.</w:t>
      </w:r>
    </w:p>
    <w:p>
      <w:pPr>
        <w:pStyle w:val="ListBullet"/>
      </w:pPr>
      <w:r>
        <w:t>High/low water, power, oxygen and temperature alarms with tested callout.</w:t>
      </w:r>
    </w:p>
    <w:p>
      <w:pPr>
        <w:pStyle w:val="ListBullet"/>
      </w:pPr>
      <w:r>
        <w:t>Gravity-safe overflow, anti-siphon design, isolation valves, spare pump/blower and critical spares.</w:t>
      </w:r>
    </w:p>
    <w:p>
      <w:pPr>
        <w:pStyle w:val="ListBullet"/>
      </w:pPr>
      <w:r>
        <w:t>Quarantine and controlled aquatic-animal movements; cleaning zones and mortality plan.</w:t>
      </w:r>
    </w:p>
    <w:p>
      <w:pPr>
        <w:pStyle w:val="ListBullet"/>
      </w:pPr>
      <w:r>
        <w:t>Potable-quality top-up where required, backflow prevention and strict separation from potable plumbing.</w:t>
      </w:r>
    </w:p>
    <w:p>
      <w:pPr>
        <w:pStyle w:val="ListBullet"/>
      </w:pPr>
      <w:r>
        <w:t>HACCP-based harvest and packing; avoid uncontrolled splashing of fish water onto ready-to-eat leaves.</w:t>
      </w:r>
    </w:p>
    <w:p>
      <w:pPr>
        <w:pStyle w:val="ListBullet"/>
      </w:pPr>
      <w:r>
        <w:t>Chemical/material approval for tanks, liners, pipes, sealants and media.</w:t>
      </w:r>
    </w:p>
    <w:p>
      <w:pPr>
        <w:pStyle w:val="ListBullet"/>
      </w:pPr>
      <w:r>
        <w:t>Written fish welfare thresholds and competent holiday/out-of-hours cover.</w:t>
      </w:r>
    </w:p>
    <w:p>
      <w:pPr>
        <w:pStyle w:val="Heading1"/>
      </w:pPr>
      <w:r>
        <w:t>3.10 UK regulatory route</w:t>
      </w:r>
    </w:p>
    <w:p>
      <w:r>
        <w:t>In England and Wales, a fishery, cropping-water or aquaponic system may need registration under aquatic animal-health rules; species, movements and biosecurity requirements must be confirmed with the competent authority. Planning, building control, abstraction, discharge, trade effluent, waste, food business registration, animal by-products and environmental permits can also apply. Scotland and Northern Ireland have distinct authorities and processes.</w:t>
      </w:r>
    </w:p>
    <w:tbl>
      <w:tblPr>
        <w:tblW w:type="auto" w:w="0"/>
        <w:jc w:val="center"/>
        <w:tblLayout w:type="fixed"/>
        <w:tblLook w:firstColumn="1" w:firstRow="1" w:lastColumn="0" w:lastRow="0" w:noHBand="0" w:noVBand="1" w:val="04A0"/>
      </w:tblPr>
      <w:tblGrid>
        <w:gridCol w:w="198"/>
        <w:gridCol w:w="9298"/>
      </w:tblGrid>
      <w:tr>
        <w:tc>
          <w:tcPr>
            <w:tcW w:type="dxa" w:w="4989"/>
            <w:shd w:fill="3B879E"/>
            <w:vAlign w:val="center"/>
            <w:tcMar>
              <w:top w:w="80" w:type="dxa"/>
              <w:start w:w="90" w:type="dxa"/>
              <w:bottom w:w="80" w:type="dxa"/>
              <w:end w:w="90" w:type="dxa"/>
            </w:tcMar>
          </w:tcPr>
          <w:p>
            <w:pPr>
              <w:spacing w:after="0"/>
            </w:pPr>
            <w:r/>
            <w:r>
              <w:rPr>
                <w:rFonts w:ascii="Arial" w:hAnsi="Arial"/>
                <w:b w:val="0"/>
                <w:color w:val="FFFFFF"/>
                <w:sz w:val="16"/>
              </w:rPr>
            </w:r>
          </w:p>
        </w:tc>
        <w:tc>
          <w:tcPr>
            <w:tcW w:type="dxa" w:w="4989"/>
            <w:shd w:fill="D9EEF5"/>
            <w:tcMar>
              <w:top w:w="120" w:type="dxa"/>
              <w:start w:w="160" w:type="dxa"/>
              <w:bottom w:w="120" w:type="dxa"/>
              <w:end w:w="160" w:type="dxa"/>
            </w:tcMar>
          </w:tcPr>
          <w:p>
            <w:r/>
            <w:r>
              <w:rPr>
                <w:b/>
                <w:color w:val="183128"/>
                <w:sz w:val="20"/>
              </w:rPr>
              <w:t>Register early</w:t>
              <w:br/>
            </w:r>
            <w:r>
              <w:rPr>
                <w:color w:val="56645D"/>
                <w:sz w:val="18"/>
              </w:rPr>
              <w:t>Do not purchase fish before confirming registration, species permissions, movement documentation, supplier status, welfare capacity and contingency disposal.</w:t>
            </w:r>
          </w:p>
        </w:tc>
      </w:tr>
    </w:tbl>
    <w:p>
      <w:pPr>
        <w:spacing w:after="0"/>
      </w:pPr>
    </w:p>
    <w:p>
      <w:r>
        <w:br w:type="page"/>
      </w:r>
    </w:p>
    <w:p>
      <w:pPr>
        <w:pStyle w:val="Heading1"/>
      </w:pPr>
      <w:r>
        <w:t>Implementation: 24-month national pilot</w:t>
      </w:r>
    </w:p>
    <w:tbl>
      <w:tblPr>
        <w:tblStyle w:val="TableGrid"/>
        <w:tblW w:type="auto" w:w="0"/>
        <w:jc w:val="center"/>
        <w:tblLayout w:type="fixed"/>
        <w:tblLook w:firstColumn="1" w:firstRow="1" w:lastColumn="0" w:lastRow="0" w:noHBand="0" w:noVBand="1" w:val="04A0"/>
      </w:tblPr>
      <w:tblGrid>
        <w:gridCol w:w="1474"/>
        <w:gridCol w:w="1247"/>
        <w:gridCol w:w="6690"/>
      </w:tblGrid>
      <w:tr>
        <w:trPr>
          <w:tblHeader w:val="true"/>
        </w:trPr>
        <w:tc>
          <w:tcPr>
            <w:tcW w:type="dxa" w:w="3326"/>
            <w:shd w:fill="15362A"/>
            <w:vAlign w:val="center"/>
            <w:tcMar>
              <w:top w:w="80" w:type="dxa"/>
              <w:start w:w="90" w:type="dxa"/>
              <w:bottom w:w="80" w:type="dxa"/>
              <w:end w:w="90" w:type="dxa"/>
            </w:tcMar>
          </w:tcPr>
          <w:p>
            <w:pPr>
              <w:spacing w:after="0"/>
            </w:pPr>
            <w:r/>
            <w:r>
              <w:rPr>
                <w:rFonts w:ascii="Arial" w:hAnsi="Arial"/>
                <w:b/>
                <w:color w:val="FFFFFF"/>
                <w:sz w:val="16"/>
              </w:rPr>
              <w:t>Stage</w:t>
            </w:r>
          </w:p>
        </w:tc>
        <w:tc>
          <w:tcPr>
            <w:tcW w:type="dxa" w:w="3326"/>
            <w:shd w:fill="15362A"/>
            <w:vAlign w:val="center"/>
            <w:tcMar>
              <w:top w:w="80" w:type="dxa"/>
              <w:start w:w="90" w:type="dxa"/>
              <w:bottom w:w="80" w:type="dxa"/>
              <w:end w:w="90" w:type="dxa"/>
            </w:tcMar>
          </w:tcPr>
          <w:p>
            <w:pPr>
              <w:spacing w:after="0"/>
            </w:pPr>
            <w:r/>
            <w:r>
              <w:rPr>
                <w:rFonts w:ascii="Arial" w:hAnsi="Arial"/>
                <w:b/>
                <w:color w:val="FFFFFF"/>
                <w:sz w:val="16"/>
              </w:rPr>
              <w:t>Months</w:t>
            </w:r>
          </w:p>
        </w:tc>
        <w:tc>
          <w:tcPr>
            <w:tcW w:type="dxa" w:w="3326"/>
            <w:shd w:fill="15362A"/>
            <w:vAlign w:val="center"/>
            <w:tcMar>
              <w:top w:w="80" w:type="dxa"/>
              <w:start w:w="90" w:type="dxa"/>
              <w:bottom w:w="80" w:type="dxa"/>
              <w:end w:w="90" w:type="dxa"/>
            </w:tcMar>
          </w:tcPr>
          <w:p>
            <w:pPr>
              <w:spacing w:after="0"/>
            </w:pPr>
            <w:r/>
            <w:r>
              <w:rPr>
                <w:rFonts w:ascii="Arial" w:hAnsi="Arial"/>
                <w:b/>
                <w:color w:val="FFFFFF"/>
                <w:sz w:val="16"/>
              </w:rPr>
              <w:t>Deliverables</w:t>
            </w:r>
          </w:p>
        </w:tc>
      </w:tr>
      <w:tr>
        <w:tc>
          <w:tcPr>
            <w:tcW w:type="dxa" w:w="1474"/>
            <w:vAlign w:val="center"/>
            <w:tcMar>
              <w:top w:w="80" w:type="dxa"/>
              <w:start w:w="90" w:type="dxa"/>
              <w:bottom w:w="80" w:type="dxa"/>
              <w:end w:w="90" w:type="dxa"/>
            </w:tcMar>
          </w:tcPr>
          <w:p>
            <w:pPr>
              <w:spacing w:after="0"/>
            </w:pPr>
            <w:r/>
            <w:r>
              <w:rPr>
                <w:rFonts w:ascii="Arial" w:hAnsi="Arial"/>
                <w:b/>
                <w:color w:val="183128"/>
                <w:sz w:val="16"/>
              </w:rPr>
              <w:t>Select</w:t>
            </w:r>
          </w:p>
        </w:tc>
        <w:tc>
          <w:tcPr>
            <w:tcW w:type="dxa" w:w="1247"/>
            <w:vAlign w:val="center"/>
            <w:tcMar>
              <w:top w:w="80" w:type="dxa"/>
              <w:start w:w="90" w:type="dxa"/>
              <w:bottom w:w="80" w:type="dxa"/>
              <w:end w:w="90" w:type="dxa"/>
            </w:tcMar>
          </w:tcPr>
          <w:p>
            <w:pPr>
              <w:spacing w:after="0"/>
            </w:pPr>
            <w:r/>
            <w:r>
              <w:rPr>
                <w:rFonts w:ascii="Arial" w:hAnsi="Arial"/>
                <w:b w:val="0"/>
                <w:color w:val="183128"/>
                <w:sz w:val="16"/>
              </w:rPr>
              <w:t>0–3</w:t>
            </w:r>
          </w:p>
        </w:tc>
        <w:tc>
          <w:tcPr>
            <w:tcW w:type="dxa" w:w="6690"/>
            <w:vAlign w:val="center"/>
            <w:tcMar>
              <w:top w:w="80" w:type="dxa"/>
              <w:start w:w="90" w:type="dxa"/>
              <w:bottom w:w="80" w:type="dxa"/>
              <w:end w:w="90" w:type="dxa"/>
            </w:tcMar>
          </w:tcPr>
          <w:p>
            <w:pPr>
              <w:spacing w:after="0"/>
            </w:pPr>
            <w:r/>
            <w:r>
              <w:rPr>
                <w:rFonts w:ascii="Arial" w:hAnsi="Arial"/>
                <w:b w:val="0"/>
                <w:color w:val="183128"/>
                <w:sz w:val="16"/>
              </w:rPr>
              <w:t>10–20 perennial farm sites across farm types; 1–3 difficult-land categories; one lead aquaponics site; baselines; partners; advisory panel.</w:t>
            </w:r>
          </w:p>
        </w:tc>
      </w:tr>
      <w:tr>
        <w:tc>
          <w:tcPr>
            <w:tcW w:type="dxa" w:w="1474"/>
            <w:shd w:fill="F1F3EF"/>
            <w:vAlign w:val="center"/>
            <w:tcMar>
              <w:top w:w="80" w:type="dxa"/>
              <w:start w:w="90" w:type="dxa"/>
              <w:bottom w:w="80" w:type="dxa"/>
              <w:end w:w="90" w:type="dxa"/>
            </w:tcMar>
          </w:tcPr>
          <w:p>
            <w:pPr>
              <w:spacing w:after="0"/>
            </w:pPr>
            <w:r/>
            <w:r>
              <w:rPr>
                <w:rFonts w:ascii="Arial" w:hAnsi="Arial"/>
                <w:b/>
                <w:color w:val="183128"/>
                <w:sz w:val="16"/>
              </w:rPr>
              <w:t>Design</w:t>
            </w:r>
          </w:p>
        </w:tc>
        <w:tc>
          <w:tcPr>
            <w:tcW w:type="dxa" w:w="1247"/>
            <w:shd w:fill="F1F3EF"/>
            <w:vAlign w:val="center"/>
            <w:tcMar>
              <w:top w:w="80" w:type="dxa"/>
              <w:start w:w="90" w:type="dxa"/>
              <w:bottom w:w="80" w:type="dxa"/>
              <w:end w:w="90" w:type="dxa"/>
            </w:tcMar>
          </w:tcPr>
          <w:p>
            <w:pPr>
              <w:spacing w:after="0"/>
            </w:pPr>
            <w:r/>
            <w:r>
              <w:rPr>
                <w:rFonts w:ascii="Arial" w:hAnsi="Arial"/>
                <w:b w:val="0"/>
                <w:color w:val="183128"/>
                <w:sz w:val="16"/>
              </w:rPr>
              <w:t>3–6</w:t>
            </w:r>
          </w:p>
        </w:tc>
        <w:tc>
          <w:tcPr>
            <w:tcW w:type="dxa" w:w="6690"/>
            <w:shd w:fill="F1F3EF"/>
            <w:vAlign w:val="center"/>
            <w:tcMar>
              <w:top w:w="80" w:type="dxa"/>
              <w:start w:w="90" w:type="dxa"/>
              <w:bottom w:w="80" w:type="dxa"/>
              <w:end w:w="90" w:type="dxa"/>
            </w:tcMar>
          </w:tcPr>
          <w:p>
            <w:pPr>
              <w:spacing w:after="0"/>
            </w:pPr>
            <w:r/>
            <w:r>
              <w:rPr>
                <w:rFonts w:ascii="Arial" w:hAnsi="Arial"/>
                <w:b w:val="0"/>
                <w:color w:val="183128"/>
                <w:sz w:val="16"/>
              </w:rPr>
              <w:t>Planting plans, water balances, hydraulic/process models, contamination and planning routes, HAZID/HAZOP, welfare/HACCP and procurement.</w:t>
            </w:r>
          </w:p>
        </w:tc>
      </w:tr>
      <w:tr>
        <w:tc>
          <w:tcPr>
            <w:tcW w:type="dxa" w:w="1474"/>
            <w:vAlign w:val="center"/>
            <w:tcMar>
              <w:top w:w="80" w:type="dxa"/>
              <w:start w:w="90" w:type="dxa"/>
              <w:bottom w:w="80" w:type="dxa"/>
              <w:end w:w="90" w:type="dxa"/>
            </w:tcMar>
          </w:tcPr>
          <w:p>
            <w:pPr>
              <w:spacing w:after="0"/>
            </w:pPr>
            <w:r/>
            <w:r>
              <w:rPr>
                <w:rFonts w:ascii="Arial" w:hAnsi="Arial"/>
                <w:b/>
                <w:color w:val="183128"/>
                <w:sz w:val="16"/>
              </w:rPr>
              <w:t>Build</w:t>
            </w:r>
          </w:p>
        </w:tc>
        <w:tc>
          <w:tcPr>
            <w:tcW w:type="dxa" w:w="1247"/>
            <w:vAlign w:val="center"/>
            <w:tcMar>
              <w:top w:w="80" w:type="dxa"/>
              <w:start w:w="90" w:type="dxa"/>
              <w:bottom w:w="80" w:type="dxa"/>
              <w:end w:w="90" w:type="dxa"/>
            </w:tcMar>
          </w:tcPr>
          <w:p>
            <w:pPr>
              <w:spacing w:after="0"/>
            </w:pPr>
            <w:r/>
            <w:r>
              <w:rPr>
                <w:rFonts w:ascii="Arial" w:hAnsi="Arial"/>
                <w:b w:val="0"/>
                <w:color w:val="183128"/>
                <w:sz w:val="16"/>
              </w:rPr>
              <w:t>6–12</w:t>
            </w:r>
          </w:p>
        </w:tc>
        <w:tc>
          <w:tcPr>
            <w:tcW w:type="dxa" w:w="6690"/>
            <w:vAlign w:val="center"/>
            <w:tcMar>
              <w:top w:w="80" w:type="dxa"/>
              <w:start w:w="90" w:type="dxa"/>
              <w:bottom w:w="80" w:type="dxa"/>
              <w:end w:w="90" w:type="dxa"/>
            </w:tcMar>
          </w:tcPr>
          <w:p>
            <w:pPr>
              <w:spacing w:after="0"/>
            </w:pPr>
            <w:r/>
            <w:r>
              <w:rPr>
                <w:rFonts w:ascii="Arial" w:hAnsi="Arial"/>
                <w:b w:val="0"/>
                <w:color w:val="183128"/>
                <w:sz w:val="16"/>
              </w:rPr>
              <w:t>First tree strips, herbs and storage; one instrumented Green Tent/aquaponics demonstrator; training and operating procedures.</w:t>
            </w:r>
          </w:p>
        </w:tc>
      </w:tr>
      <w:tr>
        <w:tc>
          <w:tcPr>
            <w:tcW w:type="dxa" w:w="1474"/>
            <w:shd w:fill="F1F3EF"/>
            <w:vAlign w:val="center"/>
            <w:tcMar>
              <w:top w:w="80" w:type="dxa"/>
              <w:start w:w="90" w:type="dxa"/>
              <w:bottom w:w="80" w:type="dxa"/>
              <w:end w:w="90" w:type="dxa"/>
            </w:tcMar>
          </w:tcPr>
          <w:p>
            <w:pPr>
              <w:spacing w:after="0"/>
            </w:pPr>
            <w:r/>
            <w:r>
              <w:rPr>
                <w:rFonts w:ascii="Arial" w:hAnsi="Arial"/>
                <w:b/>
                <w:color w:val="183128"/>
                <w:sz w:val="16"/>
              </w:rPr>
              <w:t>Prove</w:t>
            </w:r>
          </w:p>
        </w:tc>
        <w:tc>
          <w:tcPr>
            <w:tcW w:type="dxa" w:w="1247"/>
            <w:shd w:fill="F1F3EF"/>
            <w:vAlign w:val="center"/>
            <w:tcMar>
              <w:top w:w="80" w:type="dxa"/>
              <w:start w:w="90" w:type="dxa"/>
              <w:bottom w:w="80" w:type="dxa"/>
              <w:end w:w="90" w:type="dxa"/>
            </w:tcMar>
          </w:tcPr>
          <w:p>
            <w:pPr>
              <w:spacing w:after="0"/>
            </w:pPr>
            <w:r/>
            <w:r>
              <w:rPr>
                <w:rFonts w:ascii="Arial" w:hAnsi="Arial"/>
                <w:b w:val="0"/>
                <w:color w:val="183128"/>
                <w:sz w:val="16"/>
              </w:rPr>
              <w:t>12–24</w:t>
            </w:r>
          </w:p>
        </w:tc>
        <w:tc>
          <w:tcPr>
            <w:tcW w:type="dxa" w:w="6690"/>
            <w:shd w:fill="F1F3EF"/>
            <w:vAlign w:val="center"/>
            <w:tcMar>
              <w:top w:w="80" w:type="dxa"/>
              <w:start w:w="90" w:type="dxa"/>
              <w:bottom w:w="80" w:type="dxa"/>
              <w:end w:w="90" w:type="dxa"/>
            </w:tcMar>
          </w:tcPr>
          <w:p>
            <w:pPr>
              <w:spacing w:after="0"/>
            </w:pPr>
            <w:r/>
            <w:r>
              <w:rPr>
                <w:rFonts w:ascii="Arial" w:hAnsi="Arial"/>
                <w:b w:val="0"/>
                <w:color w:val="183128"/>
                <w:sz w:val="16"/>
              </w:rPr>
              <w:t>Open quarterly data, independent audit, farmer/operator interviews, incident/failure reporting and investability assessment.</w:t>
            </w:r>
          </w:p>
        </w:tc>
      </w:tr>
    </w:tbl>
    <w:p>
      <w:pPr>
        <w:spacing w:after="0"/>
      </w:pPr>
    </w:p>
    <w:p>
      <w:pPr>
        <w:pStyle w:val="Heading2"/>
      </w:pPr>
      <w:r>
        <w:t>Pilot measurement framework</w:t>
      </w:r>
    </w:p>
    <w:tbl>
      <w:tblPr>
        <w:tblStyle w:val="TableGrid"/>
        <w:tblW w:type="auto" w:w="0"/>
        <w:jc w:val="center"/>
        <w:tblLayout w:type="fixed"/>
        <w:tblLook w:firstColumn="1" w:firstRow="1" w:lastColumn="0" w:lastRow="0" w:noHBand="0" w:noVBand="1" w:val="04A0"/>
      </w:tblPr>
      <w:tblGrid>
        <w:gridCol w:w="2041"/>
        <w:gridCol w:w="7257"/>
      </w:tblGrid>
      <w:tr>
        <w:trPr>
          <w:tblHeader w:val="true"/>
        </w:trPr>
        <w:tc>
          <w:tcPr>
            <w:tcW w:type="dxa" w:w="4989"/>
            <w:shd w:fill="15362A"/>
            <w:vAlign w:val="center"/>
            <w:tcMar>
              <w:top w:w="80" w:type="dxa"/>
              <w:start w:w="90" w:type="dxa"/>
              <w:bottom w:w="80" w:type="dxa"/>
              <w:end w:w="90" w:type="dxa"/>
            </w:tcMar>
          </w:tcPr>
          <w:p>
            <w:pPr>
              <w:spacing w:after="0"/>
            </w:pPr>
            <w:r/>
            <w:r>
              <w:rPr>
                <w:rFonts w:ascii="Arial" w:hAnsi="Arial"/>
                <w:b/>
                <w:color w:val="FFFFFF"/>
                <w:sz w:val="16"/>
              </w:rPr>
              <w:t>Theme</w:t>
            </w:r>
          </w:p>
        </w:tc>
        <w:tc>
          <w:tcPr>
            <w:tcW w:type="dxa" w:w="4989"/>
            <w:shd w:fill="15362A"/>
            <w:vAlign w:val="center"/>
            <w:tcMar>
              <w:top w:w="80" w:type="dxa"/>
              <w:start w:w="90" w:type="dxa"/>
              <w:bottom w:w="80" w:type="dxa"/>
              <w:end w:w="90" w:type="dxa"/>
            </w:tcMar>
          </w:tcPr>
          <w:p>
            <w:pPr>
              <w:spacing w:after="0"/>
            </w:pPr>
            <w:r/>
            <w:r>
              <w:rPr>
                <w:rFonts w:ascii="Arial" w:hAnsi="Arial"/>
                <w:b/>
                <w:color w:val="FFFFFF"/>
                <w:sz w:val="16"/>
              </w:rPr>
              <w:t>Measures</w:t>
            </w:r>
          </w:p>
        </w:tc>
      </w:tr>
      <w:tr>
        <w:tc>
          <w:tcPr>
            <w:tcW w:type="dxa" w:w="2041"/>
            <w:vAlign w:val="center"/>
            <w:tcMar>
              <w:top w:w="80" w:type="dxa"/>
              <w:start w:w="90" w:type="dxa"/>
              <w:bottom w:w="80" w:type="dxa"/>
              <w:end w:w="90" w:type="dxa"/>
            </w:tcMar>
          </w:tcPr>
          <w:p>
            <w:pPr>
              <w:spacing w:after="0"/>
            </w:pPr>
            <w:r/>
            <w:r>
              <w:rPr>
                <w:rFonts w:ascii="Arial" w:hAnsi="Arial"/>
                <w:b/>
                <w:color w:val="183128"/>
                <w:sz w:val="16"/>
              </w:rPr>
              <w:t>Farm and food</w:t>
            </w:r>
          </w:p>
        </w:tc>
        <w:tc>
          <w:tcPr>
            <w:tcW w:type="dxa" w:w="7257"/>
            <w:vAlign w:val="center"/>
            <w:tcMar>
              <w:top w:w="80" w:type="dxa"/>
              <w:start w:w="90" w:type="dxa"/>
              <w:bottom w:w="80" w:type="dxa"/>
              <w:end w:w="90" w:type="dxa"/>
            </w:tcMar>
          </w:tcPr>
          <w:p>
            <w:pPr>
              <w:spacing w:after="0"/>
            </w:pPr>
            <w:r/>
            <w:r>
              <w:rPr>
                <w:rFonts w:ascii="Arial" w:hAnsi="Arial"/>
                <w:b w:val="0"/>
                <w:color w:val="183128"/>
                <w:sz w:val="16"/>
              </w:rPr>
              <w:t>Tree/shrub survival, canopy, flowering, kg/grade crop, labour, machinery disruption, margin, crop loss and market route.</w:t>
            </w:r>
          </w:p>
        </w:tc>
      </w:tr>
      <w:tr>
        <w:tc>
          <w:tcPr>
            <w:tcW w:type="dxa" w:w="2041"/>
            <w:shd w:fill="F1F3EF"/>
            <w:vAlign w:val="center"/>
            <w:tcMar>
              <w:top w:w="80" w:type="dxa"/>
              <w:start w:w="90" w:type="dxa"/>
              <w:bottom w:w="80" w:type="dxa"/>
              <w:end w:w="90" w:type="dxa"/>
            </w:tcMar>
          </w:tcPr>
          <w:p>
            <w:pPr>
              <w:spacing w:after="0"/>
            </w:pPr>
            <w:r/>
            <w:r>
              <w:rPr>
                <w:rFonts w:ascii="Arial" w:hAnsi="Arial"/>
                <w:b/>
                <w:color w:val="183128"/>
                <w:sz w:val="16"/>
              </w:rPr>
              <w:t>Water</w:t>
            </w:r>
          </w:p>
        </w:tc>
        <w:tc>
          <w:tcPr>
            <w:tcW w:type="dxa" w:w="7257"/>
            <w:shd w:fill="F1F3EF"/>
            <w:vAlign w:val="center"/>
            <w:tcMar>
              <w:top w:w="80" w:type="dxa"/>
              <w:start w:w="90" w:type="dxa"/>
              <w:bottom w:w="80" w:type="dxa"/>
              <w:end w:w="90" w:type="dxa"/>
            </w:tcMar>
          </w:tcPr>
          <w:p>
            <w:pPr>
              <w:spacing w:after="0"/>
            </w:pPr>
            <w:r/>
            <w:r>
              <w:rPr>
                <w:rFonts w:ascii="Arial" w:hAnsi="Arial"/>
                <w:b w:val="0"/>
                <w:color w:val="183128"/>
                <w:sz w:val="16"/>
              </w:rPr>
              <w:t>Demand baseline, storage/reuse/shared capacity, litres per output, leakage, condensate, quality, overflow and drought continuity.</w:t>
            </w:r>
          </w:p>
        </w:tc>
      </w:tr>
      <w:tr>
        <w:tc>
          <w:tcPr>
            <w:tcW w:type="dxa" w:w="2041"/>
            <w:vAlign w:val="center"/>
            <w:tcMar>
              <w:top w:w="80" w:type="dxa"/>
              <w:start w:w="90" w:type="dxa"/>
              <w:bottom w:w="80" w:type="dxa"/>
              <w:end w:w="90" w:type="dxa"/>
            </w:tcMar>
          </w:tcPr>
          <w:p>
            <w:pPr>
              <w:spacing w:after="0"/>
            </w:pPr>
            <w:r/>
            <w:r>
              <w:rPr>
                <w:rFonts w:ascii="Arial" w:hAnsi="Arial"/>
                <w:b/>
                <w:color w:val="183128"/>
                <w:sz w:val="16"/>
              </w:rPr>
              <w:t>Soil/microclimate</w:t>
            </w:r>
          </w:p>
        </w:tc>
        <w:tc>
          <w:tcPr>
            <w:tcW w:type="dxa" w:w="7257"/>
            <w:vAlign w:val="center"/>
            <w:tcMar>
              <w:top w:w="80" w:type="dxa"/>
              <w:start w:w="90" w:type="dxa"/>
              <w:bottom w:w="80" w:type="dxa"/>
              <w:end w:w="90" w:type="dxa"/>
            </w:tcMar>
          </w:tcPr>
          <w:p>
            <w:pPr>
              <w:spacing w:after="0"/>
            </w:pPr>
            <w:r/>
            <w:r>
              <w:rPr>
                <w:rFonts w:ascii="Arial" w:hAnsi="Arial"/>
                <w:b w:val="0"/>
                <w:color w:val="183128"/>
                <w:sz w:val="16"/>
              </w:rPr>
              <w:t>Surface/soil temperature shaded vs control, soil moisture/infiltration indicators, erosion/runoff and groundcover.</w:t>
            </w:r>
          </w:p>
        </w:tc>
      </w:tr>
      <w:tr>
        <w:tc>
          <w:tcPr>
            <w:tcW w:type="dxa" w:w="2041"/>
            <w:shd w:fill="F1F3EF"/>
            <w:vAlign w:val="center"/>
            <w:tcMar>
              <w:top w:w="80" w:type="dxa"/>
              <w:start w:w="90" w:type="dxa"/>
              <w:bottom w:w="80" w:type="dxa"/>
              <w:end w:w="90" w:type="dxa"/>
            </w:tcMar>
          </w:tcPr>
          <w:p>
            <w:pPr>
              <w:spacing w:after="0"/>
            </w:pPr>
            <w:r/>
            <w:r>
              <w:rPr>
                <w:rFonts w:ascii="Arial" w:hAnsi="Arial"/>
                <w:b/>
                <w:color w:val="183128"/>
                <w:sz w:val="16"/>
              </w:rPr>
              <w:t>Biodiversity/IPM</w:t>
            </w:r>
          </w:p>
        </w:tc>
        <w:tc>
          <w:tcPr>
            <w:tcW w:type="dxa" w:w="7257"/>
            <w:shd w:fill="F1F3EF"/>
            <w:vAlign w:val="center"/>
            <w:tcMar>
              <w:top w:w="80" w:type="dxa"/>
              <w:start w:w="90" w:type="dxa"/>
              <w:bottom w:w="80" w:type="dxa"/>
              <w:end w:w="90" w:type="dxa"/>
            </w:tcMar>
          </w:tcPr>
          <w:p>
            <w:pPr>
              <w:spacing w:after="0"/>
            </w:pPr>
            <w:r/>
            <w:r>
              <w:rPr>
                <w:rFonts w:ascii="Arial" w:hAnsi="Arial"/>
                <w:b w:val="0"/>
                <w:color w:val="183128"/>
                <w:sz w:val="16"/>
              </w:rPr>
              <w:t>Flowering continuity, pollinator observations, pesticide load/use, pest pressure and non-chemical intervention.</w:t>
            </w:r>
          </w:p>
        </w:tc>
      </w:tr>
      <w:tr>
        <w:tc>
          <w:tcPr>
            <w:tcW w:type="dxa" w:w="2041"/>
            <w:vAlign w:val="center"/>
            <w:tcMar>
              <w:top w:w="80" w:type="dxa"/>
              <w:start w:w="90" w:type="dxa"/>
              <w:bottom w:w="80" w:type="dxa"/>
              <w:end w:w="90" w:type="dxa"/>
            </w:tcMar>
          </w:tcPr>
          <w:p>
            <w:pPr>
              <w:spacing w:after="0"/>
            </w:pPr>
            <w:r/>
            <w:r>
              <w:rPr>
                <w:rFonts w:ascii="Arial" w:hAnsi="Arial"/>
                <w:b/>
                <w:color w:val="183128"/>
                <w:sz w:val="16"/>
              </w:rPr>
              <w:t>Aquaponics/welfare</w:t>
            </w:r>
          </w:p>
        </w:tc>
        <w:tc>
          <w:tcPr>
            <w:tcW w:type="dxa" w:w="7257"/>
            <w:vAlign w:val="center"/>
            <w:tcMar>
              <w:top w:w="80" w:type="dxa"/>
              <w:start w:w="90" w:type="dxa"/>
              <w:bottom w:w="80" w:type="dxa"/>
              <w:end w:w="90" w:type="dxa"/>
            </w:tcMar>
          </w:tcPr>
          <w:p>
            <w:pPr>
              <w:spacing w:after="0"/>
            </w:pPr>
            <w:r/>
            <w:r>
              <w:rPr>
                <w:rFonts w:ascii="Arial" w:hAnsi="Arial"/>
                <w:b w:val="0"/>
                <w:color w:val="183128"/>
                <w:sz w:val="16"/>
              </w:rPr>
              <w:t>Feed, biomass, mortality, oxygen, ammonia/nitrite excursions, water exchange, supplement use, uptime and alarms.</w:t>
            </w:r>
          </w:p>
        </w:tc>
      </w:tr>
      <w:tr>
        <w:tc>
          <w:tcPr>
            <w:tcW w:type="dxa" w:w="2041"/>
            <w:shd w:fill="F1F3EF"/>
            <w:vAlign w:val="center"/>
            <w:tcMar>
              <w:top w:w="80" w:type="dxa"/>
              <w:start w:w="90" w:type="dxa"/>
              <w:bottom w:w="80" w:type="dxa"/>
              <w:end w:w="90" w:type="dxa"/>
            </w:tcMar>
          </w:tcPr>
          <w:p>
            <w:pPr>
              <w:spacing w:after="0"/>
            </w:pPr>
            <w:r/>
            <w:r>
              <w:rPr>
                <w:rFonts w:ascii="Arial" w:hAnsi="Arial"/>
                <w:b/>
                <w:color w:val="183128"/>
                <w:sz w:val="16"/>
              </w:rPr>
              <w:t>Energy/carbon</w:t>
            </w:r>
          </w:p>
        </w:tc>
        <w:tc>
          <w:tcPr>
            <w:tcW w:type="dxa" w:w="7257"/>
            <w:shd w:fill="F1F3EF"/>
            <w:vAlign w:val="center"/>
            <w:tcMar>
              <w:top w:w="80" w:type="dxa"/>
              <w:start w:w="90" w:type="dxa"/>
              <w:bottom w:w="80" w:type="dxa"/>
              <w:end w:w="90" w:type="dxa"/>
            </w:tcMar>
          </w:tcPr>
          <w:p>
            <w:pPr>
              <w:spacing w:after="0"/>
            </w:pPr>
            <w:r/>
            <w:r>
              <w:rPr>
                <w:rFonts w:ascii="Arial" w:hAnsi="Arial"/>
                <w:b w:val="0"/>
                <w:color w:val="183128"/>
                <w:sz w:val="16"/>
              </w:rPr>
              <w:t>Electricity, useful heat, thermal-store losses, any recovered power, hydrogen in/out, carbon source/fate and whole-system emissions.</w:t>
            </w:r>
          </w:p>
        </w:tc>
      </w:tr>
      <w:tr>
        <w:tc>
          <w:tcPr>
            <w:tcW w:type="dxa" w:w="2041"/>
            <w:vAlign w:val="center"/>
            <w:tcMar>
              <w:top w:w="80" w:type="dxa"/>
              <w:start w:w="90" w:type="dxa"/>
              <w:bottom w:w="80" w:type="dxa"/>
              <w:end w:w="90" w:type="dxa"/>
            </w:tcMar>
          </w:tcPr>
          <w:p>
            <w:pPr>
              <w:spacing w:after="0"/>
            </w:pPr>
            <w:r/>
            <w:r>
              <w:rPr>
                <w:rFonts w:ascii="Arial" w:hAnsi="Arial"/>
                <w:b/>
                <w:color w:val="183128"/>
                <w:sz w:val="16"/>
              </w:rPr>
              <w:t>Social/governance</w:t>
            </w:r>
          </w:p>
        </w:tc>
        <w:tc>
          <w:tcPr>
            <w:tcW w:type="dxa" w:w="7257"/>
            <w:vAlign w:val="center"/>
            <w:tcMar>
              <w:top w:w="80" w:type="dxa"/>
              <w:start w:w="90" w:type="dxa"/>
              <w:bottom w:w="80" w:type="dxa"/>
              <w:end w:w="90" w:type="dxa"/>
            </w:tcMar>
          </w:tcPr>
          <w:p>
            <w:pPr>
              <w:spacing w:after="0"/>
            </w:pPr>
            <w:r/>
            <w:r>
              <w:rPr>
                <w:rFonts w:ascii="Arial" w:hAnsi="Arial"/>
                <w:b w:val="0"/>
                <w:color w:val="183128"/>
                <w:sz w:val="16"/>
              </w:rPr>
              <w:t>Steward terms, paid hours, training, incidents, community benefit and farmer/operator confidence.</w:t>
            </w:r>
          </w:p>
        </w:tc>
      </w:tr>
      <w:tr>
        <w:tc>
          <w:tcPr>
            <w:tcW w:type="dxa" w:w="2041"/>
            <w:shd w:fill="F1F3EF"/>
            <w:vAlign w:val="center"/>
            <w:tcMar>
              <w:top w:w="80" w:type="dxa"/>
              <w:start w:w="90" w:type="dxa"/>
              <w:bottom w:w="80" w:type="dxa"/>
              <w:end w:w="90" w:type="dxa"/>
            </w:tcMar>
          </w:tcPr>
          <w:p>
            <w:pPr>
              <w:spacing w:after="0"/>
            </w:pPr>
            <w:r/>
            <w:r>
              <w:rPr>
                <w:rFonts w:ascii="Arial" w:hAnsi="Arial"/>
                <w:b/>
                <w:color w:val="183128"/>
                <w:sz w:val="16"/>
              </w:rPr>
              <w:t>Finance</w:t>
            </w:r>
          </w:p>
        </w:tc>
        <w:tc>
          <w:tcPr>
            <w:tcW w:type="dxa" w:w="7257"/>
            <w:shd w:fill="F1F3EF"/>
            <w:vAlign w:val="center"/>
            <w:tcMar>
              <w:top w:w="80" w:type="dxa"/>
              <w:start w:w="90" w:type="dxa"/>
              <w:bottom w:w="80" w:type="dxa"/>
              <w:end w:w="90" w:type="dxa"/>
            </w:tcMar>
          </w:tcPr>
          <w:p>
            <w:pPr>
              <w:spacing w:after="0"/>
            </w:pPr>
            <w:r/>
            <w:r>
              <w:rPr>
                <w:rFonts w:ascii="Arial" w:hAnsi="Arial"/>
                <w:b w:val="0"/>
                <w:color w:val="183128"/>
                <w:sz w:val="16"/>
              </w:rPr>
              <w:t>Capex, opex, replacement reserve, revenue by product/service, grants, downtime and sensitivity to energy/feed/water prices.</w:t>
            </w:r>
          </w:p>
        </w:tc>
      </w:tr>
    </w:tbl>
    <w:p>
      <w:pPr>
        <w:spacing w:after="0"/>
      </w:pPr>
    </w:p>
    <w:p>
      <w:pPr>
        <w:pStyle w:val="Heading1"/>
      </w:pPr>
      <w:r>
        <w:t>Decision asks</w:t>
      </w:r>
    </w:p>
    <w:p>
      <w:pPr>
        <w:pStyle w:val="ListBullet"/>
      </w:pPr>
      <w:r>
        <w:t>Protect and map existing perennial assets immediately.</w:t>
      </w:r>
    </w:p>
    <w:p>
      <w:pPr>
        <w:pStyle w:val="ListBullet"/>
      </w:pPr>
      <w:r>
        <w:t>Fund bearing-age perennial strips and the full two-year aftercare budget this planting season.</w:t>
      </w:r>
    </w:p>
    <w:p>
      <w:pPr>
        <w:pStyle w:val="ListBullet"/>
      </w:pPr>
      <w:r>
        <w:t>Develop a universal, phased annual-equivalent business water-resilience standard with multiple compliance routes.</w:t>
      </w:r>
    </w:p>
    <w:p>
      <w:pPr>
        <w:pStyle w:val="ListBullet"/>
      </w:pPr>
      <w:r>
        <w:t>Commission one independently reviewed Green Tent and aquaponics demonstrator with strict loop separation.</w:t>
      </w:r>
    </w:p>
    <w:p>
      <w:pPr>
        <w:pStyle w:val="ListBullet"/>
      </w:pPr>
      <w:r>
        <w:t>Create a farmer–engineer–water–fish-welfare–food-safety working group.</w:t>
      </w:r>
    </w:p>
    <w:p>
      <w:pPr>
        <w:pStyle w:val="ListBullet"/>
      </w:pPr>
      <w:r>
        <w:t>Publish two years of open technical, welfare, failure and financial data before scaling.</w:t>
      </w:r>
    </w:p>
    <w:p>
      <w:r>
        <w:br w:type="page"/>
      </w:r>
    </w:p>
    <w:p>
      <w:pPr>
        <w:pStyle w:val="Heading1"/>
      </w:pPr>
      <w:r>
        <w:t>References and current policy links</w:t>
      </w:r>
    </w:p>
    <w:p>
      <w:pPr>
        <w:pStyle w:val="Smallnote"/>
      </w:pPr>
      <w:r>
        <w:t xml:space="preserve">1. Environment Agency — National Framework 2025: 2055 deficit — </w:t>
      </w:r>
      <w:hyperlink r:id="rId15">
        <w:r>
          <w:rPr>
            <w:color w:val="3B879E"/>
            <w:u w:val="single"/>
          </w:rPr>
          <w:t>https://www.gov.uk/government/publications/national-framework-for-water-resources-2025-water-for-growth-nature-and-a-resilient-future/3-how-much-additional-water-we-need-national-framework-for-water-resources-2025</w:t>
        </w:r>
      </w:hyperlink>
    </w:p>
    <w:p>
      <w:pPr>
        <w:pStyle w:val="Smallnote"/>
      </w:pPr>
      <w:r>
        <w:t xml:space="preserve">2. Environment Agency — water shortage news summary — </w:t>
      </w:r>
      <w:hyperlink r:id="rId16">
        <w:r>
          <w:rPr>
            <w:color w:val="3B879E"/>
            <w:u w:val="single"/>
          </w:rPr>
          <w:t>https://www.gov.uk/government/news/england-faces-5-billion-litre-public-water-shortage-by-2055-without-urgent-action</w:t>
        </w:r>
      </w:hyperlink>
    </w:p>
    <w:p>
      <w:pPr>
        <w:pStyle w:val="Smallnote"/>
      </w:pPr>
      <w:r>
        <w:t xml:space="preserve">3. Environment Agency — significant water-using sectors — </w:t>
      </w:r>
      <w:hyperlink r:id="rId17">
        <w:r>
          <w:rPr>
            <w:color w:val="3B879E"/>
            <w:u w:val="single"/>
          </w:rPr>
          <w:t>https://www.gov.uk/government/publications/national-framework-for-water-resources-2025-water-for-growth-nature-and-a-resilient-future/9-taking-action-on-other-significant-water-using-sectors-and-emerging-demands-national-framework-for-water-resources-2025</w:t>
        </w:r>
      </w:hyperlink>
    </w:p>
    <w:p>
      <w:pPr>
        <w:pStyle w:val="Smallnote"/>
      </w:pPr>
      <w:r>
        <w:t xml:space="preserve">4. Forest Research — increasing tree cover on cereal farms — </w:t>
      </w:r>
      <w:hyperlink r:id="rId18">
        <w:r>
          <w:rPr>
            <w:color w:val="3B879E"/>
            <w:u w:val="single"/>
          </w:rPr>
          <w:t>https://cdn.forestresearch.gov.uk/2024/12/Research-Report_Increasing-tree-cover-on-cereal-farms-in-England_final.pdf</w:t>
        </w:r>
      </w:hyperlink>
    </w:p>
    <w:p>
      <w:pPr>
        <w:pStyle w:val="Smallnote"/>
      </w:pPr>
      <w:r>
        <w:t xml:space="preserve">5. GOV.UK — how trees can benefit farms — </w:t>
      </w:r>
      <w:hyperlink r:id="rId19">
        <w:r>
          <w:rPr>
            <w:color w:val="3B879E"/>
            <w:u w:val="single"/>
          </w:rPr>
          <w:t>https://www.gov.uk/government/publications/grow-your-farm-business-how-trees-can-benefit-your-land-crops-and-livestock/grow-your-farm-business-how-trees-can-benefit-your-land-crops-and-livestock</w:t>
        </w:r>
      </w:hyperlink>
    </w:p>
    <w:p>
      <w:pPr>
        <w:pStyle w:val="Smallnote"/>
      </w:pPr>
      <w:r>
        <w:t xml:space="preserve">6. GOV.UK — agroforestry funding and grants — </w:t>
      </w:r>
      <w:hyperlink r:id="rId20">
        <w:r>
          <w:rPr>
            <w:color w:val="3B879E"/>
            <w:u w:val="single"/>
          </w:rPr>
          <w:t>https://www.gov.uk/government/publications/funding-and-grants-for-agroforestry/funding-and-grants-for-agroforestry</w:t>
        </w:r>
      </w:hyperlink>
    </w:p>
    <w:p>
      <w:pPr>
        <w:pStyle w:val="Smallnote"/>
      </w:pPr>
      <w:r>
        <w:t xml:space="preserve">7. GOV.UK — AF2 plant an agroforestry fruit tree — </w:t>
      </w:r>
      <w:hyperlink r:id="rId21">
        <w:r>
          <w:rPr>
            <w:color w:val="3B879E"/>
            <w:u w:val="single"/>
          </w:rPr>
          <w:t>https://www.gov.uk/countryside-stewardship-grants/af2-plant-an-agroforestry-fruit-tree</w:t>
        </w:r>
      </w:hyperlink>
    </w:p>
    <w:p>
      <w:pPr>
        <w:pStyle w:val="Smallnote"/>
      </w:pPr>
      <w:r>
        <w:t xml:space="preserve">8. GOV.UK — TE4 supply and plant tree — </w:t>
      </w:r>
      <w:hyperlink r:id="rId22">
        <w:r>
          <w:rPr>
            <w:color w:val="3B879E"/>
            <w:u w:val="single"/>
          </w:rPr>
          <w:t>https://www.gov.uk/countryside-stewardship-grants/supply-and-plant-tree-te4</w:t>
        </w:r>
      </w:hyperlink>
    </w:p>
    <w:p>
      <w:pPr>
        <w:pStyle w:val="Smallnote"/>
      </w:pPr>
      <w:r>
        <w:t xml:space="preserve">9. Forest Research — mulch evidence review — </w:t>
      </w:r>
      <w:hyperlink r:id="rId23">
        <w:r>
          <w:rPr>
            <w:color w:val="3B879E"/>
            <w:u w:val="single"/>
          </w:rPr>
          <w:t>https://cdn.forestresearch.gov.uk/2022/02/stokes_2012_qjf_mulches_zdklgwc.pdf</w:t>
        </w:r>
      </w:hyperlink>
    </w:p>
    <w:p>
      <w:pPr>
        <w:pStyle w:val="Smallnote"/>
      </w:pPr>
      <w:r>
        <w:t xml:space="preserve">10. UK Pesticides National Action Plan 2025 — </w:t>
      </w:r>
      <w:hyperlink r:id="rId24">
        <w:r>
          <w:rPr>
            <w:color w:val="3B879E"/>
            <w:u w:val="single"/>
          </w:rPr>
          <w:t>https://www.gov.uk/government/publications/uk-pesticides-national-action-plan-2025/uk-pesticides-national-action-plan-2025-working-for-a-more-sustainable-future</w:t>
        </w:r>
      </w:hyperlink>
    </w:p>
    <w:p>
      <w:pPr>
        <w:pStyle w:val="Smallnote"/>
      </w:pPr>
      <w:r>
        <w:t xml:space="preserve">11. RHS — choosing fruit trees — </w:t>
      </w:r>
      <w:hyperlink r:id="rId25">
        <w:r>
          <w:rPr>
            <w:color w:val="3B879E"/>
            <w:u w:val="single"/>
          </w:rPr>
          <w:t>https://www.rhs.org.uk/fruit/fruit-trees/choosing-the-best</w:t>
        </w:r>
      </w:hyperlink>
    </w:p>
    <w:p>
      <w:pPr>
        <w:pStyle w:val="Smallnote"/>
      </w:pPr>
      <w:r>
        <w:t xml:space="preserve">12. RHS — carob hardiness and description — </w:t>
      </w:r>
      <w:hyperlink r:id="rId26">
        <w:r>
          <w:rPr>
            <w:color w:val="3B879E"/>
            <w:u w:val="single"/>
          </w:rPr>
          <w:t>https://www.rhs.org.uk/plants/3403/ceratonia-siliqua/details</w:t>
        </w:r>
      </w:hyperlink>
    </w:p>
    <w:p>
      <w:pPr>
        <w:pStyle w:val="Smallnote"/>
      </w:pPr>
      <w:r>
        <w:t xml:space="preserve">13. FAO — Small-scale aquaponic food production — </w:t>
      </w:r>
      <w:hyperlink r:id="rId27">
        <w:r>
          <w:rPr>
            <w:color w:val="3B879E"/>
            <w:u w:val="single"/>
          </w:rPr>
          <w:t>https://openknowledge.fao.org/handle/20.500.14283/i4021e</w:t>
        </w:r>
      </w:hyperlink>
    </w:p>
    <w:p>
      <w:pPr>
        <w:pStyle w:val="Smallnote"/>
      </w:pPr>
      <w:r>
        <w:t xml:space="preserve">14. GOV.UK — register a fishery/cropping water/aquaponic system — </w:t>
      </w:r>
      <w:hyperlink r:id="rId28">
        <w:r>
          <w:rPr>
            <w:color w:val="3B879E"/>
            <w:u w:val="single"/>
          </w:rPr>
          <w:t>https://www.gov.uk/guidance/register-a-fishery-cropping-water-or-aquaponic-system</w:t>
        </w:r>
      </w:hyperlink>
    </w:p>
    <w:p>
      <w:pPr>
        <w:pStyle w:val="Smallnote"/>
      </w:pPr>
      <w:r>
        <w:t xml:space="preserve">15. US DOE — hydrogen production by electrolysis — </w:t>
      </w:r>
      <w:hyperlink r:id="rId29">
        <w:r>
          <w:rPr>
            <w:color w:val="3B879E"/>
            <w:u w:val="single"/>
          </w:rPr>
          <w:t>https://www.energy.gov/cmei/fuels/hydrogen-production-electrolysis</w:t>
        </w:r>
      </w:hyperlink>
    </w:p>
    <w:p>
      <w:pPr>
        <w:pStyle w:val="Smallnote"/>
      </w:pPr>
      <w:r>
        <w:t xml:space="preserve">16. IEA — hydrogen opportunity and conversion losses — </w:t>
      </w:r>
      <w:hyperlink r:id="rId30">
        <w:r>
          <w:rPr>
            <w:color w:val="3B879E"/>
            <w:u w:val="single"/>
          </w:rPr>
          <w:t>https://www.iea.org/reports/unlocking-ukraines-hydrogen-opportunity-a-roadmap/unlocking-the-opportunity-a-roadmap-for-action</w:t>
        </w:r>
      </w:hyperlink>
    </w:p>
    <w:p>
      <w:pPr>
        <w:pStyle w:val="Smallnote"/>
      </w:pPr>
      <w:r>
        <w:t xml:space="preserve">17. US Hydrogen Programme — accumulation/flammability review — </w:t>
      </w:r>
      <w:hyperlink r:id="rId31">
        <w:r>
          <w:rPr>
            <w:color w:val="3B879E"/>
            <w:u w:val="single"/>
          </w:rPr>
          <w:t>https://www.hydrogen.energy.gov/docs/hydrogenprogramlibraries/pdfs/review05/pdp_39_pile.pdf</w:t>
        </w:r>
      </w:hyperlink>
    </w:p>
    <w:p>
      <w:pPr>
        <w:pStyle w:val="Smallnote"/>
      </w:pPr>
      <w:r>
        <w:t xml:space="preserve">18. Sandia — thermal energy storage — </w:t>
      </w:r>
      <w:hyperlink r:id="rId32">
        <w:r>
          <w:rPr>
            <w:color w:val="3B879E"/>
            <w:u w:val="single"/>
          </w:rPr>
          <w:t>https://energy.sandia.gov/programs/renewable-energy/concentrating-solar-thermal-technologies/thermal-energy-storage-tes/</w:t>
        </w:r>
      </w:hyperlink>
    </w:p>
    <w:p>
      <w:pPr>
        <w:pStyle w:val="Smallnote"/>
      </w:pPr>
      <w:r>
        <w:t xml:space="preserve">19. Review — organic Rankine cycle waste-heat recovery — </w:t>
      </w:r>
      <w:hyperlink r:id="rId33">
        <w:r>
          <w:rPr>
            <w:color w:val="3B879E"/>
            <w:u w:val="single"/>
          </w:rPr>
          <w:t>https://pmc.ncbi.nlm.nih.gov/articles/PMC11625998/</w:t>
        </w:r>
      </w:hyperlink>
    </w:p>
    <w:p>
      <w:pPr>
        <w:pStyle w:val="Smallnote"/>
      </w:pPr>
      <w:r>
        <w:t xml:space="preserve">20. Greenhouse dehumidification and latent-heat recovery study — </w:t>
      </w:r>
      <w:hyperlink r:id="rId34">
        <w:r>
          <w:rPr>
            <w:color w:val="3B879E"/>
            <w:u w:val="single"/>
          </w:rPr>
          <w:t>https://www.sciencedirect.com/science/article/abs/pii/S153751101500183X</w:t>
        </w:r>
      </w:hyperlink>
    </w:p>
    <w:p>
      <w:pPr>
        <w:pStyle w:val="Smallnote"/>
      </w:pPr>
      <w:r>
        <w:t xml:space="preserve">21. UK greenhouse-gas-removal innovation projects — </w:t>
      </w:r>
      <w:hyperlink r:id="rId35">
        <w:r>
          <w:rPr>
            <w:color w:val="3B879E"/>
            <w:u w:val="single"/>
          </w:rPr>
          <w:t>https://www.gov.uk/government/publications/direct-air-capture-and-greenhouse-gas-removal-innovation-programme-selected-projects/direct-air-capture-and-greenhouse-gas-removal-innovation-programme-phase-2-projects</w:t>
        </w:r>
      </w:hyperlink>
    </w:p>
    <w:p>
      <w:pPr>
        <w:pStyle w:val="Smallnote"/>
      </w:pPr>
      <w:r>
        <w:t xml:space="preserve">22. Review — microalgae CO₂ capture — </w:t>
      </w:r>
      <w:hyperlink r:id="rId36">
        <w:r>
          <w:rPr>
            <w:color w:val="3B879E"/>
            <w:u w:val="single"/>
          </w:rPr>
          <w:t>https://pmc.ncbi.nlm.nih.gov/articles/PMC11368733/</w:t>
        </w:r>
      </w:hyperlink>
    </w:p>
    <w:p>
      <w:pPr>
        <w:pStyle w:val="Smallnote"/>
      </w:pPr>
      <w:r>
        <w:t xml:space="preserve">23. Study — aquaculture wastewater for date-palm irrigation — </w:t>
      </w:r>
      <w:hyperlink r:id="rId37">
        <w:r>
          <w:rPr>
            <w:color w:val="3B879E"/>
            <w:u w:val="single"/>
          </w:rPr>
          <w:t>https://pmc.ncbi.nlm.nih.gov/articles/PMC11317483/</w:t>
        </w:r>
      </w:hyperlink>
    </w:p>
    <w:p>
      <w:pPr>
        <w:pStyle w:val="Smallnote"/>
      </w:pPr>
      <w:r>
        <w:t xml:space="preserve">24. Wales Sustainable Farming Scheme 2026 — </w:t>
      </w:r>
      <w:hyperlink r:id="rId38">
        <w:r>
          <w:rPr>
            <w:color w:val="3B879E"/>
            <w:u w:val="single"/>
          </w:rPr>
          <w:t>https://www.gov.wales/sustainable-farming-scheme-2026-scheme-description-html</w:t>
        </w:r>
      </w:hyperlink>
    </w:p>
    <w:p>
      <w:pPr>
        <w:pStyle w:val="Smallnote"/>
      </w:pPr>
      <w:r>
        <w:t xml:space="preserve">25. Scottish Forestry — agroforestry grant — </w:t>
      </w:r>
      <w:hyperlink r:id="rId39">
        <w:r>
          <w:rPr>
            <w:color w:val="3B879E"/>
            <w:u w:val="single"/>
          </w:rPr>
          <w:t>https://www.forestry.gov.scot/agroforestry-grant</w:t>
        </w:r>
      </w:hyperlink>
    </w:p>
    <w:p>
      <w:pPr>
        <w:pStyle w:val="Smallnote"/>
      </w:pPr>
      <w:r>
        <w:t xml:space="preserve">26. DAERA — Farming with Nature Transition Scheme — </w:t>
      </w:r>
      <w:hyperlink r:id="rId40">
        <w:r>
          <w:rPr>
            <w:color w:val="3B879E"/>
            <w:u w:val="single"/>
          </w:rPr>
          <w:t>https://www.daera-ni.gov.uk/articles/what-farming-nature-transition-scheme-fwnt</w:t>
        </w:r>
      </w:hyperlink>
    </w:p>
    <w:p>
      <w:pPr>
        <w:pStyle w:val="Smallnote"/>
      </w:pPr>
      <w:r>
        <w:t>Accessed 19 August 2026. Scheme details, grant rates and regulatory pages can change; verify at application/design date.</w:t>
      </w:r>
    </w:p>
    <w:sectPr w:rsidR="00FC693F" w:rsidRPr="0006063C" w:rsidSect="00034616">
      <w:headerReference w:type="default" r:id="rId9"/>
      <w:footerReference w:type="default" r:id="rId10"/>
      <w:pgSz w:w="11906" w:h="16838"/>
      <w:pgMar w:top="850" w:right="964" w:bottom="850"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note"/>
      <w:jc w:val="right"/>
    </w:pPr>
    <w:r>
      <w:t>Evidence-led proposal • engineering details require qualified design review</w:t>
    </w:r>
    <w:r>
      <w:fldSimple w:instr="PAGE"/>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note"/>
    </w:pPr>
    <w:r>
      <w:t>THE PERENNIAL RESILIENCE PLAN  •  UK DECISION DRAFT  •  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rial" w:hAnsi="Arial"/>
      <w:color w:val="183128"/>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Arial" w:hAnsi="Arial"/>
      <w:b/>
      <w:bCs/>
      <w:color w:val="15362A"/>
      <w:sz w:val="46"/>
      <w:szCs w:val="28"/>
    </w:rPr>
  </w:style>
  <w:style w:type="paragraph" w:styleId="Heading2">
    <w:name w:val="heading 2"/>
    <w:basedOn w:val="Normal"/>
    <w:next w:val="Normal"/>
    <w:link w:val="Heading2Char"/>
    <w:uiPriority w:val="9"/>
    <w:unhideWhenUsed/>
    <w:qFormat/>
    <w:rsid w:val="00FC693F"/>
    <w:pPr>
      <w:keepNext/>
      <w:keepLines/>
      <w:spacing w:before="100" w:after="50"/>
      <w:outlineLvl w:val="1"/>
    </w:pPr>
    <w:rPr>
      <w:rFonts w:asciiTheme="majorHAnsi" w:eastAsiaTheme="majorEastAsia" w:hAnsiTheme="majorHAnsi" w:cstheme="majorBidi" w:ascii="Arial" w:hAnsi="Arial"/>
      <w:b/>
      <w:bCs/>
      <w:color w:val="1F6B4F"/>
      <w:sz w:val="30"/>
      <w:szCs w:val="26"/>
    </w:rPr>
  </w:style>
  <w:style w:type="paragraph" w:styleId="Heading3">
    <w:name w:val="heading 3"/>
    <w:basedOn w:val="Normal"/>
    <w:next w:val="Normal"/>
    <w:link w:val="Heading3Char"/>
    <w:uiPriority w:val="9"/>
    <w:unhideWhenUsed/>
    <w:qFormat/>
    <w:rsid w:val="00FC693F"/>
    <w:pPr>
      <w:keepNext/>
      <w:keepLines/>
      <w:spacing w:before="60" w:after="30"/>
      <w:outlineLvl w:val="2"/>
    </w:pPr>
    <w:rPr>
      <w:rFonts w:asciiTheme="majorHAnsi" w:eastAsiaTheme="majorEastAsia" w:hAnsiTheme="majorHAnsi" w:cstheme="majorBidi" w:ascii="Arial" w:hAnsi="Arial"/>
      <w:b/>
      <w:bCs/>
      <w:color w:val="3B879E"/>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00" w:line="240" w:lineRule="auto" w:before="200"/>
      <w:contextualSpacing/>
    </w:pPr>
    <w:rPr>
      <w:rFonts w:asciiTheme="majorHAnsi" w:eastAsiaTheme="majorEastAsia" w:hAnsiTheme="majorHAnsi" w:cstheme="majorBidi" w:ascii="Arial" w:hAnsi="Arial"/>
      <w:b/>
      <w:color w:val="15362A"/>
      <w:spacing w:val="5"/>
      <w:kern w:val="28"/>
      <w:sz w:val="7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contextualSpacing/>
    </w:pPr>
    <w:rPr>
      <w:rFonts w:ascii="Arial" w:hAnsi="Arial"/>
      <w:sz w:val="18"/>
    </w:rPr>
  </w:style>
  <w:style w:type="paragraph" w:styleId="ListBullet2">
    <w:name w:val="List Bullet 2"/>
    <w:basedOn w:val="Normal"/>
    <w:uiPriority w:val="99"/>
    <w:unhideWhenUsed/>
    <w:rsid w:val="00326F90"/>
    <w:pPr>
      <w:numPr>
        <w:numId w:val="2"/>
      </w:numPr>
      <w:spacing w:after="40"/>
      <w:contextualSpacing/>
    </w:pPr>
    <w:rPr>
      <w:rFonts w:ascii="Arial" w:hAnsi="Arial"/>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40"/>
      <w:contextualSpacing/>
    </w:pPr>
    <w:rPr>
      <w:rFonts w:ascii="Arial" w:hAnsi="Arial"/>
      <w:sz w:val="18"/>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pPr>
      <w:spacing w:after="60"/>
    </w:pPr>
    <w:rPr>
      <w:rFonts w:ascii="Arial" w:hAnsi="Arial"/>
      <w:color w:val="56645D"/>
      <w:sz w:val="15"/>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hyperlink" Target="https://www.gov.uk/government/publications/national-framework-for-water-resources-2025-water-for-growth-nature-and-a-resilient-future/3-how-much-additional-water-we-need-national-framework-for-water-resources-2025" TargetMode="External"/><Relationship Id="rId16" Type="http://schemas.openxmlformats.org/officeDocument/2006/relationships/hyperlink" Target="https://www.gov.uk/government/news/england-faces-5-billion-litre-public-water-shortage-by-2055-without-urgent-action" TargetMode="External"/><Relationship Id="rId17" Type="http://schemas.openxmlformats.org/officeDocument/2006/relationships/hyperlink" Target="https://www.gov.uk/government/publications/national-framework-for-water-resources-2025-water-for-growth-nature-and-a-resilient-future/9-taking-action-on-other-significant-water-using-sectors-and-emerging-demands-national-framework-for-water-resources-2025" TargetMode="External"/><Relationship Id="rId18" Type="http://schemas.openxmlformats.org/officeDocument/2006/relationships/hyperlink" Target="https://cdn.forestresearch.gov.uk/2024/12/Research-Report_Increasing-tree-cover-on-cereal-farms-in-England_final.pdf" TargetMode="External"/><Relationship Id="rId19" Type="http://schemas.openxmlformats.org/officeDocument/2006/relationships/hyperlink" Target="https://www.gov.uk/government/publications/grow-your-farm-business-how-trees-can-benefit-your-land-crops-and-livestock/grow-your-farm-business-how-trees-can-benefit-your-land-crops-and-livestock" TargetMode="External"/><Relationship Id="rId20" Type="http://schemas.openxmlformats.org/officeDocument/2006/relationships/hyperlink" Target="https://www.gov.uk/government/publications/funding-and-grants-for-agroforestry/funding-and-grants-for-agroforestry" TargetMode="External"/><Relationship Id="rId21" Type="http://schemas.openxmlformats.org/officeDocument/2006/relationships/hyperlink" Target="https://www.gov.uk/countryside-stewardship-grants/af2-plant-an-agroforestry-fruit-tree" TargetMode="External"/><Relationship Id="rId22" Type="http://schemas.openxmlformats.org/officeDocument/2006/relationships/hyperlink" Target="https://www.gov.uk/countryside-stewardship-grants/supply-and-plant-tree-te4" TargetMode="External"/><Relationship Id="rId23" Type="http://schemas.openxmlformats.org/officeDocument/2006/relationships/hyperlink" Target="https://cdn.forestresearch.gov.uk/2022/02/stokes_2012_qjf_mulches_zdklgwc.pdf" TargetMode="External"/><Relationship Id="rId24" Type="http://schemas.openxmlformats.org/officeDocument/2006/relationships/hyperlink" Target="https://www.gov.uk/government/publications/uk-pesticides-national-action-plan-2025/uk-pesticides-national-action-plan-2025-working-for-a-more-sustainable-future" TargetMode="External"/><Relationship Id="rId25" Type="http://schemas.openxmlformats.org/officeDocument/2006/relationships/hyperlink" Target="https://www.rhs.org.uk/fruit/fruit-trees/choosing-the-best" TargetMode="External"/><Relationship Id="rId26" Type="http://schemas.openxmlformats.org/officeDocument/2006/relationships/hyperlink" Target="https://www.rhs.org.uk/plants/3403/ceratonia-siliqua/details" TargetMode="External"/><Relationship Id="rId27" Type="http://schemas.openxmlformats.org/officeDocument/2006/relationships/hyperlink" Target="https://openknowledge.fao.org/handle/20.500.14283/i4021e" TargetMode="External"/><Relationship Id="rId28" Type="http://schemas.openxmlformats.org/officeDocument/2006/relationships/hyperlink" Target="https://www.gov.uk/guidance/register-a-fishery-cropping-water-or-aquaponic-system" TargetMode="External"/><Relationship Id="rId29" Type="http://schemas.openxmlformats.org/officeDocument/2006/relationships/hyperlink" Target="https://www.energy.gov/cmei/fuels/hydrogen-production-electrolysis" TargetMode="External"/><Relationship Id="rId30" Type="http://schemas.openxmlformats.org/officeDocument/2006/relationships/hyperlink" Target="https://www.iea.org/reports/unlocking-ukraines-hydrogen-opportunity-a-roadmap/unlocking-the-opportunity-a-roadmap-for-action" TargetMode="External"/><Relationship Id="rId31" Type="http://schemas.openxmlformats.org/officeDocument/2006/relationships/hyperlink" Target="https://www.hydrogen.energy.gov/docs/hydrogenprogramlibraries/pdfs/review05/pdp_39_pile.pdf" TargetMode="External"/><Relationship Id="rId32" Type="http://schemas.openxmlformats.org/officeDocument/2006/relationships/hyperlink" Target="https://energy.sandia.gov/programs/renewable-energy/concentrating-solar-thermal-technologies/thermal-energy-storage-tes/" TargetMode="External"/><Relationship Id="rId33" Type="http://schemas.openxmlformats.org/officeDocument/2006/relationships/hyperlink" Target="https://pmc.ncbi.nlm.nih.gov/articles/PMC11625998/" TargetMode="External"/><Relationship Id="rId34" Type="http://schemas.openxmlformats.org/officeDocument/2006/relationships/hyperlink" Target="https://www.sciencedirect.com/science/article/abs/pii/S153751101500183X" TargetMode="External"/><Relationship Id="rId35" Type="http://schemas.openxmlformats.org/officeDocument/2006/relationships/hyperlink" Target="https://www.gov.uk/government/publications/direct-air-capture-and-greenhouse-gas-removal-innovation-programme-selected-projects/direct-air-capture-and-greenhouse-gas-removal-innovation-programme-phase-2-projects" TargetMode="External"/><Relationship Id="rId36" Type="http://schemas.openxmlformats.org/officeDocument/2006/relationships/hyperlink" Target="https://pmc.ncbi.nlm.nih.gov/articles/PMC11368733/" TargetMode="External"/><Relationship Id="rId37" Type="http://schemas.openxmlformats.org/officeDocument/2006/relationships/hyperlink" Target="https://pmc.ncbi.nlm.nih.gov/articles/PMC11317483/" TargetMode="External"/><Relationship Id="rId38" Type="http://schemas.openxmlformats.org/officeDocument/2006/relationships/hyperlink" Target="https://www.gov.wales/sustainable-farming-scheme-2026-scheme-description-html" TargetMode="External"/><Relationship Id="rId39" Type="http://schemas.openxmlformats.org/officeDocument/2006/relationships/hyperlink" Target="https://www.forestry.gov.scot/agroforestry-grant" TargetMode="External"/><Relationship Id="rId40" Type="http://schemas.openxmlformats.org/officeDocument/2006/relationships/hyperlink" Target="https://www.daera-ni.gov.uk/articles/what-farming-nature-transition-scheme-fw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