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440"/>
        <w:jc w:val="center"/>
      </w:pPr>
      <w:r>
        <w:rPr>
          <w:b/>
          <w:color w:val="006D77"/>
          <w:sz w:val="20"/>
        </w:rPr>
        <w:t>FINANCIAL POLICY PROPOSAL  •  VERSION 1.0</w:t>
      </w:r>
    </w:p>
    <w:p>
      <w:pPr>
        <w:pStyle w:val="Title"/>
        <w:spacing w:before="480"/>
        <w:jc w:val="center"/>
      </w:pPr>
      <w:r>
        <w:t>Universal Payment</w:t>
        <w:br/>
        <w:t>and Shared Growth</w:t>
      </w:r>
    </w:p>
    <w:p>
      <w:pPr>
        <w:pStyle w:val="Subtitle"/>
        <w:jc w:val="center"/>
      </w:pPr>
      <w:r>
        <w:t>A UK framework for lifelong income security,</w:t>
        <w:br/>
        <w:t>administrative simplification, capability-aligned work</w:t>
        <w:br/>
        <w:t>and transparent public investment</w:t>
      </w:r>
    </w:p>
    <w:tbl>
      <w:tblPr>
        <w:tblW w:type="dxa" w:w="8136"/>
        <w:jc w:val="center"/>
        <w:tblLayout w:type="fixed"/>
        <w:tblLook w:firstColumn="1" w:firstRow="1" w:lastColumn="0" w:lastRow="0" w:noHBand="0" w:noVBand="1" w:val="04A0"/>
        <w:tblInd w:type="dxa" w:w="180"/>
      </w:tblPr>
      <w:tblGrid>
        <w:gridCol w:w="8136"/>
      </w:tblGrid>
      <w:tr>
        <w:trPr>
          <w:tblHeader w:val="true"/>
        </w:trPr>
        <w:tc>
          <w:tcPr>
            <w:tcW w:type="dxa" w:w="8136"/>
            <w:shd w:fill="FBF5E5"/>
            <w:tcMar>
              <w:top w:w="160" w:type="dxa"/>
              <w:start w:w="180" w:type="dxa"/>
              <w:bottom w:w="160" w:type="dxa"/>
              <w:end w:w="180" w:type="dxa"/>
            </w:tcMar>
            <w:vAlign w:val="center"/>
          </w:tcPr>
          <w:p>
            <w:pPr>
              <w:jc w:val="center"/>
            </w:pPr>
            <w:r>
              <w:rPr>
                <w:b/>
                <w:color w:val="16324F"/>
                <w:sz w:val="22"/>
              </w:rPr>
              <w:t>FRAMEWORK READY FOR SERIOUS INVESTIGATION</w:t>
            </w:r>
          </w:p>
          <w:p>
            <w:pPr>
              <w:pStyle w:val="PolicyNote"/>
              <w:jc w:val="center"/>
            </w:pPr>
            <w:r>
              <w:t>Financing closure and the worker-choice productivity effect remain unresolved. Full launch is subject to statutory evidence and stability gates.</w:t>
            </w:r>
          </w:p>
        </w:tc>
      </w:tr>
    </w:tbl>
    <w:p>
      <w:pPr>
        <w:spacing w:before="640"/>
        <w:jc w:val="center"/>
      </w:pPr>
      <w:r>
        <w:rPr>
          <w:b/>
          <w:color w:val="16324F"/>
          <w:sz w:val="19"/>
        </w:rPr>
        <w:t xml:space="preserve">Policy originator: </w:t>
      </w:r>
      <w:r>
        <w:rPr>
          <w:color w:val="5B6870"/>
          <w:sz w:val="19"/>
        </w:rPr>
        <w:t>AL</w:t>
        <w:br/>
      </w:r>
      <w:r>
        <w:rPr>
          <w:b/>
          <w:color w:val="16324F"/>
          <w:sz w:val="19"/>
        </w:rPr>
        <w:t xml:space="preserve">Research synthesis: </w:t>
      </w:r>
      <w:r>
        <w:rPr>
          <w:color w:val="5B6870"/>
          <w:sz w:val="19"/>
        </w:rPr>
        <w:t>AI-assisted, source-audited working draft</w:t>
        <w:br/>
      </w:r>
      <w:r>
        <w:rPr>
          <w:b/>
          <w:color w:val="16324F"/>
          <w:sz w:val="19"/>
        </w:rPr>
        <w:t xml:space="preserve">Evidence date: </w:t>
      </w:r>
      <w:r>
        <w:rPr>
          <w:color w:val="5B6870"/>
          <w:sz w:val="19"/>
        </w:rPr>
        <w:t>7 September 2026</w:t>
        <w:br/>
      </w:r>
      <w:r>
        <w:rPr>
          <w:b/>
          <w:color w:val="16324F"/>
          <w:sz w:val="19"/>
        </w:rPr>
        <w:t xml:space="preserve">Jurisdiction: </w:t>
      </w:r>
      <w:r>
        <w:rPr>
          <w:color w:val="5B6870"/>
          <w:sz w:val="19"/>
        </w:rPr>
        <w:t>United Kingdom</w:t>
        <w:br/>
      </w:r>
    </w:p>
    <w:p>
      <w:pPr>
        <w:spacing w:before="1360"/>
        <w:jc w:val="center"/>
      </w:pPr>
      <w:r>
        <w:rPr>
          <w:i/>
          <w:color w:val="006D77"/>
          <w:sz w:val="22"/>
        </w:rPr>
        <w:t>ah-mee twoh-foh</w:t>
      </w:r>
    </w:p>
    <w:p>
      <w:r>
        <w:br w:type="page"/>
      </w:r>
    </w:p>
    <w:p>
      <w:pPr>
        <w:pStyle w:val="Heading1"/>
        <w:spacing w:before="0"/>
      </w:pPr>
      <w:r>
        <w:t>Reader’s map</w:t>
      </w:r>
    </w:p>
    <w:p>
      <w:pPr>
        <w:jc w:val="left"/>
      </w:pPr>
      <w:r>
        <w:t>The policy is designed to be read in three passes: the decision, the reasoning and evidence, then the complete technical record.</w:t>
      </w:r>
    </w:p>
    <w:tbl>
      <w:tblPr>
        <w:tblW w:type="dxa" w:w="9072"/>
        <w:jc w:val="center"/>
        <w:tblLayout w:type="fixed"/>
        <w:tblLook w:firstColumn="1" w:firstRow="1" w:lastColumn="0" w:lastRow="0" w:noHBand="0" w:noVBand="1" w:val="04A0"/>
        <w:tblInd w:type="dxa" w:w="110"/>
      </w:tblPr>
      <w:tblGrid>
        <w:gridCol w:w="2088"/>
        <w:gridCol w:w="6984"/>
      </w:tblGrid>
      <w:tr>
        <w:trPr>
          <w:tblHeader w:val="true"/>
        </w:trPr>
        <w:tc>
          <w:tcPr>
            <w:tcW w:type="dxa" w:w="2088"/>
            <w:shd w:fill="16324F"/>
            <w:tcMar>
              <w:top w:w="90" w:type="dxa"/>
              <w:start w:w="110" w:type="dxa"/>
              <w:bottom w:w="90" w:type="dxa"/>
              <w:end w:w="110" w:type="dxa"/>
            </w:tcMar>
          </w:tcPr>
          <w:p>
            <w:pPr>
              <w:jc w:val="left"/>
            </w:pPr>
            <w:r>
              <w:rPr>
                <w:b/>
                <w:color w:val="FFFFFF"/>
                <w:sz w:val="17"/>
              </w:rPr>
              <w:t>SECTION</w:t>
            </w:r>
          </w:p>
        </w:tc>
        <w:tc>
          <w:tcPr>
            <w:tcW w:type="dxa" w:w="6984"/>
            <w:shd w:fill="16324F"/>
            <w:tcMar>
              <w:top w:w="90" w:type="dxa"/>
              <w:start w:w="110" w:type="dxa"/>
              <w:bottom w:w="90" w:type="dxa"/>
              <w:end w:w="110" w:type="dxa"/>
            </w:tcMar>
          </w:tcPr>
          <w:p>
            <w:pPr>
              <w:jc w:val="left"/>
            </w:pPr>
            <w:r>
              <w:rPr>
                <w:b/>
                <w:color w:val="FFFFFF"/>
                <w:sz w:val="17"/>
              </w:rPr>
              <w:t>WHAT IT CONTAINS</w:t>
            </w:r>
          </w:p>
        </w:tc>
      </w:tr>
      <w:tr>
        <w:trPr>
          <w:cantSplit/>
        </w:trPr>
        <w:tc>
          <w:tcPr>
            <w:tcW w:type="dxa" w:w="2088"/>
            <w:tcMar>
              <w:top w:w="90" w:type="dxa"/>
              <w:start w:w="110" w:type="dxa"/>
              <w:bottom w:w="90" w:type="dxa"/>
              <w:end w:w="110" w:type="dxa"/>
            </w:tcMar>
          </w:tcPr>
          <w:p>
            <w:r>
              <w:rPr>
                <w:b/>
                <w:color w:val="006D77"/>
                <w:sz w:val="18"/>
              </w:rPr>
              <w:t>Decision</w:t>
            </w:r>
          </w:p>
        </w:tc>
        <w:tc>
          <w:tcPr>
            <w:tcW w:type="dxa" w:w="6984"/>
            <w:tcMar>
              <w:top w:w="90" w:type="dxa"/>
              <w:start w:w="110" w:type="dxa"/>
              <w:bottom w:w="90" w:type="dxa"/>
              <w:end w:w="110" w:type="dxa"/>
            </w:tcMar>
          </w:tcPr>
          <w:p>
            <w:pPr>
              <w:pStyle w:val="PolicyNote"/>
            </w:pPr>
            <w:r>
              <w:t>Policy status • executive policy • evidence limits</w:t>
            </w:r>
          </w:p>
        </w:tc>
      </w:tr>
      <w:tr>
        <w:trPr>
          <w:cantSplit/>
        </w:trPr>
        <w:tc>
          <w:tcPr>
            <w:tcW w:type="dxa" w:w="2088"/>
            <w:tcMar>
              <w:top w:w="90" w:type="dxa"/>
              <w:start w:w="110" w:type="dxa"/>
              <w:bottom w:w="90" w:type="dxa"/>
              <w:end w:w="110" w:type="dxa"/>
            </w:tcMar>
            <w:shd w:fill="F7F9FA"/>
          </w:tcPr>
          <w:p>
            <w:r>
              <w:rPr>
                <w:b/>
                <w:color w:val="006D77"/>
                <w:sz w:val="18"/>
              </w:rPr>
              <w:t>Meaning</w:t>
            </w:r>
          </w:p>
        </w:tc>
        <w:tc>
          <w:tcPr>
            <w:tcW w:type="dxa" w:w="6984"/>
            <w:tcMar>
              <w:top w:w="90" w:type="dxa"/>
              <w:start w:w="110" w:type="dxa"/>
              <w:bottom w:w="90" w:type="dxa"/>
              <w:end w:w="110" w:type="dxa"/>
            </w:tcMar>
            <w:shd w:fill="F7F9FA"/>
          </w:tcPr>
          <w:p>
            <w:pPr>
              <w:pStyle w:val="PolicyNote"/>
            </w:pPr>
            <w:r>
              <w:t>Problem diagnosis • line-of-thought vector • full package</w:t>
            </w:r>
          </w:p>
        </w:tc>
      </w:tr>
      <w:tr>
        <w:trPr>
          <w:cantSplit/>
        </w:trPr>
        <w:tc>
          <w:tcPr>
            <w:tcW w:type="dxa" w:w="2088"/>
            <w:tcMar>
              <w:top w:w="90" w:type="dxa"/>
              <w:start w:w="110" w:type="dxa"/>
              <w:bottom w:w="90" w:type="dxa"/>
              <w:end w:w="110" w:type="dxa"/>
            </w:tcMar>
          </w:tcPr>
          <w:p>
            <w:r>
              <w:rPr>
                <w:b/>
                <w:color w:val="006D77"/>
                <w:sz w:val="18"/>
              </w:rPr>
              <w:t>People</w:t>
            </w:r>
          </w:p>
        </w:tc>
        <w:tc>
          <w:tcPr>
            <w:tcW w:type="dxa" w:w="6984"/>
            <w:tcMar>
              <w:top w:w="90" w:type="dxa"/>
              <w:start w:w="110" w:type="dxa"/>
              <w:bottom w:w="90" w:type="dxa"/>
              <w:end w:w="110" w:type="dxa"/>
            </w:tcMar>
          </w:tcPr>
          <w:p>
            <w:pPr>
              <w:pStyle w:val="PolicyNote"/>
            </w:pPr>
            <w:r>
              <w:t>Institutional transition • capability-aligned work • no automatic redundancy</w:t>
            </w:r>
          </w:p>
        </w:tc>
      </w:tr>
      <w:tr>
        <w:trPr>
          <w:cantSplit/>
        </w:trPr>
        <w:tc>
          <w:tcPr>
            <w:tcW w:type="dxa" w:w="2088"/>
            <w:tcMar>
              <w:top w:w="90" w:type="dxa"/>
              <w:start w:w="110" w:type="dxa"/>
              <w:bottom w:w="90" w:type="dxa"/>
              <w:end w:w="110" w:type="dxa"/>
            </w:tcMar>
            <w:shd w:fill="F7F9FA"/>
          </w:tcPr>
          <w:p>
            <w:r>
              <w:rPr>
                <w:b/>
                <w:color w:val="006D77"/>
                <w:sz w:val="18"/>
              </w:rPr>
              <w:t>Evidence</w:t>
            </w:r>
          </w:p>
        </w:tc>
        <w:tc>
          <w:tcPr>
            <w:tcW w:type="dxa" w:w="6984"/>
            <w:tcMar>
              <w:top w:w="90" w:type="dxa"/>
              <w:start w:w="110" w:type="dxa"/>
              <w:bottom w:w="90" w:type="dxa"/>
              <w:end w:w="110" w:type="dxa"/>
            </w:tcMar>
            <w:shd w:fill="F7F9FA"/>
          </w:tcPr>
          <w:p>
            <w:pPr>
              <w:pStyle w:val="PolicyNote"/>
            </w:pPr>
            <w:r>
              <w:t>International comparators • productivity research module</w:t>
            </w:r>
          </w:p>
        </w:tc>
      </w:tr>
      <w:tr>
        <w:trPr>
          <w:cantSplit/>
        </w:trPr>
        <w:tc>
          <w:tcPr>
            <w:tcW w:type="dxa" w:w="2088"/>
            <w:tcMar>
              <w:top w:w="90" w:type="dxa"/>
              <w:start w:w="110" w:type="dxa"/>
              <w:bottom w:w="90" w:type="dxa"/>
              <w:end w:w="110" w:type="dxa"/>
            </w:tcMar>
          </w:tcPr>
          <w:p>
            <w:r>
              <w:rPr>
                <w:b/>
                <w:color w:val="006D77"/>
                <w:sz w:val="18"/>
              </w:rPr>
              <w:t>Numbers</w:t>
            </w:r>
          </w:p>
        </w:tc>
        <w:tc>
          <w:tcPr>
            <w:tcW w:type="dxa" w:w="6984"/>
            <w:tcMar>
              <w:top w:w="90" w:type="dxa"/>
              <w:start w:w="110" w:type="dxa"/>
              <w:bottom w:w="90" w:type="dxa"/>
              <w:end w:w="110" w:type="dxa"/>
            </w:tcMar>
          </w:tcPr>
          <w:p>
            <w:pPr>
              <w:pStyle w:val="PolicyNote"/>
            </w:pPr>
            <w:r>
              <w:t>Fiscal bridge • ten-year GDP scenarios • inflation and bank risks</w:t>
            </w:r>
          </w:p>
        </w:tc>
      </w:tr>
      <w:tr>
        <w:trPr>
          <w:cantSplit/>
        </w:trPr>
        <w:tc>
          <w:tcPr>
            <w:tcW w:type="dxa" w:w="2088"/>
            <w:tcMar>
              <w:top w:w="90" w:type="dxa"/>
              <w:start w:w="110" w:type="dxa"/>
              <w:bottom w:w="90" w:type="dxa"/>
              <w:end w:w="110" w:type="dxa"/>
            </w:tcMar>
            <w:shd w:fill="F7F9FA"/>
          </w:tcPr>
          <w:p>
            <w:r>
              <w:rPr>
                <w:b/>
                <w:color w:val="006D77"/>
                <w:sz w:val="18"/>
              </w:rPr>
              <w:t>Delivery</w:t>
            </w:r>
          </w:p>
        </w:tc>
        <w:tc>
          <w:tcPr>
            <w:tcW w:type="dxa" w:w="6984"/>
            <w:tcMar>
              <w:top w:w="90" w:type="dxa"/>
              <w:start w:w="110" w:type="dxa"/>
              <w:bottom w:w="90" w:type="dxa"/>
              <w:end w:w="110" w:type="dxa"/>
            </w:tcMar>
            <w:shd w:fill="F7F9FA"/>
          </w:tcPr>
          <w:p>
            <w:pPr>
              <w:pStyle w:val="PolicyNote"/>
            </w:pPr>
            <w:r>
              <w:t>Stages • automatic gates • governance • public ledger</w:t>
            </w:r>
          </w:p>
        </w:tc>
      </w:tr>
      <w:tr>
        <w:trPr>
          <w:cantSplit/>
        </w:trPr>
        <w:tc>
          <w:tcPr>
            <w:tcW w:type="dxa" w:w="2088"/>
            <w:tcMar>
              <w:top w:w="90" w:type="dxa"/>
              <w:start w:w="110" w:type="dxa"/>
              <w:bottom w:w="90" w:type="dxa"/>
              <w:end w:w="110" w:type="dxa"/>
            </w:tcMar>
          </w:tcPr>
          <w:p>
            <w:r>
              <w:rPr>
                <w:b/>
                <w:color w:val="006D77"/>
                <w:sz w:val="18"/>
              </w:rPr>
              <w:t>Version 2</w:t>
            </w:r>
          </w:p>
        </w:tc>
        <w:tc>
          <w:tcPr>
            <w:tcW w:type="dxa" w:w="6984"/>
            <w:tcMar>
              <w:top w:w="90" w:type="dxa"/>
              <w:start w:w="110" w:type="dxa"/>
              <w:bottom w:w="90" w:type="dxa"/>
              <w:end w:w="110" w:type="dxa"/>
            </w:tcMar>
          </w:tcPr>
          <w:p>
            <w:pPr>
              <w:pStyle w:val="PolicyNote"/>
            </w:pPr>
            <w:r>
              <w:t>Klatou investigation • missing-data register • companion papers</w:t>
            </w:r>
          </w:p>
        </w:tc>
      </w:tr>
      <w:tr>
        <w:trPr>
          <w:cantSplit/>
        </w:trPr>
        <w:tc>
          <w:tcPr>
            <w:tcW w:type="dxa" w:w="2088"/>
            <w:tcMar>
              <w:top w:w="90" w:type="dxa"/>
              <w:start w:w="110" w:type="dxa"/>
              <w:bottom w:w="90" w:type="dxa"/>
              <w:end w:w="110" w:type="dxa"/>
            </w:tcMar>
            <w:shd w:fill="F7F9FA"/>
          </w:tcPr>
          <w:p>
            <w:r>
              <w:rPr>
                <w:b/>
                <w:color w:val="006D77"/>
                <w:sz w:val="18"/>
              </w:rPr>
              <w:t>Technical Annex A</w:t>
            </w:r>
          </w:p>
        </w:tc>
        <w:tc>
          <w:tcPr>
            <w:tcW w:type="dxa" w:w="6984"/>
            <w:tcMar>
              <w:top w:w="90" w:type="dxa"/>
              <w:start w:w="110" w:type="dxa"/>
              <w:bottom w:w="90" w:type="dxa"/>
              <w:end w:w="110" w:type="dxa"/>
            </w:tcMar>
            <w:shd w:fill="F7F9FA"/>
          </w:tcPr>
          <w:p>
            <w:pPr>
              <w:pStyle w:val="PolicyNote"/>
            </w:pPr>
            <w:r>
              <w:t>Definitions • formulae • detailed assumptions • evaluation dashboard</w:t>
            </w:r>
          </w:p>
        </w:tc>
      </w:tr>
      <w:tr>
        <w:trPr>
          <w:cantSplit/>
        </w:trPr>
        <w:tc>
          <w:tcPr>
            <w:tcW w:type="dxa" w:w="2088"/>
            <w:tcMar>
              <w:top w:w="90" w:type="dxa"/>
              <w:start w:w="110" w:type="dxa"/>
              <w:bottom w:w="90" w:type="dxa"/>
              <w:end w:w="110" w:type="dxa"/>
            </w:tcMar>
          </w:tcPr>
          <w:p>
            <w:r>
              <w:rPr>
                <w:b/>
                <w:color w:val="006D77"/>
                <w:sz w:val="18"/>
              </w:rPr>
              <w:t>References</w:t>
            </w:r>
          </w:p>
        </w:tc>
        <w:tc>
          <w:tcPr>
            <w:tcW w:type="dxa" w:w="6984"/>
            <w:tcMar>
              <w:top w:w="90" w:type="dxa"/>
              <w:start w:w="110" w:type="dxa"/>
              <w:bottom w:w="90" w:type="dxa"/>
              <w:end w:w="110" w:type="dxa"/>
            </w:tcMar>
          </w:tcPr>
          <w:p>
            <w:pPr>
              <w:pStyle w:val="PolicyNote"/>
            </w:pPr>
            <w:r>
              <w:t>Numbered scientific-style source list with DOI or stable URL</w:t>
            </w:r>
          </w:p>
        </w:tc>
      </w:tr>
    </w:tbl>
    <w:p>
      <w:r>
        <w:br w:type="page"/>
      </w:r>
    </w:p>
    <w:p>
      <w:pPr>
        <w:pStyle w:val="Heading1"/>
      </w:pPr>
      <w:r>
        <w:t>Policy status and decision request</w:t>
      </w:r>
    </w:p>
    <w:p>
      <w:r>
        <w:rPr>
          <w:b/>
        </w:rPr>
        <w:t>Status:</w:t>
      </w:r>
      <w:r>
        <w:t xml:space="preserve"> a complete policy architecture for serious investigation and staged testing. It is </w:t>
      </w:r>
      <w:r>
        <w:rPr>
          <w:b/>
        </w:rPr>
        <w:t>not yet a fully financed Bill, an official forecast or authority for immediate nationwide payment</w:t>
      </w:r>
      <w:r>
        <w:t>.</w:t>
      </w:r>
    </w:p>
    <w:p>
      <w:r>
        <w:rPr>
          <w:b/>
        </w:rPr>
        <w:t>Decision sought now:</w:t>
      </w:r>
      <w:r>
        <w:t xml:space="preserve"> authorise an independent Treasury–OBR–Bank of England–ONS–NAO investigation, a statutory cross-government payment inventory, a tax-and-distribution microsimulation, a twelve-month banking shadow calculation and protected regional or cohort pilots. National scale-up would occur only after the financing, inflation, bank-stability, legal-rights and service-continuity gates in this policy have passed.</w:t>
      </w:r>
    </w:p>
    <w:tbl>
      <w:tblPr>
        <w:tblW w:type="dxa" w:w="9144"/>
        <w:jc w:val="center"/>
        <w:tblLayout w:type="fixed"/>
        <w:tblLook w:firstColumn="1" w:firstRow="1" w:lastColumn="0" w:lastRow="0" w:noHBand="0" w:noVBand="1" w:val="04A0"/>
        <w:tblInd w:type="dxa" w:w="110"/>
      </w:tblPr>
      <w:tblGrid>
        <w:gridCol w:w="3758"/>
        <w:gridCol w:w="1628"/>
        <w:gridCol w:w="3758"/>
      </w:tblGrid>
      <w:tr>
        <w:trPr>
          <w:cantSplit/>
          <w:tblHeader w:val="true"/>
        </w:trPr>
        <w:tc>
          <w:tcPr>
            <w:tcW w:type="dxa" w:w="3758"/>
            <w:vAlign w:val="center"/>
            <w:tcMar>
              <w:top w:w="90" w:type="dxa"/>
              <w:start w:w="110" w:type="dxa"/>
              <w:bottom w:w="90" w:type="dxa"/>
              <w:end w:w="110" w:type="dxa"/>
            </w:tcMar>
            <w:shd w:fill="16324F"/>
          </w:tcPr>
          <w:p>
            <w:pPr>
              <w:spacing w:after="0" w:line="252" w:lineRule="auto"/>
              <w:jc w:val="left"/>
            </w:pPr>
            <w:r>
              <w:rPr>
                <w:b/>
                <w:color w:val="FFFFFF"/>
                <w:sz w:val="17"/>
              </w:rPr>
              <w:t>Policy question</w:t>
            </w:r>
          </w:p>
        </w:tc>
        <w:tc>
          <w:tcPr>
            <w:tcW w:type="dxa" w:w="1628"/>
            <w:vAlign w:val="center"/>
            <w:tcMar>
              <w:top w:w="90" w:type="dxa"/>
              <w:start w:w="110" w:type="dxa"/>
              <w:bottom w:w="90" w:type="dxa"/>
              <w:end w:w="110" w:type="dxa"/>
            </w:tcMar>
            <w:shd w:fill="16324F"/>
          </w:tcPr>
          <w:p>
            <w:pPr>
              <w:spacing w:after="0" w:line="252" w:lineRule="auto"/>
              <w:jc w:val="left"/>
            </w:pPr>
            <w:r>
              <w:rPr>
                <w:b/>
                <w:color w:val="FFFFFF"/>
                <w:sz w:val="17"/>
              </w:rPr>
              <w:t>Present position</w:t>
            </w:r>
          </w:p>
        </w:tc>
        <w:tc>
          <w:tcPr>
            <w:tcW w:type="dxa" w:w="3758"/>
            <w:vAlign w:val="center"/>
            <w:tcMar>
              <w:top w:w="90" w:type="dxa"/>
              <w:start w:w="110" w:type="dxa"/>
              <w:bottom w:w="90" w:type="dxa"/>
              <w:end w:w="110" w:type="dxa"/>
            </w:tcMar>
            <w:shd w:fill="16324F"/>
          </w:tcPr>
          <w:p>
            <w:pPr>
              <w:spacing w:after="0" w:line="252" w:lineRule="auto"/>
              <w:jc w:val="left"/>
            </w:pPr>
            <w:r>
              <w:rPr>
                <w:b/>
                <w:color w:val="FFFFFF"/>
                <w:sz w:val="17"/>
              </w:rPr>
              <w:t>Treatment in this version</w:t>
            </w:r>
          </w:p>
        </w:tc>
      </w:tr>
      <w:tr>
        <w:trPr>
          <w:cantSplit/>
        </w:trPr>
        <w:tc>
          <w:tcPr>
            <w:tcW w:type="dxa" w:w="3758"/>
            <w:vAlign w:val="center"/>
            <w:tcMar>
              <w:top w:w="90" w:type="dxa"/>
              <w:start w:w="110" w:type="dxa"/>
              <w:bottom w:w="90" w:type="dxa"/>
              <w:end w:w="110" w:type="dxa"/>
            </w:tcMar>
          </w:tcPr>
          <w:p>
            <w:pPr>
              <w:spacing w:after="0" w:line="252" w:lineRule="auto"/>
              <w:jc w:val="left"/>
            </w:pPr>
            <w:r>
              <w:rPr>
                <w:color w:val="1E2933"/>
                <w:sz w:val="17"/>
              </w:rPr>
              <w:t>Is the institutional framework sufficiently clear to investigate?</w:t>
            </w:r>
          </w:p>
        </w:tc>
        <w:tc>
          <w:tcPr>
            <w:tcW w:type="dxa" w:w="1628"/>
            <w:vAlign w:val="center"/>
            <w:tcMar>
              <w:top w:w="90" w:type="dxa"/>
              <w:start w:w="110" w:type="dxa"/>
              <w:bottom w:w="90" w:type="dxa"/>
              <w:end w:w="110" w:type="dxa"/>
            </w:tcMar>
          </w:tcPr>
          <w:p>
            <w:pPr>
              <w:spacing w:after="0" w:line="252" w:lineRule="auto"/>
              <w:jc w:val="left"/>
            </w:pPr>
            <w:r>
              <w:rPr>
                <w:color w:val="1E2933"/>
                <w:sz w:val="17"/>
              </w:rPr>
              <w:t>Yes</w:t>
            </w:r>
          </w:p>
        </w:tc>
        <w:tc>
          <w:tcPr>
            <w:tcW w:type="dxa" w:w="3758"/>
            <w:vAlign w:val="center"/>
            <w:tcMar>
              <w:top w:w="90" w:type="dxa"/>
              <w:start w:w="110" w:type="dxa"/>
              <w:bottom w:w="90" w:type="dxa"/>
              <w:end w:w="110" w:type="dxa"/>
            </w:tcMar>
          </w:tcPr>
          <w:p>
            <w:pPr>
              <w:spacing w:after="0" w:line="252" w:lineRule="auto"/>
              <w:jc w:val="left"/>
            </w:pPr>
            <w:r>
              <w:rPr>
                <w:color w:val="1E2933"/>
                <w:sz w:val="17"/>
              </w:rPr>
              <w:t>Advance to audited design and testing</w:t>
            </w:r>
          </w:p>
        </w:tc>
      </w:tr>
      <w:tr>
        <w:trPr>
          <w:cantSplit/>
        </w:trPr>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Is the £36,000 annual entitlement fully financed?</w:t>
            </w:r>
          </w:p>
        </w:tc>
        <w:tc>
          <w:tcPr>
            <w:tcW w:type="dxa" w:w="1628"/>
            <w:vAlign w:val="center"/>
            <w:tcMar>
              <w:top w:w="90" w:type="dxa"/>
              <w:start w:w="110" w:type="dxa"/>
              <w:bottom w:w="90" w:type="dxa"/>
              <w:end w:w="110" w:type="dxa"/>
            </w:tcMar>
            <w:shd w:fill="F7F9FA"/>
          </w:tcPr>
          <w:p>
            <w:pPr>
              <w:spacing w:after="0" w:line="252" w:lineRule="auto"/>
              <w:jc w:val="left"/>
            </w:pPr>
            <w:r>
              <w:rPr>
                <w:color w:val="1E2933"/>
                <w:sz w:val="17"/>
              </w:rPr>
              <w:t>No</w:t>
            </w:r>
          </w:p>
        </w:tc>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Fiscal gap shown openly; no unfunded launch</w:t>
            </w:r>
          </w:p>
        </w:tc>
      </w:tr>
      <w:tr>
        <w:trPr>
          <w:cantSplit/>
        </w:trPr>
        <w:tc>
          <w:tcPr>
            <w:tcW w:type="dxa" w:w="3758"/>
            <w:vAlign w:val="center"/>
            <w:tcMar>
              <w:top w:w="90" w:type="dxa"/>
              <w:start w:w="110" w:type="dxa"/>
              <w:bottom w:w="90" w:type="dxa"/>
              <w:end w:w="110" w:type="dxa"/>
            </w:tcMar>
          </w:tcPr>
          <w:p>
            <w:pPr>
              <w:spacing w:after="0" w:line="252" w:lineRule="auto"/>
              <w:jc w:val="left"/>
            </w:pPr>
            <w:r>
              <w:rPr>
                <w:color w:val="1E2933"/>
                <w:sz w:val="17"/>
              </w:rPr>
              <w:t>Does worker choice create a productivity dividend?</w:t>
            </w:r>
          </w:p>
        </w:tc>
        <w:tc>
          <w:tcPr>
            <w:tcW w:type="dxa" w:w="1628"/>
            <w:vAlign w:val="center"/>
            <w:tcMar>
              <w:top w:w="90" w:type="dxa"/>
              <w:start w:w="110" w:type="dxa"/>
              <w:bottom w:w="90" w:type="dxa"/>
              <w:end w:w="110" w:type="dxa"/>
            </w:tcMar>
          </w:tcPr>
          <w:p>
            <w:pPr>
              <w:spacing w:after="0" w:line="252" w:lineRule="auto"/>
              <w:jc w:val="left"/>
            </w:pPr>
            <w:r>
              <w:rPr>
                <w:color w:val="1E2933"/>
                <w:sz w:val="17"/>
              </w:rPr>
              <w:t>Plausible but unquantified</w:t>
            </w:r>
          </w:p>
        </w:tc>
        <w:tc>
          <w:tcPr>
            <w:tcW w:type="dxa" w:w="3758"/>
            <w:vAlign w:val="center"/>
            <w:tcMar>
              <w:top w:w="90" w:type="dxa"/>
              <w:start w:w="110" w:type="dxa"/>
              <w:bottom w:w="90" w:type="dxa"/>
              <w:end w:w="110" w:type="dxa"/>
            </w:tcMar>
          </w:tcPr>
          <w:p>
            <w:pPr>
              <w:spacing w:after="0" w:line="252" w:lineRule="auto"/>
              <w:jc w:val="left"/>
            </w:pPr>
            <w:r>
              <w:rPr>
                <w:color w:val="1E2933"/>
                <w:sz w:val="17"/>
              </w:rPr>
              <w:t>New research module; excluded from central GDP path</w:t>
            </w:r>
          </w:p>
        </w:tc>
      </w:tr>
      <w:tr>
        <w:trPr>
          <w:cantSplit/>
        </w:trPr>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Can administration be simplified?</w:t>
            </w:r>
          </w:p>
        </w:tc>
        <w:tc>
          <w:tcPr>
            <w:tcW w:type="dxa" w:w="1628"/>
            <w:vAlign w:val="center"/>
            <w:tcMar>
              <w:top w:w="90" w:type="dxa"/>
              <w:start w:w="110" w:type="dxa"/>
              <w:bottom w:w="90" w:type="dxa"/>
              <w:end w:w="110" w:type="dxa"/>
            </w:tcMar>
            <w:shd w:fill="F7F9FA"/>
          </w:tcPr>
          <w:p>
            <w:pPr>
              <w:spacing w:after="0" w:line="252" w:lineRule="auto"/>
              <w:jc w:val="left"/>
            </w:pPr>
            <w:r>
              <w:rPr>
                <w:color w:val="1E2933"/>
                <w:sz w:val="17"/>
              </w:rPr>
              <w:t>Supported directionally</w:t>
            </w:r>
          </w:p>
        </w:tc>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Separate released capacity from cashable savings and avoided loss</w:t>
            </w:r>
          </w:p>
        </w:tc>
      </w:tr>
      <w:tr>
        <w:trPr>
          <w:cantSplit/>
        </w:trPr>
        <w:tc>
          <w:tcPr>
            <w:tcW w:type="dxa" w:w="3758"/>
            <w:vAlign w:val="center"/>
            <w:tcMar>
              <w:top w:w="90" w:type="dxa"/>
              <w:start w:w="110" w:type="dxa"/>
              <w:bottom w:w="90" w:type="dxa"/>
              <w:end w:w="110" w:type="dxa"/>
            </w:tcMar>
          </w:tcPr>
          <w:p>
            <w:pPr>
              <w:spacing w:after="0" w:line="252" w:lineRule="auto"/>
              <w:jc w:val="left"/>
            </w:pPr>
            <w:r>
              <w:rPr>
                <w:color w:val="1E2933"/>
                <w:sz w:val="17"/>
              </w:rPr>
              <w:t>Are fraud, charity or procurement recoveries known?</w:t>
            </w:r>
          </w:p>
        </w:tc>
        <w:tc>
          <w:tcPr>
            <w:tcW w:type="dxa" w:w="1628"/>
            <w:vAlign w:val="center"/>
            <w:tcMar>
              <w:top w:w="90" w:type="dxa"/>
              <w:start w:w="110" w:type="dxa"/>
              <w:bottom w:w="90" w:type="dxa"/>
              <w:end w:w="110" w:type="dxa"/>
            </w:tcMar>
          </w:tcPr>
          <w:p>
            <w:pPr>
              <w:spacing w:after="0" w:line="252" w:lineRule="auto"/>
              <w:jc w:val="left"/>
            </w:pPr>
            <w:r>
              <w:rPr>
                <w:color w:val="1E2933"/>
                <w:sz w:val="17"/>
              </w:rPr>
              <w:t>No</w:t>
            </w:r>
          </w:p>
        </w:tc>
        <w:tc>
          <w:tcPr>
            <w:tcW w:type="dxa" w:w="3758"/>
            <w:vAlign w:val="center"/>
            <w:tcMar>
              <w:top w:w="90" w:type="dxa"/>
              <w:start w:w="110" w:type="dxa"/>
              <w:bottom w:w="90" w:type="dxa"/>
              <w:end w:w="110" w:type="dxa"/>
            </w:tcMar>
          </w:tcPr>
          <w:p>
            <w:pPr>
              <w:spacing w:after="0" w:line="252" w:lineRule="auto"/>
              <w:jc w:val="left"/>
            </w:pPr>
            <w:r>
              <w:rPr>
                <w:color w:val="1E2933"/>
                <w:sz w:val="17"/>
              </w:rPr>
              <w:t>Book zero until verified case by case</w:t>
            </w:r>
          </w:p>
        </w:tc>
      </w:tr>
      <w:tr>
        <w:trPr>
          <w:cantSplit/>
        </w:trPr>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Is the Common Interest Contribution stable and lawful?</w:t>
            </w:r>
          </w:p>
        </w:tc>
        <w:tc>
          <w:tcPr>
            <w:tcW w:type="dxa" w:w="1628"/>
            <w:vAlign w:val="center"/>
            <w:tcMar>
              <w:top w:w="90" w:type="dxa"/>
              <w:start w:w="110" w:type="dxa"/>
              <w:bottom w:w="90" w:type="dxa"/>
              <w:end w:w="110" w:type="dxa"/>
            </w:tcMar>
            <w:shd w:fill="F7F9FA"/>
          </w:tcPr>
          <w:p>
            <w:pPr>
              <w:spacing w:after="0" w:line="252" w:lineRule="auto"/>
              <w:jc w:val="left"/>
            </w:pPr>
            <w:r>
              <w:rPr>
                <w:color w:val="1E2933"/>
                <w:sz w:val="17"/>
              </w:rPr>
              <w:t>Not yet demonstrated</w:t>
            </w:r>
          </w:p>
        </w:tc>
        <w:tc>
          <w:tcPr>
            <w:tcW w:type="dxa" w:w="3758"/>
            <w:vAlign w:val="center"/>
            <w:tcMar>
              <w:top w:w="90" w:type="dxa"/>
              <w:start w:w="110" w:type="dxa"/>
              <w:bottom w:w="90" w:type="dxa"/>
              <w:end w:w="110" w:type="dxa"/>
            </w:tcMar>
            <w:shd w:fill="F7F9FA"/>
          </w:tcPr>
          <w:p>
            <w:pPr>
              <w:spacing w:after="0" w:line="252" w:lineRule="auto"/>
              <w:jc w:val="left"/>
            </w:pPr>
            <w:r>
              <w:rPr>
                <w:color w:val="1E2933"/>
                <w:sz w:val="17"/>
              </w:rPr>
              <w:t>Shadow calculation, behavioural study, equality and rights review</w:t>
            </w:r>
          </w:p>
        </w:tc>
      </w:tr>
      <w:tr>
        <w:trPr>
          <w:cantSplit/>
        </w:trPr>
        <w:tc>
          <w:tcPr>
            <w:tcW w:type="dxa" w:w="3758"/>
            <w:vAlign w:val="center"/>
            <w:tcMar>
              <w:top w:w="90" w:type="dxa"/>
              <w:start w:w="110" w:type="dxa"/>
              <w:bottom w:w="90" w:type="dxa"/>
              <w:end w:w="110" w:type="dxa"/>
            </w:tcMar>
          </w:tcPr>
          <w:p>
            <w:pPr>
              <w:spacing w:after="0" w:line="252" w:lineRule="auto"/>
              <w:jc w:val="left"/>
            </w:pPr>
            <w:r>
              <w:rPr>
                <w:color w:val="1E2933"/>
                <w:sz w:val="17"/>
              </w:rPr>
              <w:t>Are housing and construction effects complete?</w:t>
            </w:r>
          </w:p>
        </w:tc>
        <w:tc>
          <w:tcPr>
            <w:tcW w:type="dxa" w:w="1628"/>
            <w:vAlign w:val="center"/>
            <w:tcMar>
              <w:top w:w="90" w:type="dxa"/>
              <w:start w:w="110" w:type="dxa"/>
              <w:bottom w:w="90" w:type="dxa"/>
              <w:end w:w="110" w:type="dxa"/>
            </w:tcMar>
          </w:tcPr>
          <w:p>
            <w:pPr>
              <w:spacing w:after="0" w:line="252" w:lineRule="auto"/>
              <w:jc w:val="left"/>
            </w:pPr>
            <w:r>
              <w:rPr>
                <w:color w:val="1E2933"/>
                <w:sz w:val="17"/>
              </w:rPr>
              <w:t>No</w:t>
            </w:r>
          </w:p>
        </w:tc>
        <w:tc>
          <w:tcPr>
            <w:tcW w:type="dxa" w:w="3758"/>
            <w:vAlign w:val="center"/>
            <w:tcMar>
              <w:top w:w="90" w:type="dxa"/>
              <w:start w:w="110" w:type="dxa"/>
              <w:bottom w:w="90" w:type="dxa"/>
              <w:end w:w="110" w:type="dxa"/>
            </w:tcMar>
          </w:tcPr>
          <w:p>
            <w:pPr>
              <w:spacing w:after="0" w:line="252" w:lineRule="auto"/>
              <w:jc w:val="left"/>
            </w:pPr>
            <w:r>
              <w:rPr>
                <w:color w:val="1E2933"/>
                <w:sz w:val="17"/>
              </w:rPr>
              <w:t>Interfaces defined here; full supply model reserved for companion papers</w:t>
            </w:r>
          </w:p>
        </w:tc>
      </w:tr>
    </w:tbl>
    <w:p>
      <w:pPr>
        <w:spacing w:after="20"/>
      </w:pPr>
    </w:p>
    <w:tbl>
      <w:tblPr>
        <w:tblW w:type="dxa" w:w="8856"/>
        <w:jc w:val="center"/>
        <w:tblLayout w:type="fixed"/>
        <w:tblLook w:firstColumn="1" w:firstRow="1" w:lastColumn="0" w:lastRow="0" w:noHBand="0" w:noVBand="1" w:val="04A0"/>
        <w:tblInd w:type="dxa" w:w="160"/>
      </w:tblPr>
      <w:tblGrid>
        <w:gridCol w:w="8856"/>
      </w:tblGrid>
      <w:tr>
        <w:trPr>
          <w:tblHeader w:val="true"/>
        </w:trPr>
        <w:tc>
          <w:tcPr>
            <w:tcW w:type="dxa" w:w="8856"/>
            <w:shd w:fill="FBF5E5"/>
            <w:tcMar>
              <w:top w:w="120" w:type="dxa"/>
              <w:start w:w="160" w:type="dxa"/>
              <w:bottom w:w="120" w:type="dxa"/>
              <w:end w:w="160" w:type="dxa"/>
            </w:tcMar>
          </w:tcPr>
          <w:p>
            <w:pPr>
              <w:pStyle w:val="PolicyNote"/>
              <w:keepLines/>
            </w:pPr>
            <w:r>
              <w:rPr>
                <w:b/>
              </w:rPr>
              <w:t>The immediate policy is investigation with enforceable gates—not an unfunded £2.494 trillion launch.</w:t>
            </w:r>
            <w:r>
              <w:t xml:space="preserve"> The proposal is serious precisely because it exposes the financing constraint, the uncertain mechanisms and the evidence still required.</w:t>
            </w:r>
          </w:p>
        </w:tc>
      </w:tr>
    </w:tbl>
    <w:p>
      <w:pPr>
        <w:pStyle w:val="Heading1"/>
      </w:pPr>
      <w:r>
        <w:t>Executive policy</w:t>
      </w:r>
    </w:p>
    <w:p>
      <w:r>
        <w:t xml:space="preserve">The Universal Payment and Shared Growth Financial Policy would establish one individual, taxable income floor of </w:t>
      </w:r>
      <w:r>
        <w:rPr>
          <w:b/>
        </w:rPr>
        <w:t>£3,000 gross per month (£36,000 per year), from birth until death</w:t>
      </w:r>
      <w:r>
        <w:t>, for every person meeting statutory UK eligibility. The Personal Allowance remains. Earnings from work, enterprise and investment are taxed normally, but the payment is never withdrawn as earnings rise.</w:t>
      </w:r>
    </w:p>
    <w:p>
      <w:r>
        <w:t xml:space="preserve">All </w:t>
      </w:r>
      <w:r>
        <w:rPr>
          <w:b/>
        </w:rPr>
        <w:t>unrestricted personal cash transfers</w:t>
      </w:r>
      <w:r>
        <w:t xml:space="preserve"> from government are incorporated into this one payment after a protected transition: State Pension, unemployment, child, disability, housing, carer, maternity and analogous devolved payments. The payment does not absorb services. NHS treatment, doctors, nurses, professional carers, care homes, commissioned care, assessed direct-payment care, professional childcare, workplace support, equipment, adaptations and supported housing continue to receive separate public funding.</w:t>
      </w:r>
    </w:p>
    <w:p>
      <w:r>
        <w:t>The proposal therefore changes the front door to income security; it does not abolish the welfare state, healthcare, social care or public administration. It removes repeated personal-income tests and punitive withdrawal from the ordinary cash floor while retaining professional judgement where services, safety, eligibility disputes or additional needs require it.</w:t>
      </w:r>
    </w:p>
    <w:p>
      <w:r>
        <w:t>Private pensions remain optional additional provision. Accrued public-service occupational pensions remain deferred employment rights and are not booked as welfare savings. Future occupational-pension redesign would require its own legal and actuarial settlement.</w:t>
      </w:r>
    </w:p>
    <w:p>
      <w:r>
        <w:t xml:space="preserve">The policy adds a </w:t>
      </w:r>
      <w:r>
        <w:rPr>
          <w:b/>
        </w:rPr>
        <w:t>Common Interest Contribution (CIC)</w:t>
      </w:r>
      <w:r>
        <w:t xml:space="preserve">. Savers retain legal ownership of their principal and their right to withdraw or transfer it. At least 75% of an independently calculated eligible gross return on covered UK savings is remitted to a ring-fenced </w:t>
      </w:r>
      <w:r>
        <w:rPr>
          <w:b/>
        </w:rPr>
        <w:t>UK Shared Growth Fund</w:t>
      </w:r>
      <w:r>
        <w:t>; the provider may retain no more than 25%, and only to the extent justified by an audited efficient-cost and prudential allowance. Any unused allowance also goes to the Fund. Under the literal version, savers receive none of that eligible nominal return; that economic fact must be stated plainly and tested against inflation, equality, property rights, asset switching and bank funding.</w:t>
      </w:r>
    </w:p>
    <w:p>
      <w:r>
        <w:t>The Fund invests in additional productive capacity rather than financing the current payment twice. Priority uses are new housing and retrofit, energy and grids, water, transport, digital infrastructure, health and care capital, research, advanced manufacturing, resilient supply chains and finance for productive smaller firms and cooperatives. Short gilts may be held for liquidity, but public-sector gilt coupons are not presented as new national wealth. Any below-market project subsidy is voted and disclosed separately.</w:t>
      </w:r>
    </w:p>
    <w:p>
      <w:r>
        <w:t>Commercial banks, building societies and credit unions may continue to provide accounts. NS&amp;I can offer a public savings option; an expanded National Wealth Fund can manage productive investment; housing supply and fair mortgage benchmarking can use separately capitalised institutions. The policy rejects a single politically directed state megabank. Collection, investment, regulation, audit and personal-credit decisions remain institutionally separate.</w:t>
      </w:r>
    </w:p>
    <w:p>
      <w:r>
        <w:t xml:space="preserve">The administrative objective is </w:t>
      </w:r>
      <w:r>
        <w:rPr>
          <w:b/>
        </w:rPr>
        <w:t>redeployment before redundancy</w:t>
      </w:r>
      <w:r>
        <w:t>. Routine checking, duplicate data entry, avoidable calls and fragmented contract management should fall. Capacity should move toward complex cases, accessibility, early help, care coordination, appeals, cyber resilience, investigation, public investment, contract assurance and face-to-face support. Savings enter the fiscal bridge only when payroll, buildings, leases, contracts or systems actually close; time freed for better work is first recorded as a capacity dividend.</w:t>
      </w:r>
    </w:p>
    <w:p>
      <w:pPr>
        <w:pStyle w:val="Heading1"/>
      </w:pPr>
      <w:r>
        <w:t>1. Why this financial policy exists</w:t>
      </w:r>
    </w:p>
    <w:p>
      <w:r>
        <w:t>The proposal begins from a practical and ethical diagnosis. A fragmented means-tested system can make ordinary security conditional on repeated proof, surveillance, waiting, sanctions, complex forms and the risk of sudden loss when work begins. The harm is not attributable to frontline staff as a class. It arises from the rules, incentives, fragmented data, contracting arrangements and institutional boundaries within which people work.</w:t>
      </w:r>
    </w:p>
    <w:p>
      <w:r>
        <w:t xml:space="preserve">Current delivery evidence supports that distinction. The National Audit Office found that 43% of call time examined across eight DWP benefit lines was avoidable through better process or communication; customers collectively spent the equivalent of 753 years waiting for answered calls, while only 72% of new claims were processed on time. In 2023–24, total benefit overpayments were £9.7 billion and unfulfilled eligibility plus official underpayment was £4.2 billion. These figures show simultaneous waste, error and unmet entitlement—not a simple story in which either claimant fraud or administrative headcount explains the problem. </w:t>
      </w:r>
      <w:r>
        <w:t xml:space="preserve"> </w:t>
      </w:r>
      <w:hyperlink r:id="rId11">
        <w:r>
          <w:rPr>
            <w:color w:val="006D77"/>
            <w:u w:val="single"/>
          </w:rPr>
          <w:t>[1]</w:t>
        </w:r>
      </w:hyperlink>
    </w:p>
    <w:p>
      <w:r>
        <w:t>The intended replacement is a clear social settlement:</w:t>
      </w:r>
    </w:p>
    <w:p>
      <w:pPr>
        <w:pStyle w:val="ManualNumber"/>
      </w:pPr>
      <w:r>
        <w:rPr>
          <w:b/>
          <w:color w:val="006D77"/>
        </w:rPr>
        <w:t xml:space="preserve">1.  </w:t>
      </w:r>
      <w:r>
        <w:t>everyone has an unconditional ordinary income floor;</w:t>
      </w:r>
    </w:p>
    <w:p>
      <w:pPr>
        <w:pStyle w:val="ManualNumber"/>
      </w:pPr>
      <w:r>
        <w:rPr>
          <w:b/>
          <w:color w:val="006D77"/>
        </w:rPr>
        <w:t xml:space="preserve">2.  </w:t>
      </w:r>
      <w:r>
        <w:t>paid work and enterprise always add gross income because there is no benefit withdrawal;</w:t>
      </w:r>
    </w:p>
    <w:p>
      <w:pPr>
        <w:pStyle w:val="ManualNumber"/>
      </w:pPr>
      <w:r>
        <w:rPr>
          <w:b/>
          <w:color w:val="006D77"/>
        </w:rPr>
        <w:t xml:space="preserve">3.  </w:t>
      </w:r>
      <w:r>
        <w:t>progressive tax remains the mechanism for sharing according to ability to pay;</w:t>
      </w:r>
    </w:p>
    <w:p>
      <w:pPr>
        <w:pStyle w:val="ManualNumber"/>
      </w:pPr>
      <w:r>
        <w:rPr>
          <w:b/>
          <w:color w:val="006D77"/>
        </w:rPr>
        <w:t xml:space="preserve">4.  </w:t>
      </w:r>
      <w:r>
        <w:t>professional services are protected according to need;</w:t>
      </w:r>
    </w:p>
    <w:p>
      <w:pPr>
        <w:pStyle w:val="ManualNumber"/>
      </w:pPr>
      <w:r>
        <w:rPr>
          <w:b/>
          <w:color w:val="006D77"/>
        </w:rPr>
        <w:t xml:space="preserve">5.  </w:t>
      </w:r>
      <w:r>
        <w:t>pooled financial returns can build productive assets for public benefit; and</w:t>
      </w:r>
    </w:p>
    <w:p>
      <w:pPr>
        <w:pStyle w:val="ManualNumber"/>
      </w:pPr>
      <w:r>
        <w:rPr>
          <w:b/>
          <w:color w:val="006D77"/>
        </w:rPr>
        <w:t xml:space="preserve">6.  </w:t>
      </w:r>
      <w:r>
        <w:t>every material flow, allowance, contract, investment, loss and correction is publicly traceable without requiring a login.</w:t>
      </w:r>
    </w:p>
    <w:p>
      <w:r>
        <w:t>This is also a macroeconomic proposition. Broader spending power may strengthen demand and tax receipts, while security may improve health, mobility, training, enterprise and job matching. Those benefits are constrained by real resources. If housing, energy, food, care, transport, labour and imports cannot expand, extra nominal demand raises prices instead of living standards. If the financing mix damages labour supply, bank funding, credit or the tax base, real GDP can be lower even while the payment itself is large.</w:t>
      </w:r>
    </w:p>
    <w:p>
      <w:pPr>
        <w:pStyle w:val="Heading1"/>
      </w:pPr>
      <w:r>
        <w:t>2. The line-of-thought vector</w:t>
      </w:r>
    </w:p>
    <w:p>
      <w:pPr>
        <w:keepNext/>
        <w:jc w:val="center"/>
      </w:pPr>
      <w:r>
        <w:drawing>
          <wp:inline xmlns:a="http://schemas.openxmlformats.org/drawingml/2006/main" xmlns:pic="http://schemas.openxmlformats.org/drawingml/2006/picture">
            <wp:extent cx="5897880" cy="3493030"/>
            <wp:docPr id="1" name="Picture 1" title="Figure 1" descr="Policy causal vector. Each arrow is a hypothesis subject to the guardrail rail below."/>
            <wp:cNvGraphicFramePr>
              <a:graphicFrameLocks noChangeAspect="1"/>
            </wp:cNvGraphicFramePr>
            <a:graphic>
              <a:graphicData uri="http://schemas.openxmlformats.org/drawingml/2006/picture">
                <pic:pic>
                  <pic:nvPicPr>
                    <pic:cNvPr id="0" name="meaning_vector.png"/>
                    <pic:cNvPicPr/>
                  </pic:nvPicPr>
                  <pic:blipFill>
                    <a:blip r:embed="rId12"/>
                    <a:stretch>
                      <a:fillRect/>
                    </a:stretch>
                  </pic:blipFill>
                  <pic:spPr>
                    <a:xfrm>
                      <a:off x="0" y="0"/>
                      <a:ext cx="5897880" cy="3493030"/>
                    </a:xfrm>
                    <a:prstGeom prst="rect"/>
                  </pic:spPr>
                </pic:pic>
              </a:graphicData>
            </a:graphic>
          </wp:inline>
        </w:drawing>
      </w:r>
    </w:p>
    <w:p>
      <w:pPr>
        <w:pStyle w:val="PolicyCaption"/>
        <w:jc w:val="left"/>
      </w:pPr>
      <w:r>
        <w:rPr>
          <w:b/>
        </w:rPr>
        <w:t xml:space="preserve">Figure 1. </w:t>
      </w:r>
      <w:r>
        <w:t>Policy causal vector. Each arrow is a hypothesis subject to the guardrail rail below.</w:t>
      </w:r>
    </w:p>
    <w:p>
      <w:r>
        <w:t xml:space="preserve">The policy’s reasoning is a </w:t>
      </w:r>
      <w:r>
        <w:rPr>
          <w:b/>
        </w:rPr>
        <w:t>testable causal vector</w:t>
      </w:r>
      <w:r>
        <w:t>, not a declaration that every arrow must succeed. Fragmented and punitive cash administration is replaced by one secure payment; security creates room for choice; choice can improve matching, learning, caring, mobility and enterprise; better matching and targeted public investment can expand capacity; and capacity can support sustainable real output and wellbeing. Financing, inflation, supply, financial stability, rights and delivery continuity gate the whole sequence.</w:t>
      </w:r>
    </w:p>
    <w:p>
      <w:r>
        <w:rPr>
          <w:b/>
        </w:rPr>
        <w:t>Reading rule:</w:t>
      </w:r>
      <w:r>
        <w:t xml:space="preserve"> a transfer is not GDP; interest redirection is not GDP; a government loan is not GDP; and a building purchased by one public body from another is not new national wealth. Real GDP changes only when additional goods and services are produced. Wellbeing, dignity and unpaid care are valuable outcomes even when national accounts do not record them as GDP.</w:t>
      </w:r>
    </w:p>
    <w:p>
      <w:pPr>
        <w:pStyle w:val="Heading1"/>
      </w:pPr>
      <w:r>
        <w:t>3. Complete policy package</w:t>
      </w:r>
    </w:p>
    <w:p>
      <w:pPr>
        <w:keepNext/>
        <w:jc w:val="center"/>
      </w:pPr>
      <w:r>
        <w:drawing>
          <wp:inline xmlns:a="http://schemas.openxmlformats.org/drawingml/2006/main" xmlns:pic="http://schemas.openxmlformats.org/drawingml/2006/picture">
            <wp:extent cx="5897880" cy="3376689"/>
            <wp:docPr id="2" name="Picture 2" title="Figure 2" descr="Payment classification boundary. Economic purpose, not payment route, determines whether funding is incorporated or retained."/>
            <wp:cNvGraphicFramePr>
              <a:graphicFrameLocks noChangeAspect="1"/>
            </wp:cNvGraphicFramePr>
            <a:graphic>
              <a:graphicData uri="http://schemas.openxmlformats.org/drawingml/2006/picture">
                <pic:pic>
                  <pic:nvPicPr>
                    <pic:cNvPr id="0" name="payment_boundary.png"/>
                    <pic:cNvPicPr/>
                  </pic:nvPicPr>
                  <pic:blipFill>
                    <a:blip r:embed="rId13"/>
                    <a:stretch>
                      <a:fillRect/>
                    </a:stretch>
                  </pic:blipFill>
                  <pic:spPr>
                    <a:xfrm>
                      <a:off x="0" y="0"/>
                      <a:ext cx="5897880" cy="3376689"/>
                    </a:xfrm>
                    <a:prstGeom prst="rect"/>
                  </pic:spPr>
                </pic:pic>
              </a:graphicData>
            </a:graphic>
          </wp:inline>
        </w:drawing>
      </w:r>
    </w:p>
    <w:p>
      <w:pPr>
        <w:pStyle w:val="PolicyCaption"/>
        <w:jc w:val="left"/>
      </w:pPr>
      <w:r>
        <w:rPr>
          <w:b/>
        </w:rPr>
        <w:t xml:space="preserve">Figure 2. </w:t>
      </w:r>
      <w:r>
        <w:t>Payment classification boundary. Economic purpose, not payment route, determines whether funding is incorporated or retained.</w:t>
      </w:r>
    </w:p>
    <w:tbl>
      <w:tblPr>
        <w:tblW w:type="dxa" w:w="9144"/>
        <w:jc w:val="center"/>
        <w:tblLayout w:type="fixed"/>
        <w:tblLook w:firstColumn="1" w:firstRow="1" w:lastColumn="0" w:lastRow="0" w:noHBand="0" w:noVBand="1" w:val="04A0"/>
        <w:tblInd w:type="dxa" w:w="110"/>
      </w:tblPr>
      <w:tblGrid>
        <w:gridCol w:w="1730"/>
        <w:gridCol w:w="3707"/>
        <w:gridCol w:w="3707"/>
      </w:tblGrid>
      <w:tr>
        <w:trPr>
          <w:cantSplit/>
          <w:tblHeader w:val="true"/>
        </w:trPr>
        <w:tc>
          <w:tcPr>
            <w:tcW w:type="dxa" w:w="1730"/>
            <w:vAlign w:val="center"/>
            <w:tcMar>
              <w:top w:w="90" w:type="dxa"/>
              <w:start w:w="110" w:type="dxa"/>
              <w:bottom w:w="90" w:type="dxa"/>
              <w:end w:w="110" w:type="dxa"/>
            </w:tcMar>
            <w:shd w:fill="16324F"/>
          </w:tcPr>
          <w:p>
            <w:pPr>
              <w:spacing w:after="0" w:line="252" w:lineRule="auto"/>
              <w:jc w:val="left"/>
            </w:pPr>
            <w:r>
              <w:rPr>
                <w:b/>
                <w:color w:val="FFFFFF"/>
                <w:sz w:val="17"/>
              </w:rPr>
              <w:t>Component</w:t>
            </w:r>
          </w:p>
        </w:tc>
        <w:tc>
          <w:tcPr>
            <w:tcW w:type="dxa" w:w="3707"/>
            <w:vAlign w:val="center"/>
            <w:tcMar>
              <w:top w:w="90" w:type="dxa"/>
              <w:start w:w="110" w:type="dxa"/>
              <w:bottom w:w="90" w:type="dxa"/>
              <w:end w:w="110" w:type="dxa"/>
            </w:tcMar>
            <w:shd w:fill="16324F"/>
          </w:tcPr>
          <w:p>
            <w:pPr>
              <w:spacing w:after="0" w:line="252" w:lineRule="auto"/>
              <w:jc w:val="left"/>
            </w:pPr>
            <w:r>
              <w:rPr>
                <w:b/>
                <w:color w:val="FFFFFF"/>
                <w:sz w:val="17"/>
              </w:rPr>
              <w:t>Binding policy rule</w:t>
            </w:r>
          </w:p>
        </w:tc>
        <w:tc>
          <w:tcPr>
            <w:tcW w:type="dxa" w:w="3707"/>
            <w:vAlign w:val="center"/>
            <w:tcMar>
              <w:top w:w="90" w:type="dxa"/>
              <w:start w:w="110" w:type="dxa"/>
              <w:bottom w:w="90" w:type="dxa"/>
              <w:end w:w="110" w:type="dxa"/>
            </w:tcMar>
            <w:shd w:fill="16324F"/>
          </w:tcPr>
          <w:p>
            <w:pPr>
              <w:spacing w:after="0" w:line="252" w:lineRule="auto"/>
              <w:jc w:val="left"/>
            </w:pPr>
            <w:r>
              <w:rPr>
                <w:b/>
                <w:color w:val="FFFFFF"/>
                <w:sz w:val="17"/>
              </w:rPr>
              <w:t>What is expressly not assumed</w:t>
            </w:r>
          </w:p>
        </w:tc>
      </w:tr>
      <w:tr>
        <w:trPr>
          <w:cantSplit/>
        </w:trPr>
        <w:tc>
          <w:tcPr>
            <w:tcW w:type="dxa" w:w="1730"/>
            <w:vAlign w:val="center"/>
            <w:tcMar>
              <w:top w:w="90" w:type="dxa"/>
              <w:start w:w="110" w:type="dxa"/>
              <w:bottom w:w="90" w:type="dxa"/>
              <w:end w:w="110" w:type="dxa"/>
            </w:tcMar>
          </w:tcPr>
          <w:p>
            <w:pPr>
              <w:spacing w:after="0" w:line="252" w:lineRule="auto"/>
              <w:jc w:val="left"/>
            </w:pPr>
            <w:r>
              <w:rPr>
                <w:color w:val="1E2933"/>
                <w:sz w:val="17"/>
              </w:rPr>
              <w:t>Universal Payment</w:t>
            </w:r>
          </w:p>
        </w:tc>
        <w:tc>
          <w:tcPr>
            <w:tcW w:type="dxa" w:w="3707"/>
            <w:vAlign w:val="center"/>
            <w:tcMar>
              <w:top w:w="90" w:type="dxa"/>
              <w:start w:w="110" w:type="dxa"/>
              <w:bottom w:w="90" w:type="dxa"/>
              <w:end w:w="110" w:type="dxa"/>
            </w:tcMar>
          </w:tcPr>
          <w:p>
            <w:pPr>
              <w:spacing w:after="0" w:line="252" w:lineRule="auto"/>
              <w:jc w:val="left"/>
            </w:pPr>
            <w:r>
              <w:rPr>
                <w:color w:val="1E2933"/>
                <w:sz w:val="17"/>
              </w:rPr>
              <w:t>£3,000 gross monthly; individual; birth to death; taxable; Personal Allowance retained; no withdrawal with earnings</w:t>
            </w:r>
          </w:p>
        </w:tc>
        <w:tc>
          <w:tcPr>
            <w:tcW w:type="dxa" w:w="3707"/>
            <w:vAlign w:val="center"/>
            <w:tcMar>
              <w:top w:w="90" w:type="dxa"/>
              <w:start w:w="110" w:type="dxa"/>
              <w:bottom w:w="90" w:type="dxa"/>
              <w:end w:w="110" w:type="dxa"/>
            </w:tcMar>
          </w:tcPr>
          <w:p>
            <w:pPr>
              <w:spacing w:after="0" w:line="252" w:lineRule="auto"/>
              <w:jc w:val="left"/>
            </w:pPr>
            <w:r>
              <w:rPr>
                <w:color w:val="1E2933"/>
                <w:sz w:val="17"/>
              </w:rPr>
              <w:t>The cheque itself is not GDP and cannot be launched unfunded</w:t>
            </w:r>
          </w:p>
        </w:tc>
      </w:tr>
      <w:tr>
        <w:trPr>
          <w:cantSplit/>
        </w:trPr>
        <w:tc>
          <w:tcPr>
            <w:tcW w:type="dxa" w:w="1730"/>
            <w:vAlign w:val="center"/>
            <w:tcMar>
              <w:top w:w="90" w:type="dxa"/>
              <w:start w:w="110" w:type="dxa"/>
              <w:bottom w:w="90" w:type="dxa"/>
              <w:end w:w="110" w:type="dxa"/>
            </w:tcMar>
            <w:shd w:fill="F7F9FA"/>
          </w:tcPr>
          <w:p>
            <w:pPr>
              <w:spacing w:after="0" w:line="252" w:lineRule="auto"/>
              <w:jc w:val="left"/>
            </w:pPr>
            <w:r>
              <w:rPr>
                <w:color w:val="1E2933"/>
                <w:sz w:val="17"/>
              </w:rPr>
              <w:t>Personal cash boundary</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All unrestricted government cash payments incorporated after person-by-person reconciliation</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Professional care or clinical budgets do not disappear because money once passed through an individual</w:t>
            </w:r>
          </w:p>
        </w:tc>
      </w:tr>
      <w:tr>
        <w:trPr>
          <w:cantSplit/>
        </w:trPr>
        <w:tc>
          <w:tcPr>
            <w:tcW w:type="dxa" w:w="1730"/>
            <w:vAlign w:val="center"/>
            <w:tcMar>
              <w:top w:w="90" w:type="dxa"/>
              <w:start w:w="110" w:type="dxa"/>
              <w:bottom w:w="90" w:type="dxa"/>
              <w:end w:w="110" w:type="dxa"/>
            </w:tcMar>
          </w:tcPr>
          <w:p>
            <w:pPr>
              <w:spacing w:after="0" w:line="252" w:lineRule="auto"/>
              <w:jc w:val="left"/>
            </w:pPr>
            <w:r>
              <w:rPr>
                <w:color w:val="1E2933"/>
                <w:sz w:val="17"/>
              </w:rPr>
              <w:t>Services</w:t>
            </w:r>
          </w:p>
        </w:tc>
        <w:tc>
          <w:tcPr>
            <w:tcW w:type="dxa" w:w="3707"/>
            <w:vAlign w:val="center"/>
            <w:tcMar>
              <w:top w:w="90" w:type="dxa"/>
              <w:start w:w="110" w:type="dxa"/>
              <w:bottom w:w="90" w:type="dxa"/>
              <w:end w:w="110" w:type="dxa"/>
            </w:tcMar>
          </w:tcPr>
          <w:p>
            <w:pPr>
              <w:spacing w:after="0" w:line="252" w:lineRule="auto"/>
              <w:jc w:val="left"/>
            </w:pPr>
            <w:r>
              <w:rPr>
                <w:color w:val="1E2933"/>
                <w:sz w:val="17"/>
              </w:rPr>
              <w:t>NHS, paid care, care homes, assessed direct-payment care, professional childcare, workplace support, equipment and adaptations remain funded</w:t>
            </w:r>
          </w:p>
        </w:tc>
        <w:tc>
          <w:tcPr>
            <w:tcW w:type="dxa" w:w="3707"/>
            <w:vAlign w:val="center"/>
            <w:tcMar>
              <w:top w:w="90" w:type="dxa"/>
              <w:start w:w="110" w:type="dxa"/>
              <w:bottom w:w="90" w:type="dxa"/>
              <w:end w:w="110" w:type="dxa"/>
            </w:tcMar>
          </w:tcPr>
          <w:p>
            <w:pPr>
              <w:spacing w:after="0" w:line="252" w:lineRule="auto"/>
              <w:jc w:val="left"/>
            </w:pPr>
            <w:r>
              <w:rPr>
                <w:color w:val="1E2933"/>
                <w:sz w:val="17"/>
              </w:rPr>
              <w:t>Need, credentials and safeguarding are not replaced by automation</w:t>
            </w:r>
          </w:p>
        </w:tc>
      </w:tr>
      <w:tr>
        <w:trPr>
          <w:cantSplit/>
        </w:trPr>
        <w:tc>
          <w:tcPr>
            <w:tcW w:type="dxa" w:w="1730"/>
            <w:vAlign w:val="center"/>
            <w:tcMar>
              <w:top w:w="90" w:type="dxa"/>
              <w:start w:w="110" w:type="dxa"/>
              <w:bottom w:w="90" w:type="dxa"/>
              <w:end w:w="110" w:type="dxa"/>
            </w:tcMar>
            <w:shd w:fill="F7F9FA"/>
          </w:tcPr>
          <w:p>
            <w:pPr>
              <w:spacing w:after="0" w:line="252" w:lineRule="auto"/>
              <w:jc w:val="left"/>
            </w:pPr>
            <w:r>
              <w:rPr>
                <w:color w:val="1E2933"/>
                <w:sz w:val="17"/>
              </w:rPr>
              <w:t>Pensions</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State Pension incorporated; private pensions optional; accrued public-service occupational rights separately protected</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Existing employment rights are not booked as welfare savings</w:t>
            </w:r>
          </w:p>
        </w:tc>
      </w:tr>
      <w:tr>
        <w:trPr>
          <w:cantSplit/>
        </w:trPr>
        <w:tc>
          <w:tcPr>
            <w:tcW w:type="dxa" w:w="1730"/>
            <w:vAlign w:val="center"/>
            <w:tcMar>
              <w:top w:w="90" w:type="dxa"/>
              <w:start w:w="110" w:type="dxa"/>
              <w:bottom w:w="90" w:type="dxa"/>
              <w:end w:w="110" w:type="dxa"/>
            </w:tcMar>
          </w:tcPr>
          <w:p>
            <w:pPr>
              <w:spacing w:after="0" w:line="252" w:lineRule="auto"/>
              <w:jc w:val="left"/>
            </w:pPr>
            <w:r>
              <w:rPr>
                <w:color w:val="1E2933"/>
                <w:sz w:val="17"/>
              </w:rPr>
              <w:t>Common Interest Contribution</w:t>
            </w:r>
          </w:p>
        </w:tc>
        <w:tc>
          <w:tcPr>
            <w:tcW w:type="dxa" w:w="3707"/>
            <w:vAlign w:val="center"/>
            <w:tcMar>
              <w:top w:w="90" w:type="dxa"/>
              <w:start w:w="110" w:type="dxa"/>
              <w:bottom w:w="90" w:type="dxa"/>
              <w:end w:w="110" w:type="dxa"/>
            </w:tcMar>
          </w:tcPr>
          <w:p>
            <w:pPr>
              <w:spacing w:after="0" w:line="252" w:lineRule="auto"/>
              <w:jc w:val="left"/>
            </w:pPr>
            <w:r>
              <w:rPr>
                <w:color w:val="1E2933"/>
                <w:sz w:val="17"/>
              </w:rPr>
              <w:t>Principal remains the saver’s; at least 75% of statutory eligible return goes to the public Fund; bank allowance is no more than 25%</w:t>
            </w:r>
          </w:p>
        </w:tc>
        <w:tc>
          <w:tcPr>
            <w:tcW w:type="dxa" w:w="3707"/>
            <w:vAlign w:val="center"/>
            <w:tcMar>
              <w:top w:w="90" w:type="dxa"/>
              <w:start w:w="110" w:type="dxa"/>
              <w:bottom w:w="90" w:type="dxa"/>
              <w:end w:w="110" w:type="dxa"/>
            </w:tcMar>
          </w:tcPr>
          <w:p>
            <w:pPr>
              <w:spacing w:after="0" w:line="252" w:lineRule="auto"/>
              <w:jc w:val="left"/>
            </w:pPr>
            <w:r>
              <w:rPr>
                <w:color w:val="1E2933"/>
                <w:sz w:val="17"/>
              </w:rPr>
              <w:t>Banks cannot set the contribution to zero by advertising a zero saver rate; gross loan interest is not the base</w:t>
            </w:r>
          </w:p>
        </w:tc>
      </w:tr>
      <w:tr>
        <w:trPr>
          <w:cantSplit/>
        </w:trPr>
        <w:tc>
          <w:tcPr>
            <w:tcW w:type="dxa" w:w="1730"/>
            <w:vAlign w:val="center"/>
            <w:tcMar>
              <w:top w:w="90" w:type="dxa"/>
              <w:start w:w="110" w:type="dxa"/>
              <w:bottom w:w="90" w:type="dxa"/>
              <w:end w:w="110" w:type="dxa"/>
            </w:tcMar>
            <w:shd w:fill="F7F9FA"/>
          </w:tcPr>
          <w:p>
            <w:pPr>
              <w:spacing w:after="0" w:line="252" w:lineRule="auto"/>
              <w:jc w:val="left"/>
            </w:pPr>
            <w:r>
              <w:rPr>
                <w:color w:val="1E2933"/>
                <w:sz w:val="17"/>
              </w:rPr>
              <w:t>Shared Growth Fund</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Perpetual, ring-fenced, arm’s length and invested in additional productive capacity</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Internal gilt coupons, existing-house transfers or asset-price gains are not claimed as growth</w:t>
            </w:r>
          </w:p>
        </w:tc>
      </w:tr>
      <w:tr>
        <w:trPr>
          <w:cantSplit/>
        </w:trPr>
        <w:tc>
          <w:tcPr>
            <w:tcW w:type="dxa" w:w="1730"/>
            <w:vAlign w:val="center"/>
            <w:tcMar>
              <w:top w:w="90" w:type="dxa"/>
              <w:start w:w="110" w:type="dxa"/>
              <w:bottom w:w="90" w:type="dxa"/>
              <w:end w:w="110" w:type="dxa"/>
            </w:tcMar>
          </w:tcPr>
          <w:p>
            <w:pPr>
              <w:spacing w:after="0" w:line="252" w:lineRule="auto"/>
              <w:jc w:val="left"/>
            </w:pPr>
            <w:r>
              <w:rPr>
                <w:color w:val="1E2933"/>
                <w:sz w:val="17"/>
              </w:rPr>
              <w:t>Banking/public options</w:t>
            </w:r>
          </w:p>
        </w:tc>
        <w:tc>
          <w:tcPr>
            <w:tcW w:type="dxa" w:w="3707"/>
            <w:vAlign w:val="center"/>
            <w:tcMar>
              <w:top w:w="90" w:type="dxa"/>
              <w:start w:w="110" w:type="dxa"/>
              <w:bottom w:w="90" w:type="dxa"/>
              <w:end w:w="110" w:type="dxa"/>
            </w:tcMar>
          </w:tcPr>
          <w:p>
            <w:pPr>
              <w:spacing w:after="0" w:line="252" w:lineRule="auto"/>
              <w:jc w:val="left"/>
            </w:pPr>
            <w:r>
              <w:rPr>
                <w:color w:val="1E2933"/>
                <w:sz w:val="17"/>
              </w:rPr>
              <w:t>Existing providers remain; public savings, investment, housing and mortgage functions are modular</w:t>
            </w:r>
          </w:p>
        </w:tc>
        <w:tc>
          <w:tcPr>
            <w:tcW w:type="dxa" w:w="3707"/>
            <w:vAlign w:val="center"/>
            <w:tcMar>
              <w:top w:w="90" w:type="dxa"/>
              <w:start w:w="110" w:type="dxa"/>
              <w:bottom w:w="90" w:type="dxa"/>
              <w:end w:w="110" w:type="dxa"/>
            </w:tcMar>
          </w:tcPr>
          <w:p>
            <w:pPr>
              <w:spacing w:after="0" w:line="252" w:lineRule="auto"/>
              <w:jc w:val="left"/>
            </w:pPr>
            <w:r>
              <w:rPr>
                <w:color w:val="1E2933"/>
                <w:sz w:val="17"/>
              </w:rPr>
              <w:t>Public ownership is not presumed immune from failure or corruption</w:t>
            </w:r>
          </w:p>
        </w:tc>
      </w:tr>
      <w:tr>
        <w:trPr>
          <w:cantSplit/>
        </w:trPr>
        <w:tc>
          <w:tcPr>
            <w:tcW w:type="dxa" w:w="1730"/>
            <w:vAlign w:val="center"/>
            <w:tcMar>
              <w:top w:w="90" w:type="dxa"/>
              <w:start w:w="110" w:type="dxa"/>
              <w:bottom w:w="90" w:type="dxa"/>
              <w:end w:w="110" w:type="dxa"/>
            </w:tcMar>
            <w:shd w:fill="F7F9FA"/>
          </w:tcPr>
          <w:p>
            <w:pPr>
              <w:spacing w:after="0" w:line="252" w:lineRule="auto"/>
              <w:jc w:val="left"/>
            </w:pPr>
            <w:r>
              <w:rPr>
                <w:color w:val="1E2933"/>
                <w:sz w:val="17"/>
              </w:rPr>
              <w:t>Administration</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One citizen-facing rail with offline access, human appeal, parallel running and full reconciliation</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Headcount is not treated as an automatic saving</w:t>
            </w:r>
          </w:p>
        </w:tc>
      </w:tr>
      <w:tr>
        <w:trPr>
          <w:cantSplit/>
        </w:trPr>
        <w:tc>
          <w:tcPr>
            <w:tcW w:type="dxa" w:w="1730"/>
            <w:vAlign w:val="center"/>
            <w:tcMar>
              <w:top w:w="90" w:type="dxa"/>
              <w:start w:w="110" w:type="dxa"/>
              <w:bottom w:w="90" w:type="dxa"/>
              <w:end w:w="110" w:type="dxa"/>
            </w:tcMar>
          </w:tcPr>
          <w:p>
            <w:pPr>
              <w:spacing w:after="0" w:line="252" w:lineRule="auto"/>
              <w:jc w:val="left"/>
            </w:pPr>
            <w:r>
              <w:rPr>
                <w:color w:val="1E2933"/>
                <w:sz w:val="17"/>
              </w:rPr>
              <w:t>Charity and civic action</w:t>
            </w:r>
          </w:p>
        </w:tc>
        <w:tc>
          <w:tcPr>
            <w:tcW w:type="dxa" w:w="3707"/>
            <w:vAlign w:val="center"/>
            <w:tcMar>
              <w:top w:w="90" w:type="dxa"/>
              <w:start w:w="110" w:type="dxa"/>
              <w:bottom w:w="90" w:type="dxa"/>
              <w:end w:w="110" w:type="dxa"/>
            </w:tcMar>
          </w:tcPr>
          <w:p>
            <w:pPr>
              <w:spacing w:after="0" w:line="252" w:lineRule="auto"/>
              <w:jc w:val="left"/>
            </w:pPr>
            <w:r>
              <w:rPr>
                <w:color w:val="1E2933"/>
                <w:sz w:val="17"/>
              </w:rPr>
              <w:t>Care, advocacy, emergency response and civic organisations may continue; public income security reduces avoidable gatekeeping</w:t>
            </w:r>
          </w:p>
        </w:tc>
        <w:tc>
          <w:tcPr>
            <w:tcW w:type="dxa" w:w="3707"/>
            <w:vAlign w:val="center"/>
            <w:tcMar>
              <w:top w:w="90" w:type="dxa"/>
              <w:start w:w="110" w:type="dxa"/>
              <w:bottom w:w="90" w:type="dxa"/>
              <w:end w:w="110" w:type="dxa"/>
            </w:tcMar>
          </w:tcPr>
          <w:p>
            <w:pPr>
              <w:spacing w:after="0" w:line="252" w:lineRule="auto"/>
              <w:jc w:val="left"/>
            </w:pPr>
            <w:r>
              <w:rPr>
                <w:color w:val="1E2933"/>
                <w:sz w:val="17"/>
              </w:rPr>
              <w:t>Charity assets or tax relief are not confiscated; fraud recovery is zero until proven</w:t>
            </w:r>
          </w:p>
        </w:tc>
      </w:tr>
      <w:tr>
        <w:trPr>
          <w:cantSplit/>
        </w:trPr>
        <w:tc>
          <w:tcPr>
            <w:tcW w:type="dxa" w:w="1730"/>
            <w:vAlign w:val="center"/>
            <w:tcMar>
              <w:top w:w="90" w:type="dxa"/>
              <w:start w:w="110" w:type="dxa"/>
              <w:bottom w:w="90" w:type="dxa"/>
              <w:end w:w="110" w:type="dxa"/>
            </w:tcMar>
            <w:shd w:fill="F7F9FA"/>
          </w:tcPr>
          <w:p>
            <w:pPr>
              <w:spacing w:after="0" w:line="252" w:lineRule="auto"/>
              <w:jc w:val="left"/>
            </w:pPr>
            <w:r>
              <w:rPr>
                <w:color w:val="1E2933"/>
                <w:sz w:val="17"/>
              </w:rPr>
              <w:t>Housing interface</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Universal Payment can support affordability; public finance must be tied to additional homes, retrofit and infrastructure</w:t>
            </w:r>
          </w:p>
        </w:tc>
        <w:tc>
          <w:tcPr>
            <w:tcW w:type="dxa" w:w="3707"/>
            <w:vAlign w:val="center"/>
            <w:tcMar>
              <w:top w:w="90" w:type="dxa"/>
              <w:start w:w="110" w:type="dxa"/>
              <w:bottom w:w="90" w:type="dxa"/>
              <w:end w:w="110" w:type="dxa"/>
            </w:tcMar>
            <w:shd w:fill="F7F9FA"/>
          </w:tcPr>
          <w:p>
            <w:pPr>
              <w:spacing w:after="0" w:line="252" w:lineRule="auto"/>
              <w:jc w:val="left"/>
            </w:pPr>
            <w:r>
              <w:rPr>
                <w:color w:val="1E2933"/>
                <w:sz w:val="17"/>
              </w:rPr>
              <w:t>Easier credit without supply is not treated as real growth and may inflate land and house prices</w:t>
            </w:r>
          </w:p>
        </w:tc>
      </w:tr>
    </w:tbl>
    <w:p>
      <w:pPr>
        <w:spacing w:after="20"/>
      </w:pPr>
    </w:p>
    <w:p>
      <w:pPr>
        <w:pStyle w:val="Heading2"/>
      </w:pPr>
      <w:r>
        <w:t>3.1 The payment boundary</w:t>
      </w:r>
    </w:p>
    <w:p>
      <w:r>
        <w:t xml:space="preserve">The legal classification follows </w:t>
      </w:r>
      <w:r>
        <w:rPr>
          <w:b/>
        </w:rPr>
        <w:t>economic purpose, not payment route</w:t>
      </w:r>
      <w:r>
        <w:t>. Ordinary unrestricted cash is incorporated even when paid to a landlord or nominee. A restricted budget purchasing an assessed professional service remains separately funded even when routed through the person. Loans, compensation, maintenance pass-throughs and accrued employment obligations remain separate.</w:t>
      </w:r>
    </w:p>
    <w:p>
      <w:pPr>
        <w:pStyle w:val="Heading2"/>
      </w:pPr>
      <w:r>
        <w:t>3.2 Charity, tax avoidance and alleged misuse</w:t>
      </w:r>
    </w:p>
    <w:p>
      <w:r>
        <w:t>The Universal Payment should reduce the need for charities to police destitution through repeated income tests. It may allow staff and volunteers to spend more time on physical help, advocacy, companionship, specialist support, emergency response and community development. It does not make all charities unnecessary, and it does not establish that accumulated charity funds or investment income are being stolen.</w:t>
      </w:r>
    </w:p>
    <w:p>
      <w:r>
        <w:t xml:space="preserve">The current model books </w:t>
      </w:r>
      <w:r>
        <w:rPr>
          <w:b/>
        </w:rPr>
        <w:t>no general charity-fraud recovery</w:t>
      </w:r>
      <w:r>
        <w:t xml:space="preserve">. HMRC estimated charity tax relief at about £7.4 billion in 2025–26, but a tax relief is not automatically recoverable revenue and charitable reserves are often legally restricted. Version 2 must examine relief eligibility, related-party transactions, executive remuneration, dormant funds, public contracts and beneficial ownership case by case, with allegation, evidence, adjudication and recovery kept separate. </w:t>
      </w:r>
      <w:r>
        <w:t xml:space="preserve"> </w:t>
      </w:r>
      <w:hyperlink r:id="rId14">
        <w:r>
          <w:rPr>
            <w:color w:val="006D77"/>
            <w:u w:val="single"/>
          </w:rPr>
          <w:t>[2]</w:t>
        </w:r>
      </w:hyperlink>
    </w:p>
    <w:p>
      <w:pPr>
        <w:pStyle w:val="Heading2"/>
      </w:pPr>
      <w:r>
        <w:t>3.3 Housing and construction boundary</w:t>
      </w:r>
    </w:p>
    <w:p>
      <w:r>
        <w:t>This policy defines the financial interface only. The housing and construction companion papers will model land, planning, labour, materials, infrastructure, regional capacity, tenure and cost control. Here, the rule is simple: public mortgage support and Fund investment must be paired with additional supply. A mortgage on an existing house transfers an asset; construction, retrofit and enabling infrastructure create measured output.</w:t>
      </w:r>
    </w:p>
    <w:p>
      <w:pPr>
        <w:pStyle w:val="Heading1"/>
      </w:pPr>
      <w:r>
        <w:t>4. People, institutions and capability-aligned work</w:t>
      </w:r>
    </w:p>
    <w:p>
      <w:pPr>
        <w:keepNext/>
        <w:jc w:val="center"/>
      </w:pPr>
      <w:r>
        <w:drawing>
          <wp:inline xmlns:a="http://schemas.openxmlformats.org/drawingml/2006/main" xmlns:pic="http://schemas.openxmlformats.org/drawingml/2006/picture">
            <wp:extent cx="5897880" cy="3532698"/>
            <wp:docPr id="3" name="Picture 3" title="Figure 3" descr="Workforce transition model. Simplification changes work; it does not presume people or essential institutions disappear."/>
            <wp:cNvGraphicFramePr>
              <a:graphicFrameLocks noChangeAspect="1"/>
            </wp:cNvGraphicFramePr>
            <a:graphic>
              <a:graphicData uri="http://schemas.openxmlformats.org/drawingml/2006/picture">
                <pic:pic>
                  <pic:nvPicPr>
                    <pic:cNvPr id="0" name="workforce_transition.png"/>
                    <pic:cNvPicPr/>
                  </pic:nvPicPr>
                  <pic:blipFill>
                    <a:blip r:embed="rId15"/>
                    <a:stretch>
                      <a:fillRect/>
                    </a:stretch>
                  </pic:blipFill>
                  <pic:spPr>
                    <a:xfrm>
                      <a:off x="0" y="0"/>
                      <a:ext cx="5897880" cy="3532698"/>
                    </a:xfrm>
                    <a:prstGeom prst="rect"/>
                  </pic:spPr>
                </pic:pic>
              </a:graphicData>
            </a:graphic>
          </wp:inline>
        </w:drawing>
      </w:r>
    </w:p>
    <w:p>
      <w:pPr>
        <w:pStyle w:val="PolicyCaption"/>
        <w:jc w:val="left"/>
      </w:pPr>
      <w:r>
        <w:rPr>
          <w:b/>
        </w:rPr>
        <w:t xml:space="preserve">Figure 3. </w:t>
      </w:r>
      <w:r>
        <w:t>Workforce transition model. Simplification changes work; it does not presume people or essential institutions disappear.</w:t>
      </w:r>
    </w:p>
    <w:p>
      <w:r>
        <w:rPr>
          <w:b/>
        </w:rPr>
        <w:t>No institution or person is labelled redundant merely because a form, rule or legacy system disappears.</w:t>
      </w:r>
      <w:r>
        <w:t xml:space="preserve"> Functions are mapped before posts. Critical functions continue; avoidable work is removed; people are offered transparent routes into retained roles, professional training, new public investment delivery, other public services, community or private employment, or voluntary separation under fair terms.</w:t>
      </w:r>
    </w:p>
    <w:p>
      <w:r>
        <w:t>The transition must be designed with workers and unions, not imposed on them. It requires a skills and interests profile chosen with each worker; recognition of experience; funded training; reasonable adjustments; credential and safeguarding checks; geographic and caring constraints; salary and pension protections during transition; transparent vacancy matching; an appeal route; and equality monitoring.</w:t>
      </w:r>
    </w:p>
    <w:p>
      <w:r>
        <w:t>Redeployment is an economic claim only when measured. If a worker moves from repetitive processing to resolving complex access failures, public service quality may rise without a payroll saving. If their wage continues, the fiscal bridge records zero cashable saving. If the new work prevents error, speeds investment or supplies a service, the model records the relevant outcome separately. It must never count the same hour as both an administrative saving and new output.</w:t>
      </w:r>
    </w:p>
    <w:p>
      <w:r>
        <w:t>Administrative change is reported in three ledgers:</w:t>
      </w:r>
    </w:p>
    <w:tbl>
      <w:tblPr>
        <w:tblW w:type="dxa" w:w="9145"/>
        <w:jc w:val="center"/>
        <w:tblLayout w:type="fixed"/>
        <w:tblLook w:firstColumn="1" w:firstRow="1" w:lastColumn="0" w:lastRow="0" w:noHBand="0" w:noVBand="1" w:val="04A0"/>
        <w:tblInd w:type="dxa" w:w="110"/>
      </w:tblPr>
      <w:tblGrid>
        <w:gridCol w:w="1135"/>
        <w:gridCol w:w="4005"/>
        <w:gridCol w:w="4005"/>
      </w:tblGrid>
      <w:tr>
        <w:trPr>
          <w:cantSplit/>
          <w:tblHeader w:val="true"/>
        </w:trPr>
        <w:tc>
          <w:tcPr>
            <w:tcW w:type="dxa" w:w="1135"/>
            <w:vAlign w:val="center"/>
            <w:tcMar>
              <w:top w:w="90" w:type="dxa"/>
              <w:start w:w="110" w:type="dxa"/>
              <w:bottom w:w="90" w:type="dxa"/>
              <w:end w:w="110" w:type="dxa"/>
            </w:tcMar>
            <w:shd w:fill="16324F"/>
          </w:tcPr>
          <w:p>
            <w:pPr>
              <w:spacing w:after="0" w:line="252" w:lineRule="auto"/>
              <w:jc w:val="left"/>
            </w:pPr>
            <w:r>
              <w:rPr>
                <w:b/>
                <w:color w:val="FFFFFF"/>
                <w:sz w:val="17"/>
              </w:rPr>
              <w:t>Ledger</w:t>
            </w:r>
          </w:p>
        </w:tc>
        <w:tc>
          <w:tcPr>
            <w:tcW w:type="dxa" w:w="4005"/>
            <w:vAlign w:val="center"/>
            <w:tcMar>
              <w:top w:w="90" w:type="dxa"/>
              <w:start w:w="110" w:type="dxa"/>
              <w:bottom w:w="90" w:type="dxa"/>
              <w:end w:w="110" w:type="dxa"/>
            </w:tcMar>
            <w:shd w:fill="16324F"/>
          </w:tcPr>
          <w:p>
            <w:pPr>
              <w:spacing w:after="0" w:line="252" w:lineRule="auto"/>
              <w:jc w:val="left"/>
            </w:pPr>
            <w:r>
              <w:rPr>
                <w:b/>
                <w:color w:val="FFFFFF"/>
                <w:sz w:val="17"/>
              </w:rPr>
              <w:t>Definition</w:t>
            </w:r>
          </w:p>
        </w:tc>
        <w:tc>
          <w:tcPr>
            <w:tcW w:type="dxa" w:w="4005"/>
            <w:vAlign w:val="center"/>
            <w:tcMar>
              <w:top w:w="90" w:type="dxa"/>
              <w:start w:w="110" w:type="dxa"/>
              <w:bottom w:w="90" w:type="dxa"/>
              <w:end w:w="110" w:type="dxa"/>
            </w:tcMar>
            <w:shd w:fill="16324F"/>
          </w:tcPr>
          <w:p>
            <w:pPr>
              <w:spacing w:after="0" w:line="252" w:lineRule="auto"/>
              <w:jc w:val="left"/>
            </w:pPr>
            <w:r>
              <w:rPr>
                <w:b/>
                <w:color w:val="FFFFFF"/>
                <w:sz w:val="17"/>
              </w:rPr>
              <w:t>When it affects the fiscal model</w:t>
            </w:r>
          </w:p>
        </w:tc>
      </w:tr>
      <w:tr>
        <w:trPr>
          <w:cantSplit/>
        </w:trPr>
        <w:tc>
          <w:tcPr>
            <w:tcW w:type="dxa" w:w="1135"/>
            <w:vAlign w:val="center"/>
            <w:tcMar>
              <w:top w:w="90" w:type="dxa"/>
              <w:start w:w="110" w:type="dxa"/>
              <w:bottom w:w="90" w:type="dxa"/>
              <w:end w:w="110" w:type="dxa"/>
            </w:tcMar>
          </w:tcPr>
          <w:p>
            <w:pPr>
              <w:spacing w:after="0" w:line="252" w:lineRule="auto"/>
              <w:jc w:val="left"/>
            </w:pPr>
            <w:r>
              <w:rPr>
                <w:color w:val="1E2933"/>
                <w:sz w:val="17"/>
              </w:rPr>
              <w:t>Capacity released</w:t>
            </w:r>
          </w:p>
        </w:tc>
        <w:tc>
          <w:tcPr>
            <w:tcW w:type="dxa" w:w="4005"/>
            <w:vAlign w:val="center"/>
            <w:tcMar>
              <w:top w:w="90" w:type="dxa"/>
              <w:start w:w="110" w:type="dxa"/>
              <w:bottom w:w="90" w:type="dxa"/>
              <w:end w:w="110" w:type="dxa"/>
            </w:tcMar>
          </w:tcPr>
          <w:p>
            <w:pPr>
              <w:spacing w:after="0" w:line="252" w:lineRule="auto"/>
              <w:jc w:val="left"/>
            </w:pPr>
            <w:r>
              <w:rPr>
                <w:color w:val="1E2933"/>
                <w:sz w:val="17"/>
              </w:rPr>
              <w:t>Fewer forms, calls, checks, reconciliations or waiting hours</w:t>
            </w:r>
          </w:p>
        </w:tc>
        <w:tc>
          <w:tcPr>
            <w:tcW w:type="dxa" w:w="4005"/>
            <w:vAlign w:val="center"/>
            <w:tcMar>
              <w:top w:w="90" w:type="dxa"/>
              <w:start w:w="110" w:type="dxa"/>
              <w:bottom w:w="90" w:type="dxa"/>
              <w:end w:w="110" w:type="dxa"/>
            </w:tcMar>
          </w:tcPr>
          <w:p>
            <w:pPr>
              <w:spacing w:after="0" w:line="252" w:lineRule="auto"/>
              <w:jc w:val="left"/>
            </w:pPr>
            <w:r>
              <w:rPr>
                <w:color w:val="1E2933"/>
                <w:sz w:val="17"/>
              </w:rPr>
              <w:t>Not a saving by itself; supports service/productivity evaluation</w:t>
            </w:r>
          </w:p>
        </w:tc>
      </w:tr>
      <w:tr>
        <w:trPr>
          <w:cantSplit/>
        </w:trPr>
        <w:tc>
          <w:tcPr>
            <w:tcW w:type="dxa" w:w="1135"/>
            <w:vAlign w:val="center"/>
            <w:tcMar>
              <w:top w:w="90" w:type="dxa"/>
              <w:start w:w="110" w:type="dxa"/>
              <w:bottom w:w="90" w:type="dxa"/>
              <w:end w:w="110" w:type="dxa"/>
            </w:tcMar>
            <w:shd w:fill="F7F9FA"/>
          </w:tcPr>
          <w:p>
            <w:pPr>
              <w:spacing w:after="0" w:line="252" w:lineRule="auto"/>
              <w:jc w:val="left"/>
            </w:pPr>
            <w:r>
              <w:rPr>
                <w:color w:val="1E2933"/>
                <w:sz w:val="17"/>
              </w:rPr>
              <w:t>Cashable saving</w:t>
            </w:r>
          </w:p>
        </w:tc>
        <w:tc>
          <w:tcPr>
            <w:tcW w:type="dxa" w:w="4005"/>
            <w:vAlign w:val="center"/>
            <w:tcMar>
              <w:top w:w="90" w:type="dxa"/>
              <w:start w:w="110" w:type="dxa"/>
              <w:bottom w:w="90" w:type="dxa"/>
              <w:end w:w="110" w:type="dxa"/>
            </w:tcMar>
            <w:shd w:fill="F7F9FA"/>
          </w:tcPr>
          <w:p>
            <w:pPr>
              <w:spacing w:after="0" w:line="252" w:lineRule="auto"/>
              <w:jc w:val="left"/>
            </w:pPr>
            <w:r>
              <w:rPr>
                <w:color w:val="1E2933"/>
                <w:sz w:val="17"/>
              </w:rPr>
              <w:t>Payroll, estate, lease, contract, licence, printing or system spend actually ends net of replacement cost</w:t>
            </w:r>
          </w:p>
        </w:tc>
        <w:tc>
          <w:tcPr>
            <w:tcW w:type="dxa" w:w="4005"/>
            <w:vAlign w:val="center"/>
            <w:tcMar>
              <w:top w:w="90" w:type="dxa"/>
              <w:start w:w="110" w:type="dxa"/>
              <w:bottom w:w="90" w:type="dxa"/>
              <w:end w:w="110" w:type="dxa"/>
            </w:tcMar>
            <w:shd w:fill="F7F9FA"/>
          </w:tcPr>
          <w:p>
            <w:pPr>
              <w:spacing w:after="0" w:line="252" w:lineRule="auto"/>
              <w:jc w:val="left"/>
            </w:pPr>
            <w:r>
              <w:rPr>
                <w:color w:val="1E2933"/>
                <w:sz w:val="17"/>
              </w:rPr>
              <w:t>Enters fiscal bridge after audited closure</w:t>
            </w:r>
          </w:p>
        </w:tc>
      </w:tr>
      <w:tr>
        <w:trPr>
          <w:cantSplit/>
        </w:trPr>
        <w:tc>
          <w:tcPr>
            <w:tcW w:type="dxa" w:w="1135"/>
            <w:vAlign w:val="center"/>
            <w:tcMar>
              <w:top w:w="90" w:type="dxa"/>
              <w:start w:w="110" w:type="dxa"/>
              <w:bottom w:w="90" w:type="dxa"/>
              <w:end w:w="110" w:type="dxa"/>
            </w:tcMar>
          </w:tcPr>
          <w:p>
            <w:pPr>
              <w:spacing w:after="0" w:line="252" w:lineRule="auto"/>
              <w:jc w:val="left"/>
            </w:pPr>
            <w:r>
              <w:rPr>
                <w:color w:val="1E2933"/>
                <w:sz w:val="17"/>
              </w:rPr>
              <w:t>Avoided loss</w:t>
            </w:r>
          </w:p>
        </w:tc>
        <w:tc>
          <w:tcPr>
            <w:tcW w:type="dxa" w:w="4005"/>
            <w:vAlign w:val="center"/>
            <w:tcMar>
              <w:top w:w="90" w:type="dxa"/>
              <w:start w:w="110" w:type="dxa"/>
              <w:bottom w:w="90" w:type="dxa"/>
              <w:end w:w="110" w:type="dxa"/>
            </w:tcMar>
          </w:tcPr>
          <w:p>
            <w:pPr>
              <w:spacing w:after="0" w:line="252" w:lineRule="auto"/>
              <w:jc w:val="left"/>
            </w:pPr>
            <w:r>
              <w:rPr>
                <w:color w:val="1E2933"/>
                <w:sz w:val="17"/>
              </w:rPr>
              <w:t>Fraud, duplicate payment, error or leakage prevented, net of false rejection, underpayment, appeal and enforcement cost</w:t>
            </w:r>
          </w:p>
        </w:tc>
        <w:tc>
          <w:tcPr>
            <w:tcW w:type="dxa" w:w="4005"/>
            <w:vAlign w:val="center"/>
            <w:tcMar>
              <w:top w:w="90" w:type="dxa"/>
              <w:start w:w="110" w:type="dxa"/>
              <w:bottom w:w="90" w:type="dxa"/>
              <w:end w:w="110" w:type="dxa"/>
            </w:tcMar>
          </w:tcPr>
          <w:p>
            <w:pPr>
              <w:spacing w:after="0" w:line="252" w:lineRule="auto"/>
              <w:jc w:val="left"/>
            </w:pPr>
            <w:r>
              <w:rPr>
                <w:color w:val="1E2933"/>
                <w:sz w:val="17"/>
              </w:rPr>
              <w:t>Enters only after independent counterfactual and recovery evidence</w:t>
            </w:r>
          </w:p>
        </w:tc>
      </w:tr>
    </w:tbl>
    <w:p>
      <w:pPr>
        <w:spacing w:after="20"/>
      </w:pPr>
    </w:p>
    <w:p>
      <w:r>
        <w:t>Likely growth roles include accessible case resolution, professional care, early intervention, health and disability coordination, fraud and procurement investigation, data quality, cyber defence, appeals, open-data publishing, regional investment appraisal, construction programme delivery and independent evaluation. Professional licences are not bypassed; interest and aptitude create a route into training, not an exemption from competence.</w:t>
      </w:r>
    </w:p>
    <w:p>
      <w:pPr>
        <w:pStyle w:val="Heading1"/>
      </w:pPr>
      <w:r>
        <w:t>5. Financial and administrative comparator evidence</w:t>
      </w:r>
    </w:p>
    <w:p>
      <w:r>
        <w:t xml:space="preserve">No comparator below proves the complete policy. Each is used to test one mechanism, show an implementation risk or provide a measurement benchmark. Percentages from different countries are </w:t>
      </w:r>
      <w:r>
        <w:rPr>
          <w:b/>
        </w:rPr>
        <w:t>never added together</w:t>
      </w:r>
      <w:r>
        <w:t>.</w:t>
      </w:r>
    </w:p>
    <w:tbl>
      <w:tblPr>
        <w:tblW w:type="dxa" w:w="9145"/>
        <w:jc w:val="center"/>
        <w:tblLayout w:type="fixed"/>
        <w:tblLook w:firstColumn="1" w:firstRow="1" w:lastColumn="0" w:lastRow="0" w:noHBand="0" w:noVBand="1" w:val="04A0"/>
        <w:tblInd w:type="dxa" w:w="110"/>
      </w:tblPr>
      <w:tblGrid>
        <w:gridCol w:w="1696"/>
        <w:gridCol w:w="2483"/>
        <w:gridCol w:w="2483"/>
        <w:gridCol w:w="2483"/>
      </w:tblGrid>
      <w:tr>
        <w:trPr>
          <w:cantSplit/>
          <w:tblHeader w:val="true"/>
        </w:trPr>
        <w:tc>
          <w:tcPr>
            <w:tcW w:type="dxa" w:w="1696"/>
            <w:vAlign w:val="center"/>
            <w:tcMar>
              <w:top w:w="90" w:type="dxa"/>
              <w:start w:w="110" w:type="dxa"/>
              <w:bottom w:w="90" w:type="dxa"/>
              <w:end w:w="110" w:type="dxa"/>
            </w:tcMar>
            <w:shd w:fill="16324F"/>
          </w:tcPr>
          <w:p>
            <w:pPr>
              <w:spacing w:after="0" w:line="252" w:lineRule="auto"/>
              <w:jc w:val="left"/>
            </w:pPr>
            <w:r>
              <w:rPr>
                <w:b/>
                <w:color w:val="FFFFFF"/>
                <w:sz w:val="17"/>
              </w:rPr>
              <w:t>Comparator</w:t>
            </w:r>
          </w:p>
        </w:tc>
        <w:tc>
          <w:tcPr>
            <w:tcW w:type="dxa" w:w="2483"/>
            <w:vAlign w:val="center"/>
            <w:tcMar>
              <w:top w:w="90" w:type="dxa"/>
              <w:start w:w="110" w:type="dxa"/>
              <w:bottom w:w="90" w:type="dxa"/>
              <w:end w:w="110" w:type="dxa"/>
            </w:tcMar>
            <w:shd w:fill="16324F"/>
          </w:tcPr>
          <w:p>
            <w:pPr>
              <w:spacing w:after="0" w:line="252" w:lineRule="auto"/>
              <w:jc w:val="left"/>
            </w:pPr>
            <w:r>
              <w:rPr>
                <w:b/>
                <w:color w:val="FFFFFF"/>
                <w:sz w:val="17"/>
              </w:rPr>
              <w:t>Observed or reported result</w:t>
            </w:r>
          </w:p>
        </w:tc>
        <w:tc>
          <w:tcPr>
            <w:tcW w:type="dxa" w:w="2483"/>
            <w:vAlign w:val="center"/>
            <w:tcMar>
              <w:top w:w="90" w:type="dxa"/>
              <w:start w:w="110" w:type="dxa"/>
              <w:bottom w:w="90" w:type="dxa"/>
              <w:end w:w="110" w:type="dxa"/>
            </w:tcMar>
            <w:shd w:fill="16324F"/>
          </w:tcPr>
          <w:p>
            <w:pPr>
              <w:spacing w:after="0" w:line="252" w:lineRule="auto"/>
              <w:jc w:val="left"/>
            </w:pPr>
            <w:r>
              <w:rPr>
                <w:b/>
                <w:color w:val="FFFFFF"/>
                <w:sz w:val="17"/>
              </w:rPr>
              <w:t>Legitimate use here</w:t>
            </w:r>
          </w:p>
        </w:tc>
        <w:tc>
          <w:tcPr>
            <w:tcW w:type="dxa" w:w="2483"/>
            <w:vAlign w:val="center"/>
            <w:tcMar>
              <w:top w:w="90" w:type="dxa"/>
              <w:start w:w="110" w:type="dxa"/>
              <w:bottom w:w="90" w:type="dxa"/>
              <w:end w:w="110" w:type="dxa"/>
            </w:tcMar>
            <w:shd w:fill="16324F"/>
          </w:tcPr>
          <w:p>
            <w:pPr>
              <w:spacing w:after="0" w:line="252" w:lineRule="auto"/>
              <w:jc w:val="left"/>
            </w:pPr>
            <w:r>
              <w:rPr>
                <w:b/>
                <w:color w:val="FFFFFF"/>
                <w:sz w:val="17"/>
              </w:rPr>
              <w:t>What it does not prove</w:t>
            </w:r>
          </w:p>
        </w:tc>
      </w:tr>
      <w:tr>
        <w:trPr>
          <w:cantSplit/>
        </w:trPr>
        <w:tc>
          <w:tcPr>
            <w:tcW w:type="dxa" w:w="1696"/>
            <w:vAlign w:val="center"/>
            <w:tcMar>
              <w:top w:w="90" w:type="dxa"/>
              <w:start w:w="110" w:type="dxa"/>
              <w:bottom w:w="90" w:type="dxa"/>
              <w:end w:w="110" w:type="dxa"/>
            </w:tcMar>
          </w:tcPr>
          <w:p>
            <w:pPr>
              <w:spacing w:after="0" w:line="252" w:lineRule="auto"/>
              <w:jc w:val="left"/>
            </w:pPr>
            <w:r>
              <w:rPr>
                <w:color w:val="1E2933"/>
                <w:sz w:val="17"/>
              </w:rPr>
              <w:t>Finland basic-income experiment, 2017–18</w:t>
            </w:r>
          </w:p>
        </w:tc>
        <w:tc>
          <w:tcPr>
            <w:tcW w:type="dxa" w:w="2483"/>
            <w:vAlign w:val="center"/>
            <w:tcMar>
              <w:top w:w="90" w:type="dxa"/>
              <w:start w:w="110" w:type="dxa"/>
              <w:bottom w:w="90" w:type="dxa"/>
              <w:end w:w="110" w:type="dxa"/>
            </w:tcMar>
          </w:tcPr>
          <w:p>
            <w:pPr>
              <w:spacing w:after="0" w:line="252" w:lineRule="auto"/>
              <w:jc w:val="left"/>
            </w:pPr>
            <w:r>
              <w:rPr>
                <w:color w:val="1E2933"/>
                <w:sz w:val="17"/>
              </w:rPr>
              <w:t xml:space="preserve">2,000 unemployed adults received €560 monthly. First-year employment effect was +1.5 days (95% CI −2.3 to +5.4); reported wellbeing and financial stress improved. </w:t>
            </w:r>
            <w:r>
              <w:rPr>
                <w:sz w:val="17"/>
              </w:rPr>
              <w:t xml:space="preserve"> </w:t>
            </w:r>
            <w:hyperlink r:id="rId16">
              <w:r>
                <w:rPr>
                  <w:color w:val="006D77"/>
                  <w:u w:val="single"/>
                </w:rPr>
                <w:t>[3]</w:t>
              </w:r>
            </w:hyperlink>
            <w:r>
              <w:rPr>
                <w:color w:val="1E2933"/>
                <w:sz w:val="17"/>
              </w:rPr>
              <w:t xml:space="preserve"> </w:t>
            </w:r>
            <w:r>
              <w:rPr>
                <w:sz w:val="17"/>
              </w:rPr>
              <w:t xml:space="preserve"> </w:t>
            </w:r>
            <w:hyperlink r:id="rId17">
              <w:r>
                <w:rPr>
                  <w:color w:val="006D77"/>
                  <w:u w:val="single"/>
                </w:rPr>
                <w:t>[4]</w:t>
              </w:r>
            </w:hyperlink>
          </w:p>
        </w:tc>
        <w:tc>
          <w:tcPr>
            <w:tcW w:type="dxa" w:w="2483"/>
            <w:vAlign w:val="center"/>
            <w:tcMar>
              <w:top w:w="90" w:type="dxa"/>
              <w:start w:w="110" w:type="dxa"/>
              <w:bottom w:w="90" w:type="dxa"/>
              <w:end w:w="110" w:type="dxa"/>
            </w:tcMar>
          </w:tcPr>
          <w:p>
            <w:pPr>
              <w:spacing w:after="0" w:line="252" w:lineRule="auto"/>
              <w:jc w:val="left"/>
            </w:pPr>
            <w:r>
              <w:rPr>
                <w:color w:val="1E2933"/>
                <w:sz w:val="17"/>
              </w:rPr>
              <w:t>Income security can reduce stress without a large first-year employment response</w:t>
            </w:r>
          </w:p>
        </w:tc>
        <w:tc>
          <w:tcPr>
            <w:tcW w:type="dxa" w:w="2483"/>
            <w:vAlign w:val="center"/>
            <w:tcMar>
              <w:top w:w="90" w:type="dxa"/>
              <w:start w:w="110" w:type="dxa"/>
              <w:bottom w:w="90" w:type="dxa"/>
              <w:end w:w="110" w:type="dxa"/>
            </w:tcMar>
          </w:tcPr>
          <w:p>
            <w:pPr>
              <w:spacing w:after="0" w:line="252" w:lineRule="auto"/>
              <w:jc w:val="left"/>
            </w:pPr>
            <w:r>
              <w:rPr>
                <w:color w:val="1E2933"/>
                <w:sz w:val="17"/>
              </w:rPr>
              <w:t>A universal £36,000 payment, UK GDP uplift, inflation neutrality or service abolition</w:t>
            </w:r>
          </w:p>
        </w:tc>
      </w:tr>
      <w:tr>
        <w:trPr>
          <w:cantSplit/>
        </w:trPr>
        <w:tc>
          <w:tcPr>
            <w:tcW w:type="dxa" w:w="1696"/>
            <w:vAlign w:val="center"/>
            <w:tcMar>
              <w:top w:w="90" w:type="dxa"/>
              <w:start w:w="110" w:type="dxa"/>
              <w:bottom w:w="90" w:type="dxa"/>
              <w:end w:w="110" w:type="dxa"/>
            </w:tcMar>
            <w:shd w:fill="F7F9FA"/>
          </w:tcPr>
          <w:p>
            <w:pPr>
              <w:spacing w:after="0" w:line="252" w:lineRule="auto"/>
              <w:jc w:val="left"/>
            </w:pPr>
            <w:r>
              <w:rPr>
                <w:color w:val="1E2933"/>
                <w:sz w:val="17"/>
              </w:rPr>
              <w:t>Alaska Permanent Fund Dividend</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 xml:space="preserve">2024 payment was $1,702 to 621,902 qualified people; $1.058bn distributed. Long-run research found no significant aggregate employment change and a 1.8 percentage-point rise in part-time work. </w:t>
            </w:r>
            <w:r>
              <w:rPr>
                <w:sz w:val="17"/>
              </w:rPr>
              <w:t xml:space="preserve"> </w:t>
            </w:r>
            <w:hyperlink r:id="rId18">
              <w:r>
                <w:rPr>
                  <w:color w:val="006D77"/>
                  <w:u w:val="single"/>
                </w:rPr>
                <w:t>[5]</w:t>
              </w:r>
            </w:hyperlink>
            <w:r>
              <w:rPr>
                <w:color w:val="1E2933"/>
                <w:sz w:val="17"/>
              </w:rPr>
              <w:t xml:space="preserve"> </w:t>
            </w:r>
            <w:r>
              <w:rPr>
                <w:sz w:val="17"/>
              </w:rPr>
              <w:t xml:space="preserve"> </w:t>
            </w:r>
            <w:hyperlink r:id="rId19">
              <w:r>
                <w:rPr>
                  <w:color w:val="006D77"/>
                  <w:u w:val="single"/>
                </w:rPr>
                <w:t>[6]</w:t>
              </w:r>
            </w:hyperlink>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A universal resident dividend can be administered over decades while work continues</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A liveable monthly UBI, benefit or pension replacement, tax financing or UK affordability</w:t>
            </w:r>
          </w:p>
        </w:tc>
      </w:tr>
      <w:tr>
        <w:trPr>
          <w:cantSplit/>
        </w:trPr>
        <w:tc>
          <w:tcPr>
            <w:tcW w:type="dxa" w:w="1696"/>
            <w:vAlign w:val="center"/>
            <w:tcMar>
              <w:top w:w="90" w:type="dxa"/>
              <w:start w:w="110" w:type="dxa"/>
              <w:bottom w:w="90" w:type="dxa"/>
              <w:end w:w="110" w:type="dxa"/>
            </w:tcMar>
          </w:tcPr>
          <w:p>
            <w:pPr>
              <w:spacing w:after="0" w:line="252" w:lineRule="auto"/>
              <w:jc w:val="left"/>
            </w:pPr>
            <w:r>
              <w:rPr>
                <w:color w:val="1E2933"/>
                <w:sz w:val="17"/>
              </w:rPr>
              <w:t>New Zealand Superannuation</w:t>
            </w:r>
          </w:p>
        </w:tc>
        <w:tc>
          <w:tcPr>
            <w:tcW w:type="dxa" w:w="2483"/>
            <w:vAlign w:val="center"/>
            <w:tcMar>
              <w:top w:w="90" w:type="dxa"/>
              <w:start w:w="110" w:type="dxa"/>
              <w:bottom w:w="90" w:type="dxa"/>
              <w:end w:w="110" w:type="dxa"/>
            </w:tcMar>
          </w:tcPr>
          <w:p>
            <w:pPr>
              <w:spacing w:after="0" w:line="252" w:lineRule="auto"/>
              <w:jc w:val="left"/>
            </w:pPr>
            <w:r>
              <w:rPr>
                <w:color w:val="1E2933"/>
                <w:sz w:val="17"/>
              </w:rPr>
              <w:t xml:space="preserve">A taxable, residence-based near-universal pension covered 974,001 people in June 2026. The 2026–27 appropriation is NZ$26.481bn and payment-service spending is small relative to transfers. Yet 12.0% also received Disability Allowance, 4.9% Accommodation Supplement and 1.3% temporary support. </w:t>
            </w:r>
            <w:r>
              <w:rPr>
                <w:sz w:val="17"/>
              </w:rPr>
              <w:t xml:space="preserve"> </w:t>
            </w:r>
            <w:hyperlink r:id="rId20">
              <w:r>
                <w:rPr>
                  <w:color w:val="006D77"/>
                  <w:u w:val="single"/>
                </w:rPr>
                <w:t>[7]</w:t>
              </w:r>
            </w:hyperlink>
            <w:r>
              <w:rPr>
                <w:color w:val="1E2933"/>
                <w:sz w:val="17"/>
              </w:rPr>
              <w:t xml:space="preserve"> </w:t>
            </w:r>
            <w:r>
              <w:rPr>
                <w:sz w:val="17"/>
              </w:rPr>
              <w:t xml:space="preserve"> </w:t>
            </w:r>
            <w:hyperlink r:id="rId21">
              <w:r>
                <w:rPr>
                  <w:color w:val="006D77"/>
                  <w:u w:val="single"/>
                </w:rPr>
                <w:t>[8]</w:t>
              </w:r>
            </w:hyperlink>
          </w:p>
        </w:tc>
        <w:tc>
          <w:tcPr>
            <w:tcW w:type="dxa" w:w="2483"/>
            <w:vAlign w:val="center"/>
            <w:tcMar>
              <w:top w:w="90" w:type="dxa"/>
              <w:start w:w="110" w:type="dxa"/>
              <w:bottom w:w="90" w:type="dxa"/>
              <w:end w:w="110" w:type="dxa"/>
            </w:tcMar>
          </w:tcPr>
          <w:p>
            <w:pPr>
              <w:spacing w:after="0" w:line="252" w:lineRule="auto"/>
              <w:jc w:val="left"/>
            </w:pPr>
            <w:r>
              <w:rPr>
                <w:color w:val="1E2933"/>
                <w:sz w:val="17"/>
              </w:rPr>
              <w:t>A low-friction taxable pension can coexist with paid work; specialist need remains</w:t>
            </w:r>
          </w:p>
        </w:tc>
        <w:tc>
          <w:tcPr>
            <w:tcW w:type="dxa" w:w="2483"/>
            <w:vAlign w:val="center"/>
            <w:tcMar>
              <w:top w:w="90" w:type="dxa"/>
              <w:start w:w="110" w:type="dxa"/>
              <w:bottom w:w="90" w:type="dxa"/>
              <w:end w:w="110" w:type="dxa"/>
            </w:tcMar>
          </w:tcPr>
          <w:p>
            <w:pPr>
              <w:spacing w:after="0" w:line="252" w:lineRule="auto"/>
              <w:jc w:val="left"/>
            </w:pPr>
            <w:r>
              <w:rPr>
                <w:color w:val="1E2933"/>
                <w:sz w:val="17"/>
              </w:rPr>
              <w:t>A whole-population payment, self-financing simplicity or abolition of housing/disability support</w:t>
            </w:r>
          </w:p>
        </w:tc>
      </w:tr>
      <w:tr>
        <w:trPr>
          <w:cantSplit/>
        </w:trPr>
        <w:tc>
          <w:tcPr>
            <w:tcW w:type="dxa" w:w="1696"/>
            <w:vAlign w:val="center"/>
            <w:tcMar>
              <w:top w:w="90" w:type="dxa"/>
              <w:start w:w="110" w:type="dxa"/>
              <w:bottom w:w="90" w:type="dxa"/>
              <w:end w:w="110" w:type="dxa"/>
            </w:tcMar>
            <w:shd w:fill="F7F9FA"/>
          </w:tcPr>
          <w:p>
            <w:pPr>
              <w:spacing w:after="0" w:line="252" w:lineRule="auto"/>
              <w:jc w:val="left"/>
            </w:pPr>
            <w:r>
              <w:rPr>
                <w:color w:val="1E2933"/>
                <w:sz w:val="17"/>
              </w:rPr>
              <w:t>Iran subsidy-reform transfer</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 xml:space="preserve">From 2010, a near-universal monthly payment reached about 73m people of all ages through banks and linked life-event registers. Early poverty and inequality indicators improved and research found no aggregate labour-supply reduction, but weak financing and inflation destroyed much of its real value. </w:t>
            </w:r>
            <w:r>
              <w:rPr>
                <w:sz w:val="17"/>
              </w:rPr>
              <w:t xml:space="preserve"> </w:t>
            </w:r>
            <w:hyperlink r:id="rId22">
              <w:r>
                <w:rPr>
                  <w:color w:val="006D77"/>
                  <w:u w:val="single"/>
                </w:rPr>
                <w:t>[9]</w:t>
              </w:r>
            </w:hyperlink>
            <w:r>
              <w:rPr>
                <w:color w:val="1E2933"/>
                <w:sz w:val="17"/>
              </w:rPr>
              <w:t xml:space="preserve"> </w:t>
            </w:r>
            <w:r>
              <w:rPr>
                <w:sz w:val="17"/>
              </w:rPr>
              <w:t xml:space="preserve"> </w:t>
            </w:r>
            <w:hyperlink r:id="rId23">
              <w:r>
                <w:rPr>
                  <w:color w:val="006D77"/>
                  <w:u w:val="single"/>
                </w:rPr>
                <w:t>[10]</w:t>
              </w:r>
            </w:hyperlink>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National all-age payment logistics are feasible; indexation and financing are decisive</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UK fiscal sustainability or a clean inflation effect, because price reform, sanctions and currency collapse confounded the case</w:t>
            </w:r>
          </w:p>
        </w:tc>
      </w:tr>
      <w:tr>
        <w:trPr>
          <w:cantSplit/>
        </w:trPr>
        <w:tc>
          <w:tcPr>
            <w:tcW w:type="dxa" w:w="1696"/>
            <w:vAlign w:val="center"/>
            <w:tcMar>
              <w:top w:w="90" w:type="dxa"/>
              <w:start w:w="110" w:type="dxa"/>
              <w:bottom w:w="90" w:type="dxa"/>
              <w:end w:w="110" w:type="dxa"/>
            </w:tcMar>
          </w:tcPr>
          <w:p>
            <w:pPr>
              <w:spacing w:after="0" w:line="252" w:lineRule="auto"/>
              <w:jc w:val="left"/>
            </w:pPr>
            <w:r>
              <w:rPr>
                <w:color w:val="1E2933"/>
                <w:sz w:val="17"/>
              </w:rPr>
              <w:t>UK Universal Credit consolidation</w:t>
            </w:r>
          </w:p>
        </w:tc>
        <w:tc>
          <w:tcPr>
            <w:tcW w:type="dxa" w:w="2483"/>
            <w:vAlign w:val="center"/>
            <w:tcMar>
              <w:top w:w="90" w:type="dxa"/>
              <w:start w:w="110" w:type="dxa"/>
              <w:bottom w:w="90" w:type="dxa"/>
              <w:end w:w="110" w:type="dxa"/>
            </w:tcMar>
          </w:tcPr>
          <w:p>
            <w:pPr>
              <w:spacing w:after="0" w:line="252" w:lineRule="auto"/>
              <w:jc w:val="left"/>
            </w:pPr>
            <w:r>
              <w:rPr>
                <w:color w:val="1E2933"/>
                <w:sz w:val="17"/>
              </w:rPr>
              <w:t xml:space="preserve">Annualised DWP administration cost per claim fell from £593 in 2018 to £195 in 2023; DWP forecast £586m net efficiency saving in 2026–27, while remaining operations were forecast at £2.320bn. Implementation was £912m above the 2018 business case and at least six years late. </w:t>
            </w:r>
            <w:r>
              <w:rPr>
                <w:sz w:val="17"/>
              </w:rPr>
              <w:t xml:space="preserve"> </w:t>
            </w:r>
            <w:hyperlink r:id="rId24">
              <w:r>
                <w:rPr>
                  <w:color w:val="006D77"/>
                  <w:u w:val="single"/>
                </w:rPr>
                <w:t>[11]</w:t>
              </w:r>
            </w:hyperlink>
          </w:p>
        </w:tc>
        <w:tc>
          <w:tcPr>
            <w:tcW w:type="dxa" w:w="2483"/>
            <w:vAlign w:val="center"/>
            <w:tcMar>
              <w:top w:w="90" w:type="dxa"/>
              <w:start w:w="110" w:type="dxa"/>
              <w:bottom w:w="90" w:type="dxa"/>
              <w:end w:w="110" w:type="dxa"/>
            </w:tcMar>
          </w:tcPr>
          <w:p>
            <w:pPr>
              <w:spacing w:after="0" w:line="252" w:lineRule="auto"/>
              <w:jc w:val="left"/>
            </w:pPr>
            <w:r>
              <w:rPr>
                <w:color w:val="1E2933"/>
                <w:sz w:val="17"/>
              </w:rPr>
              <w:t>One rail can lower unit cost; parallel running, help and realistic transition budgets are essential</w:t>
            </w:r>
          </w:p>
        </w:tc>
        <w:tc>
          <w:tcPr>
            <w:tcW w:type="dxa" w:w="2483"/>
            <w:vAlign w:val="center"/>
            <w:tcMar>
              <w:top w:w="90" w:type="dxa"/>
              <w:start w:w="110" w:type="dxa"/>
              <w:bottom w:w="90" w:type="dxa"/>
              <w:end w:w="110" w:type="dxa"/>
            </w:tcMar>
          </w:tcPr>
          <w:p>
            <w:pPr>
              <w:spacing w:after="0" w:line="252" w:lineRule="auto"/>
              <w:jc w:val="left"/>
            </w:pPr>
            <w:r>
              <w:rPr>
                <w:color w:val="1E2933"/>
                <w:sz w:val="17"/>
              </w:rPr>
              <w:t>That administration disappears or claimed wider employment effects are causally identified</w:t>
            </w:r>
          </w:p>
        </w:tc>
      </w:tr>
      <w:tr>
        <w:trPr>
          <w:cantSplit/>
        </w:trPr>
        <w:tc>
          <w:tcPr>
            <w:tcW w:type="dxa" w:w="1696"/>
            <w:vAlign w:val="center"/>
            <w:tcMar>
              <w:top w:w="90" w:type="dxa"/>
              <w:start w:w="110" w:type="dxa"/>
              <w:bottom w:w="90" w:type="dxa"/>
              <w:end w:w="110" w:type="dxa"/>
            </w:tcMar>
            <w:shd w:fill="F7F9FA"/>
          </w:tcPr>
          <w:p>
            <w:pPr>
              <w:spacing w:after="0" w:line="252" w:lineRule="auto"/>
              <w:jc w:val="left"/>
            </w:pPr>
            <w:r>
              <w:rPr>
                <w:color w:val="1E2933"/>
                <w:sz w:val="17"/>
              </w:rPr>
              <w:t>India Smartcards RCT</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 xml:space="preserve">Across 157 subdistricts and about 19m people, payment time and delay fell; NREGS leakage fell 12.7 points and receipts rose 24% without higher outlay. </w:t>
            </w:r>
            <w:r>
              <w:rPr>
                <w:sz w:val="17"/>
              </w:rPr>
              <w:t xml:space="preserve"> </w:t>
            </w:r>
            <w:hyperlink r:id="rId25">
              <w:r>
                <w:rPr>
                  <w:color w:val="006D77"/>
                  <w:u w:val="single"/>
                </w:rPr>
                <w:t>[12]</w:t>
              </w:r>
            </w:hyperlink>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Shorter payment chains and verifiable settlement can reduce leakage</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 xml:space="preserve">That mandatory biometrics are safe; a later RCT found exclusion and transaction-cost harms. </w:t>
            </w:r>
            <w:r>
              <w:rPr>
                <w:sz w:val="17"/>
              </w:rPr>
              <w:t xml:space="preserve"> </w:t>
            </w:r>
            <w:hyperlink r:id="rId26">
              <w:r>
                <w:rPr>
                  <w:color w:val="006D77"/>
                  <w:u w:val="single"/>
                </w:rPr>
                <w:t>[13]</w:t>
              </w:r>
            </w:hyperlink>
          </w:p>
        </w:tc>
      </w:tr>
      <w:tr>
        <w:trPr>
          <w:cantSplit/>
        </w:trPr>
        <w:tc>
          <w:tcPr>
            <w:tcW w:type="dxa" w:w="1696"/>
            <w:vAlign w:val="center"/>
            <w:tcMar>
              <w:top w:w="90" w:type="dxa"/>
              <w:start w:w="110" w:type="dxa"/>
              <w:bottom w:w="90" w:type="dxa"/>
              <w:end w:w="110" w:type="dxa"/>
            </w:tcMar>
          </w:tcPr>
          <w:p>
            <w:pPr>
              <w:spacing w:after="0" w:line="252" w:lineRule="auto"/>
              <w:jc w:val="left"/>
            </w:pPr>
            <w:r>
              <w:rPr>
                <w:color w:val="1E2933"/>
                <w:sz w:val="17"/>
              </w:rPr>
              <w:t>Brazil Bolsa Família/Cadastro Único</w:t>
            </w:r>
          </w:p>
        </w:tc>
        <w:tc>
          <w:tcPr>
            <w:tcW w:type="dxa" w:w="2483"/>
            <w:vAlign w:val="center"/>
            <w:tcMar>
              <w:top w:w="90" w:type="dxa"/>
              <w:start w:w="110" w:type="dxa"/>
              <w:bottom w:w="90" w:type="dxa"/>
              <w:end w:w="110" w:type="dxa"/>
            </w:tcMar>
          </w:tcPr>
          <w:p>
            <w:pPr>
              <w:spacing w:after="0" w:line="252" w:lineRule="auto"/>
              <w:jc w:val="left"/>
            </w:pPr>
            <w:r>
              <w:rPr>
                <w:color w:val="1E2933"/>
                <w:sz w:val="17"/>
              </w:rPr>
              <w:t xml:space="preserve">Several transfers were consolidated around a shared registry and public-bank payment channel; administrative cost was reported near 2.4–2.6%, while an earlier study estimated 44% of eligible families uncovered. </w:t>
            </w:r>
            <w:r>
              <w:rPr>
                <w:sz w:val="17"/>
              </w:rPr>
              <w:t xml:space="preserve"> </w:t>
            </w:r>
            <w:hyperlink r:id="rId27">
              <w:r>
                <w:rPr>
                  <w:color w:val="006D77"/>
                  <w:u w:val="single"/>
                </w:rPr>
                <w:t>[14]</w:t>
              </w:r>
            </w:hyperlink>
            <w:r>
              <w:rPr>
                <w:color w:val="1E2933"/>
                <w:sz w:val="17"/>
              </w:rPr>
              <w:t xml:space="preserve"> </w:t>
            </w:r>
            <w:r>
              <w:rPr>
                <w:sz w:val="17"/>
              </w:rPr>
              <w:t xml:space="preserve"> </w:t>
            </w:r>
            <w:hyperlink r:id="rId28">
              <w:r>
                <w:rPr>
                  <w:color w:val="006D77"/>
                  <w:u w:val="single"/>
                </w:rPr>
                <w:t>[15]</w:t>
              </w:r>
            </w:hyperlink>
          </w:p>
        </w:tc>
        <w:tc>
          <w:tcPr>
            <w:tcW w:type="dxa" w:w="2483"/>
            <w:vAlign w:val="center"/>
            <w:tcMar>
              <w:top w:w="90" w:type="dxa"/>
              <w:start w:w="110" w:type="dxa"/>
              <w:bottom w:w="90" w:type="dxa"/>
              <w:end w:w="110" w:type="dxa"/>
            </w:tcMar>
          </w:tcPr>
          <w:p>
            <w:pPr>
              <w:spacing w:after="0" w:line="252" w:lineRule="auto"/>
              <w:jc w:val="left"/>
            </w:pPr>
            <w:r>
              <w:rPr>
                <w:color w:val="1E2933"/>
                <w:sz w:val="17"/>
              </w:rPr>
              <w:t>Shared infrastructure can lower cost; low admin ratios must be paired with access measures</w:t>
            </w:r>
          </w:p>
        </w:tc>
        <w:tc>
          <w:tcPr>
            <w:tcW w:type="dxa" w:w="2483"/>
            <w:vAlign w:val="center"/>
            <w:tcMar>
              <w:top w:w="90" w:type="dxa"/>
              <w:start w:w="110" w:type="dxa"/>
              <w:bottom w:w="90" w:type="dxa"/>
              <w:end w:w="110" w:type="dxa"/>
            </w:tcMar>
          </w:tcPr>
          <w:p>
            <w:pPr>
              <w:spacing w:after="0" w:line="252" w:lineRule="auto"/>
              <w:jc w:val="left"/>
            </w:pPr>
            <w:r>
              <w:rPr>
                <w:color w:val="1E2933"/>
                <w:sz w:val="17"/>
              </w:rPr>
              <w:t>Universality, zero exclusion or direct transferability of the cost ratio to the UK</w:t>
            </w:r>
          </w:p>
        </w:tc>
      </w:tr>
      <w:tr>
        <w:trPr>
          <w:cantSplit/>
        </w:trPr>
        <w:tc>
          <w:tcPr>
            <w:tcW w:type="dxa" w:w="1696"/>
            <w:vAlign w:val="center"/>
            <w:tcMar>
              <w:top w:w="90" w:type="dxa"/>
              <w:start w:w="110" w:type="dxa"/>
              <w:bottom w:w="90" w:type="dxa"/>
              <w:end w:w="110" w:type="dxa"/>
            </w:tcMar>
            <w:shd w:fill="F7F9FA"/>
          </w:tcPr>
          <w:p>
            <w:pPr>
              <w:spacing w:after="0" w:line="252" w:lineRule="auto"/>
              <w:jc w:val="left"/>
            </w:pPr>
            <w:r>
              <w:rPr>
                <w:color w:val="1E2933"/>
                <w:sz w:val="17"/>
              </w:rPr>
              <w:t>Estonia digital public infrastructure</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 xml:space="preserve">A widely cited model estimates savings near 2% of GDP; a transaction-time calculation equated time saved to about 13,460 worker-years. Yet reviewed public IT staff and operating costs rose as digital capacity expanded. </w:t>
            </w:r>
            <w:r>
              <w:rPr>
                <w:sz w:val="17"/>
              </w:rPr>
              <w:t xml:space="preserve"> </w:t>
            </w:r>
            <w:hyperlink r:id="rId29">
              <w:r>
                <w:rPr>
                  <w:color w:val="006D77"/>
                  <w:u w:val="single"/>
                </w:rPr>
                <w:t>[16]</w:t>
              </w:r>
            </w:hyperlink>
            <w:r>
              <w:rPr>
                <w:color w:val="1E2933"/>
                <w:sz w:val="17"/>
              </w:rPr>
              <w:t xml:space="preserve"> </w:t>
            </w:r>
            <w:r>
              <w:rPr>
                <w:sz w:val="17"/>
              </w:rPr>
              <w:t xml:space="preserve"> </w:t>
            </w:r>
            <w:hyperlink r:id="rId30">
              <w:r>
                <w:rPr>
                  <w:color w:val="006D77"/>
                  <w:u w:val="single"/>
                </w:rPr>
                <w:t>[17]</w:t>
              </w:r>
            </w:hyperlink>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Interoperability and once-only data can release large capacity; cyber and engineering become core public work</w:t>
            </w:r>
          </w:p>
        </w:tc>
        <w:tc>
          <w:tcPr>
            <w:tcW w:type="dxa" w:w="2483"/>
            <w:vAlign w:val="center"/>
            <w:tcMar>
              <w:top w:w="90" w:type="dxa"/>
              <w:start w:w="110" w:type="dxa"/>
              <w:bottom w:w="90" w:type="dxa"/>
              <w:end w:w="110" w:type="dxa"/>
            </w:tcMar>
            <w:shd w:fill="F7F9FA"/>
          </w:tcPr>
          <w:p>
            <w:pPr>
              <w:spacing w:after="0" w:line="252" w:lineRule="auto"/>
              <w:jc w:val="left"/>
            </w:pPr>
            <w:r>
              <w:rPr>
                <w:color w:val="1E2933"/>
                <w:sz w:val="17"/>
              </w:rPr>
              <w:t>A causal 2% UK GDP coefficient or the disappearance of institutions</w:t>
            </w:r>
          </w:p>
        </w:tc>
      </w:tr>
      <w:tr>
        <w:trPr>
          <w:cantSplit/>
        </w:trPr>
        <w:tc>
          <w:tcPr>
            <w:tcW w:type="dxa" w:w="1696"/>
            <w:vAlign w:val="center"/>
            <w:tcMar>
              <w:top w:w="90" w:type="dxa"/>
              <w:start w:w="110" w:type="dxa"/>
              <w:bottom w:w="90" w:type="dxa"/>
              <w:end w:w="110" w:type="dxa"/>
            </w:tcMar>
          </w:tcPr>
          <w:p>
            <w:pPr>
              <w:spacing w:after="0" w:line="252" w:lineRule="auto"/>
              <w:jc w:val="left"/>
            </w:pPr>
            <w:r>
              <w:rPr>
                <w:color w:val="1E2933"/>
                <w:sz w:val="17"/>
              </w:rPr>
              <w:t>UK National Wealth Fund and Germany’s KfW</w:t>
            </w:r>
          </w:p>
        </w:tc>
        <w:tc>
          <w:tcPr>
            <w:tcW w:type="dxa" w:w="2483"/>
            <w:vAlign w:val="center"/>
            <w:tcMar>
              <w:top w:w="90" w:type="dxa"/>
              <w:start w:w="110" w:type="dxa"/>
              <w:bottom w:w="90" w:type="dxa"/>
              <w:end w:w="110" w:type="dxa"/>
            </w:tcMar>
          </w:tcPr>
          <w:p>
            <w:pPr>
              <w:spacing w:after="0" w:line="252" w:lineRule="auto"/>
              <w:jc w:val="left"/>
            </w:pPr>
            <w:r>
              <w:rPr>
                <w:color w:val="1E2933"/>
                <w:sz w:val="17"/>
              </w:rPr>
              <w:t xml:space="preserve">NWF targets a return covering government borrowing and overhead, plus 1:3 private-capital mobilisation; KfW made €61bn of domestic promotional commitments in 2025. </w:t>
            </w:r>
            <w:r>
              <w:rPr>
                <w:sz w:val="17"/>
              </w:rPr>
              <w:t xml:space="preserve"> </w:t>
            </w:r>
            <w:hyperlink r:id="rId31">
              <w:r>
                <w:rPr>
                  <w:color w:val="006D77"/>
                  <w:u w:val="single"/>
                </w:rPr>
                <w:t>[18]</w:t>
              </w:r>
            </w:hyperlink>
            <w:r>
              <w:rPr>
                <w:color w:val="1E2933"/>
                <w:sz w:val="17"/>
              </w:rPr>
              <w:t xml:space="preserve"> </w:t>
            </w:r>
            <w:r>
              <w:rPr>
                <w:sz w:val="17"/>
              </w:rPr>
              <w:t xml:space="preserve"> </w:t>
            </w:r>
            <w:hyperlink r:id="rId32">
              <w:r>
                <w:rPr>
                  <w:color w:val="006D77"/>
                  <w:u w:val="single"/>
                </w:rPr>
                <w:t>[19]</w:t>
              </w:r>
            </w:hyperlink>
          </w:p>
        </w:tc>
        <w:tc>
          <w:tcPr>
            <w:tcW w:type="dxa" w:w="2483"/>
            <w:vAlign w:val="center"/>
            <w:tcMar>
              <w:top w:w="90" w:type="dxa"/>
              <w:start w:w="110" w:type="dxa"/>
              <w:bottom w:w="90" w:type="dxa"/>
              <w:end w:w="110" w:type="dxa"/>
            </w:tcMar>
          </w:tcPr>
          <w:p>
            <w:pPr>
              <w:spacing w:after="0" w:line="252" w:lineRule="auto"/>
              <w:jc w:val="left"/>
            </w:pPr>
            <w:r>
              <w:rPr>
                <w:color w:val="1E2933"/>
                <w:sz w:val="17"/>
              </w:rPr>
              <w:t>Public policy banks can operate at scale with commercial disciplines and explicit mandates</w:t>
            </w:r>
          </w:p>
        </w:tc>
        <w:tc>
          <w:tcPr>
            <w:tcW w:type="dxa" w:w="2483"/>
            <w:vAlign w:val="center"/>
            <w:tcMar>
              <w:top w:w="90" w:type="dxa"/>
              <w:start w:w="110" w:type="dxa"/>
              <w:bottom w:w="90" w:type="dxa"/>
              <w:end w:w="110" w:type="dxa"/>
            </w:tcMar>
          </w:tcPr>
          <w:p>
            <w:pPr>
              <w:spacing w:after="0" w:line="252" w:lineRule="auto"/>
              <w:jc w:val="left"/>
            </w:pPr>
            <w:r>
              <w:rPr>
                <w:color w:val="1E2933"/>
                <w:sz w:val="17"/>
              </w:rPr>
              <w:t>That the CIC base is stable, that every investment is additional or that public finance is risk-free</w:t>
            </w:r>
          </w:p>
        </w:tc>
      </w:tr>
    </w:tbl>
    <w:p>
      <w:pPr>
        <w:spacing w:after="20"/>
      </w:pPr>
    </w:p>
    <w:p>
      <w:r>
        <w:t xml:space="preserve">The comparative conclusion is narrow but important: </w:t>
      </w:r>
      <w:r>
        <w:rPr>
          <w:b/>
        </w:rPr>
        <w:t>simplify the public journey and repetitive process; retain expertise, service delivery, assurance, appeals, cyber resilience and democratic control.</w:t>
      </w:r>
      <w:r>
        <w:t xml:space="preserve"> The World Bank’s delivery-system framework likewise separates identity, registry, eligibility operations, payment, analytics and grievance redress rather than assuming that one database replaces the state. </w:t>
      </w:r>
      <w:r>
        <w:t xml:space="preserve"> </w:t>
      </w:r>
      <w:hyperlink r:id="rId33">
        <w:r>
          <w:rPr>
            <w:color w:val="006D77"/>
            <w:u w:val="single"/>
          </w:rPr>
          <w:t>[20]</w:t>
        </w:r>
      </w:hyperlink>
    </w:p>
    <w:p>
      <w:pPr>
        <w:pStyle w:val="Heading1"/>
      </w:pPr>
      <w:r>
        <w:t>6. Worker choice and the capability dividend</w:t>
      </w:r>
    </w:p>
    <w:p>
      <w:r>
        <w:t>The new hypothesis is that guaranteed income, removal of benefit withdrawal and a capability-led transition can help people move toward work they can do well and want to sustain. Possible channels include better job matching, more training, lower financial distress, fewer stress-related absences, safer exit from abusive work, greater mobility, enterprise formation, improved retention and more time for unpaid care.</w:t>
      </w:r>
    </w:p>
    <w:p>
      <w:r>
        <w:t xml:space="preserve">This version </w:t>
      </w:r>
      <w:r>
        <w:rPr>
          <w:b/>
        </w:rPr>
        <w:t>does not add a separate worker-choice dividend to the funded-reference GDP path</w:t>
      </w:r>
      <w:r>
        <w:t>. The successful-delivery scenario already contains a broad, explicitly illustrative labour-and-productivity contribution; adding a second number would double count it. Finland provides reasonably strong evidence of lower reported stress and better wellbeing but little clean first-year employment change. Alaska suggests that a recurring dividend need not eliminate aggregate employment, while hours and part-time work can change. These findings justify testing the channel, not booking it.</w:t>
      </w:r>
    </w:p>
    <w:p>
      <w:r>
        <w:t>The wider worker evidence is deliberately balanced:</w:t>
      </w:r>
    </w:p>
    <w:tbl>
      <w:tblPr>
        <w:tblW w:type="dxa" w:w="9145"/>
        <w:jc w:val="center"/>
        <w:tblLayout w:type="fixed"/>
        <w:tblLook w:firstColumn="1" w:firstRow="1" w:lastColumn="0" w:lastRow="0" w:noHBand="0" w:noVBand="1" w:val="04A0"/>
        <w:tblInd w:type="dxa" w:w="110"/>
      </w:tblPr>
      <w:tblGrid>
        <w:gridCol w:w="2243"/>
        <w:gridCol w:w="3451"/>
        <w:gridCol w:w="3451"/>
      </w:tblGrid>
      <w:tr>
        <w:trPr>
          <w:cantSplit/>
          <w:tblHeader w:val="true"/>
        </w:trPr>
        <w:tc>
          <w:tcPr>
            <w:tcW w:type="dxa" w:w="2243"/>
            <w:vAlign w:val="center"/>
            <w:tcMar>
              <w:top w:w="90" w:type="dxa"/>
              <w:start w:w="110" w:type="dxa"/>
              <w:bottom w:w="90" w:type="dxa"/>
              <w:end w:w="110" w:type="dxa"/>
            </w:tcMar>
            <w:shd w:fill="16324F"/>
          </w:tcPr>
          <w:p>
            <w:pPr>
              <w:spacing w:after="0" w:line="252" w:lineRule="auto"/>
              <w:jc w:val="left"/>
            </w:pPr>
            <w:r>
              <w:rPr>
                <w:b/>
                <w:color w:val="FFFFFF"/>
                <w:sz w:val="17"/>
              </w:rPr>
              <w:t>Mechanism or test</w:t>
            </w:r>
          </w:p>
        </w:tc>
        <w:tc>
          <w:tcPr>
            <w:tcW w:type="dxa" w:w="3451"/>
            <w:vAlign w:val="center"/>
            <w:tcMar>
              <w:top w:w="90" w:type="dxa"/>
              <w:start w:w="110" w:type="dxa"/>
              <w:bottom w:w="90" w:type="dxa"/>
              <w:end w:w="110" w:type="dxa"/>
            </w:tcMar>
            <w:shd w:fill="16324F"/>
          </w:tcPr>
          <w:p>
            <w:pPr>
              <w:spacing w:after="0" w:line="252" w:lineRule="auto"/>
              <w:jc w:val="left"/>
            </w:pPr>
            <w:r>
              <w:rPr>
                <w:b/>
                <w:color w:val="FFFFFF"/>
                <w:sz w:val="17"/>
              </w:rPr>
              <w:t>Finding</w:t>
            </w:r>
          </w:p>
        </w:tc>
        <w:tc>
          <w:tcPr>
            <w:tcW w:type="dxa" w:w="3451"/>
            <w:vAlign w:val="center"/>
            <w:tcMar>
              <w:top w:w="90" w:type="dxa"/>
              <w:start w:w="110" w:type="dxa"/>
              <w:bottom w:w="90" w:type="dxa"/>
              <w:end w:w="110" w:type="dxa"/>
            </w:tcMar>
            <w:shd w:fill="16324F"/>
          </w:tcPr>
          <w:p>
            <w:pPr>
              <w:spacing w:after="0" w:line="252" w:lineRule="auto"/>
              <w:jc w:val="left"/>
            </w:pPr>
            <w:r>
              <w:rPr>
                <w:b/>
                <w:color w:val="FFFFFF"/>
                <w:sz w:val="17"/>
              </w:rPr>
              <w:t>Policy interpretation</w:t>
            </w:r>
          </w:p>
        </w:tc>
      </w:tr>
      <w:tr>
        <w:trPr>
          <w:cantSplit/>
        </w:trPr>
        <w:tc>
          <w:tcPr>
            <w:tcW w:type="dxa" w:w="2243"/>
            <w:vAlign w:val="center"/>
            <w:tcMar>
              <w:top w:w="90" w:type="dxa"/>
              <w:start w:w="110" w:type="dxa"/>
              <w:bottom w:w="90" w:type="dxa"/>
              <w:end w:w="110" w:type="dxa"/>
            </w:tcMar>
          </w:tcPr>
          <w:p>
            <w:pPr>
              <w:spacing w:after="0" w:line="252" w:lineRule="auto"/>
              <w:jc w:val="left"/>
            </w:pPr>
            <w:r>
              <w:rPr>
                <w:color w:val="1E2933"/>
                <w:sz w:val="17"/>
              </w:rPr>
              <w:t>Short-run liquidity and attention</w:t>
            </w:r>
          </w:p>
        </w:tc>
        <w:tc>
          <w:tcPr>
            <w:tcW w:type="dxa" w:w="3451"/>
            <w:vAlign w:val="center"/>
            <w:tcMar>
              <w:top w:w="90" w:type="dxa"/>
              <w:start w:w="110" w:type="dxa"/>
              <w:bottom w:w="90" w:type="dxa"/>
              <w:end w:w="110" w:type="dxa"/>
            </w:tcMar>
          </w:tcPr>
          <w:p>
            <w:pPr>
              <w:spacing w:after="0" w:line="252" w:lineRule="auto"/>
              <w:jc w:val="left"/>
            </w:pPr>
            <w:r>
              <w:rPr>
                <w:color w:val="1E2933"/>
                <w:sz w:val="17"/>
              </w:rPr>
              <w:t xml:space="preserve">Randomly advancing wages for low-income Indian piece-rate workers raised output about 7% and reduced errors. </w:t>
            </w:r>
            <w:r>
              <w:rPr>
                <w:sz w:val="17"/>
              </w:rPr>
              <w:t xml:space="preserve"> </w:t>
            </w:r>
            <w:hyperlink r:id="rId34">
              <w:r>
                <w:rPr>
                  <w:color w:val="006D77"/>
                  <w:u w:val="single"/>
                </w:rPr>
                <w:t>[21]</w:t>
              </w:r>
            </w:hyperlink>
          </w:p>
        </w:tc>
        <w:tc>
          <w:tcPr>
            <w:tcW w:type="dxa" w:w="3451"/>
            <w:vAlign w:val="center"/>
            <w:tcMar>
              <w:top w:w="90" w:type="dxa"/>
              <w:start w:w="110" w:type="dxa"/>
              <w:bottom w:w="90" w:type="dxa"/>
              <w:end w:w="110" w:type="dxa"/>
            </w:tcMar>
          </w:tcPr>
          <w:p>
            <w:pPr>
              <w:spacing w:after="0" w:line="252" w:lineRule="auto"/>
              <w:jc w:val="left"/>
            </w:pPr>
            <w:r>
              <w:rPr>
                <w:color w:val="1E2933"/>
                <w:sz w:val="17"/>
              </w:rPr>
              <w:t>Financial stress can impede production, but a narrow short-run wage-timing result is not a UK GDP coefficient</w:t>
            </w:r>
          </w:p>
        </w:tc>
      </w:tr>
      <w:tr>
        <w:trPr>
          <w:cantSplit/>
        </w:trPr>
        <w:tc>
          <w:tcPr>
            <w:tcW w:type="dxa" w:w="2243"/>
            <w:vAlign w:val="center"/>
            <w:tcMar>
              <w:top w:w="90" w:type="dxa"/>
              <w:start w:w="110" w:type="dxa"/>
              <w:bottom w:w="90" w:type="dxa"/>
              <w:end w:w="110" w:type="dxa"/>
            </w:tcMar>
            <w:shd w:fill="F7F9FA"/>
          </w:tcPr>
          <w:p>
            <w:pPr>
              <w:spacing w:after="0" w:line="252" w:lineRule="auto"/>
              <w:jc w:val="left"/>
            </w:pPr>
            <w:r>
              <w:rPr>
                <w:color w:val="1E2933"/>
                <w:sz w:val="17"/>
              </w:rPr>
              <w:t>Large recurring cash RCT</w:t>
            </w:r>
          </w:p>
        </w:tc>
        <w:tc>
          <w:tcPr>
            <w:tcW w:type="dxa" w:w="3451"/>
            <w:vAlign w:val="center"/>
            <w:tcMar>
              <w:top w:w="90" w:type="dxa"/>
              <w:start w:w="110" w:type="dxa"/>
              <w:bottom w:w="90" w:type="dxa"/>
              <w:end w:w="110" w:type="dxa"/>
            </w:tcMar>
            <w:shd w:fill="F7F9FA"/>
          </w:tcPr>
          <w:p>
            <w:pPr>
              <w:spacing w:after="0" w:line="252" w:lineRule="auto"/>
              <w:jc w:val="left"/>
            </w:pPr>
            <w:r>
              <w:rPr>
                <w:color w:val="1E2933"/>
                <w:sz w:val="17"/>
              </w:rPr>
              <w:t xml:space="preserve">A US experiment paying $1,000 monthly for three years reduced labour participation by 4.2 points, hours by roughly 1–2 per week and non-transfer income by about $1,900 annually; it did not produce measured job-quality or degree gains. </w:t>
            </w:r>
            <w:r>
              <w:rPr>
                <w:sz w:val="17"/>
              </w:rPr>
              <w:t xml:space="preserve"> </w:t>
            </w:r>
            <w:hyperlink r:id="rId35">
              <w:r>
                <w:rPr>
                  <w:color w:val="006D77"/>
                  <w:u w:val="single"/>
                </w:rPr>
                <w:t>[22]</w:t>
              </w:r>
            </w:hyperlink>
          </w:p>
        </w:tc>
        <w:tc>
          <w:tcPr>
            <w:tcW w:type="dxa" w:w="3451"/>
            <w:vAlign w:val="center"/>
            <w:tcMar>
              <w:top w:w="90" w:type="dxa"/>
              <w:start w:w="110" w:type="dxa"/>
              <w:bottom w:w="90" w:type="dxa"/>
              <w:end w:w="110" w:type="dxa"/>
            </w:tcMar>
            <w:shd w:fill="F7F9FA"/>
          </w:tcPr>
          <w:p>
            <w:pPr>
              <w:spacing w:after="0" w:line="252" w:lineRule="auto"/>
              <w:jc w:val="left"/>
            </w:pPr>
            <w:r>
              <w:rPr>
                <w:color w:val="1E2933"/>
                <w:sz w:val="17"/>
              </w:rPr>
              <w:t>A large income floor can reduce paid labour; the size, tax system and local institutions matter</w:t>
            </w:r>
          </w:p>
        </w:tc>
      </w:tr>
      <w:tr>
        <w:trPr>
          <w:cantSplit/>
        </w:trPr>
        <w:tc>
          <w:tcPr>
            <w:tcW w:type="dxa" w:w="2243"/>
            <w:vAlign w:val="center"/>
            <w:tcMar>
              <w:top w:w="90" w:type="dxa"/>
              <w:start w:w="110" w:type="dxa"/>
              <w:bottom w:w="90" w:type="dxa"/>
              <w:end w:w="110" w:type="dxa"/>
            </w:tcMar>
          </w:tcPr>
          <w:p>
            <w:pPr>
              <w:spacing w:after="0" w:line="252" w:lineRule="auto"/>
              <w:jc w:val="left"/>
            </w:pPr>
            <w:r>
              <w:rPr>
                <w:color w:val="1E2933"/>
                <w:sz w:val="17"/>
              </w:rPr>
              <w:t>Finland payment-without-withdrawal test</w:t>
            </w:r>
          </w:p>
        </w:tc>
        <w:tc>
          <w:tcPr>
            <w:tcW w:type="dxa" w:w="3451"/>
            <w:vAlign w:val="center"/>
            <w:tcMar>
              <w:top w:w="90" w:type="dxa"/>
              <w:start w:w="110" w:type="dxa"/>
              <w:bottom w:w="90" w:type="dxa"/>
              <w:end w:w="110" w:type="dxa"/>
            </w:tcMar>
          </w:tcPr>
          <w:p>
            <w:pPr>
              <w:spacing w:after="0" w:line="252" w:lineRule="auto"/>
              <w:jc w:val="left"/>
            </w:pPr>
            <w:r>
              <w:rPr>
                <w:color w:val="1E2933"/>
                <w:sz w:val="17"/>
              </w:rPr>
              <w:t xml:space="preserve">A 23-point reduction in the participation tax rate produced no statistically clear first-year employment-days effect. </w:t>
            </w:r>
            <w:r>
              <w:rPr>
                <w:sz w:val="17"/>
              </w:rPr>
              <w:t xml:space="preserve"> </w:t>
            </w:r>
            <w:hyperlink r:id="rId16">
              <w:r>
                <w:rPr>
                  <w:color w:val="006D77"/>
                  <w:u w:val="single"/>
                </w:rPr>
                <w:t>[3]</w:t>
              </w:r>
            </w:hyperlink>
          </w:p>
        </w:tc>
        <w:tc>
          <w:tcPr>
            <w:tcW w:type="dxa" w:w="3451"/>
            <w:vAlign w:val="center"/>
            <w:tcMar>
              <w:top w:w="90" w:type="dxa"/>
              <w:start w:w="110" w:type="dxa"/>
              <w:bottom w:w="90" w:type="dxa"/>
              <w:end w:w="110" w:type="dxa"/>
            </w:tcMar>
          </w:tcPr>
          <w:p>
            <w:pPr>
              <w:spacing w:after="0" w:line="252" w:lineRule="auto"/>
              <w:jc w:val="left"/>
            </w:pPr>
            <w:r>
              <w:rPr>
                <w:color w:val="1E2933"/>
                <w:sz w:val="17"/>
              </w:rPr>
              <w:t>Removing benefit traps may improve security without automatically increasing labour supplied</w:t>
            </w:r>
          </w:p>
        </w:tc>
      </w:tr>
      <w:tr>
        <w:trPr>
          <w:cantSplit/>
        </w:trPr>
        <w:tc>
          <w:tcPr>
            <w:tcW w:type="dxa" w:w="2243"/>
            <w:vAlign w:val="center"/>
            <w:tcMar>
              <w:top w:w="90" w:type="dxa"/>
              <w:start w:w="110" w:type="dxa"/>
              <w:bottom w:w="90" w:type="dxa"/>
              <w:end w:w="110" w:type="dxa"/>
            </w:tcMar>
            <w:shd w:fill="F7F9FA"/>
          </w:tcPr>
          <w:p>
            <w:pPr>
              <w:spacing w:after="0" w:line="252" w:lineRule="auto"/>
              <w:jc w:val="left"/>
            </w:pPr>
            <w:r>
              <w:rPr>
                <w:color w:val="1E2933"/>
                <w:sz w:val="17"/>
              </w:rPr>
              <w:t>Workplace autonomy</w:t>
            </w:r>
          </w:p>
        </w:tc>
        <w:tc>
          <w:tcPr>
            <w:tcW w:type="dxa" w:w="3451"/>
            <w:vAlign w:val="center"/>
            <w:tcMar>
              <w:top w:w="90" w:type="dxa"/>
              <w:start w:w="110" w:type="dxa"/>
              <w:bottom w:w="90" w:type="dxa"/>
              <w:end w:w="110" w:type="dxa"/>
            </w:tcMar>
            <w:shd w:fill="F7F9FA"/>
          </w:tcPr>
          <w:p>
            <w:pPr>
              <w:spacing w:after="0" w:line="252" w:lineRule="auto"/>
              <w:jc w:val="left"/>
            </w:pPr>
            <w:r>
              <w:rPr>
                <w:color w:val="1E2933"/>
                <w:sz w:val="17"/>
              </w:rPr>
              <w:t xml:space="preserve">A Ctrip work-from-home experiment raised performance 13% and halved attrition; a later hybrid-work experiment cut quits by one-third without performance damage. </w:t>
            </w:r>
            <w:r>
              <w:rPr>
                <w:sz w:val="17"/>
              </w:rPr>
              <w:t xml:space="preserve"> </w:t>
            </w:r>
            <w:hyperlink r:id="rId36">
              <w:r>
                <w:rPr>
                  <w:color w:val="006D77"/>
                  <w:u w:val="single"/>
                </w:rPr>
                <w:t>[23]</w:t>
              </w:r>
            </w:hyperlink>
            <w:r>
              <w:rPr>
                <w:color w:val="1E2933"/>
                <w:sz w:val="17"/>
              </w:rPr>
              <w:t xml:space="preserve"> </w:t>
            </w:r>
            <w:r>
              <w:rPr>
                <w:sz w:val="17"/>
              </w:rPr>
              <w:t xml:space="preserve"> </w:t>
            </w:r>
            <w:hyperlink r:id="rId37">
              <w:r>
                <w:rPr>
                  <w:color w:val="006D77"/>
                  <w:u w:val="single"/>
                </w:rPr>
                <w:t>[24]</w:t>
              </w:r>
            </w:hyperlink>
          </w:p>
        </w:tc>
        <w:tc>
          <w:tcPr>
            <w:tcW w:type="dxa" w:w="3451"/>
            <w:vAlign w:val="center"/>
            <w:tcMar>
              <w:top w:w="90" w:type="dxa"/>
              <w:start w:w="110" w:type="dxa"/>
              <w:bottom w:w="90" w:type="dxa"/>
              <w:end w:w="110" w:type="dxa"/>
            </w:tcMar>
            <w:shd w:fill="F7F9FA"/>
          </w:tcPr>
          <w:p>
            <w:pPr>
              <w:spacing w:after="0" w:line="252" w:lineRule="auto"/>
              <w:jc w:val="left"/>
            </w:pPr>
            <w:r>
              <w:rPr>
                <w:color w:val="1E2933"/>
                <w:sz w:val="17"/>
              </w:rPr>
              <w:t>Choice can improve performance and retention inside some organisations; income-policy extrapolation requires testing</w:t>
            </w:r>
          </w:p>
        </w:tc>
      </w:tr>
      <w:tr>
        <w:trPr>
          <w:cantSplit/>
        </w:trPr>
        <w:tc>
          <w:tcPr>
            <w:tcW w:type="dxa" w:w="2243"/>
            <w:vAlign w:val="center"/>
            <w:tcMar>
              <w:top w:w="90" w:type="dxa"/>
              <w:start w:w="110" w:type="dxa"/>
              <w:bottom w:w="90" w:type="dxa"/>
              <w:end w:w="110" w:type="dxa"/>
            </w:tcMar>
          </w:tcPr>
          <w:p>
            <w:pPr>
              <w:spacing w:after="0" w:line="252" w:lineRule="auto"/>
              <w:jc w:val="left"/>
            </w:pPr>
            <w:r>
              <w:rPr>
                <w:color w:val="1E2933"/>
                <w:sz w:val="17"/>
              </w:rPr>
              <w:t>Predictable scheduling</w:t>
            </w:r>
          </w:p>
        </w:tc>
        <w:tc>
          <w:tcPr>
            <w:tcW w:type="dxa" w:w="3451"/>
            <w:vAlign w:val="center"/>
            <w:tcMar>
              <w:top w:w="90" w:type="dxa"/>
              <w:start w:w="110" w:type="dxa"/>
              <w:bottom w:w="90" w:type="dxa"/>
              <w:end w:w="110" w:type="dxa"/>
            </w:tcMar>
          </w:tcPr>
          <w:p>
            <w:pPr>
              <w:spacing w:after="0" w:line="252" w:lineRule="auto"/>
              <w:jc w:val="left"/>
            </w:pPr>
            <w:r>
              <w:rPr>
                <w:color w:val="1E2933"/>
                <w:sz w:val="17"/>
              </w:rPr>
              <w:t xml:space="preserve">Stable scheduling at Gap increased store productivity by 5.1%. </w:t>
            </w:r>
            <w:r>
              <w:rPr>
                <w:sz w:val="17"/>
              </w:rPr>
              <w:t xml:space="preserve"> </w:t>
            </w:r>
            <w:hyperlink r:id="rId38">
              <w:r>
                <w:rPr>
                  <w:color w:val="006D77"/>
                  <w:u w:val="single"/>
                </w:rPr>
                <w:t>[25]</w:t>
              </w:r>
            </w:hyperlink>
          </w:p>
        </w:tc>
        <w:tc>
          <w:tcPr>
            <w:tcW w:type="dxa" w:w="3451"/>
            <w:vAlign w:val="center"/>
            <w:tcMar>
              <w:top w:w="90" w:type="dxa"/>
              <w:start w:w="110" w:type="dxa"/>
              <w:bottom w:w="90" w:type="dxa"/>
              <w:end w:w="110" w:type="dxa"/>
            </w:tcMar>
          </w:tcPr>
          <w:p>
            <w:pPr>
              <w:spacing w:after="0" w:line="252" w:lineRule="auto"/>
              <w:jc w:val="left"/>
            </w:pPr>
            <w:r>
              <w:rPr>
                <w:color w:val="1E2933"/>
                <w:sz w:val="17"/>
              </w:rPr>
              <w:t>Control and predictability are plausible productivity mechanisms, not proof of an economy-wide effect</w:t>
            </w:r>
          </w:p>
        </w:tc>
      </w:tr>
    </w:tbl>
    <w:p>
      <w:pPr>
        <w:spacing w:after="20"/>
      </w:pPr>
    </w:p>
    <w:p>
      <w:r>
        <w:t>Together, these results make the aggregate sign uncertain. Security, autonomy and liquidity can improve performance in particular settings, while a substantial unconditional income can reduce paid hours. The research task is to identify where better matching and health outweigh lower labour supplied—and where essential sectors need pay, training, technology or staffing adjustments.</w:t>
      </w:r>
    </w:p>
    <w:p>
      <w:r>
        <w:t xml:space="preserve">A useful break-even identity is </w:t>
      </w:r>
      <w:r>
        <w:rPr>
          <w:b/>
        </w:rPr>
        <w:t>real output = paid hours × real output per paid hour</w:t>
      </w:r>
      <w:r>
        <w:t xml:space="preserve">, summed across sectors. If total paid hours fell by 5%, output per hour would have to rise by approximately 5.26% merely to hold real GDP constant. That is a diagnostic threshold, not a forecast. Work-related stress, depression and anxiety accounted for 22.1 million lost working days in Great Britain in 2024–25, but those days are an exposure benchmark—not automatically recoverable output. </w:t>
      </w:r>
      <w:r>
        <w:t xml:space="preserve"> </w:t>
      </w:r>
      <w:hyperlink r:id="rId39">
        <w:r>
          <w:rPr>
            <w:color w:val="006D77"/>
            <w:u w:val="single"/>
          </w:rPr>
          <w:t>[26]</w:t>
        </w:r>
      </w:hyperlink>
    </w:p>
    <w:p>
      <w:r>
        <w:t xml:space="preserve">At the OBR’s £3.164 trillion 2026–27 nominal-GDP scale, the following arithmetic shows why even small productivity changes matter. These are </w:t>
      </w:r>
      <w:r>
        <w:rPr>
          <w:b/>
        </w:rPr>
        <w:t>sensitivities, not forecasts or fiscal receipts</w:t>
      </w:r>
      <w:r>
        <w:t>.</w:t>
      </w:r>
    </w:p>
    <w:tbl>
      <w:tblPr>
        <w:tblW w:type="dxa" w:w="9144"/>
        <w:jc w:val="center"/>
        <w:tblLayout w:type="fixed"/>
        <w:tblLook w:firstColumn="1" w:firstRow="1" w:lastColumn="0" w:lastRow="0" w:noHBand="0" w:noVBand="1" w:val="04A0"/>
        <w:tblInd w:type="dxa" w:w="110"/>
      </w:tblPr>
      <w:tblGrid>
        <w:gridCol w:w="3071"/>
        <w:gridCol w:w="1885"/>
        <w:gridCol w:w="4188"/>
      </w:tblGrid>
      <w:tr>
        <w:trPr>
          <w:cantSplit/>
          <w:tblHeader w:val="true"/>
        </w:trPr>
        <w:tc>
          <w:tcPr>
            <w:tcW w:type="dxa" w:w="3071"/>
            <w:vAlign w:val="center"/>
            <w:tcMar>
              <w:top w:w="90" w:type="dxa"/>
              <w:start w:w="110" w:type="dxa"/>
              <w:bottom w:w="90" w:type="dxa"/>
              <w:end w:w="110" w:type="dxa"/>
            </w:tcMar>
            <w:shd w:fill="16324F"/>
          </w:tcPr>
          <w:p>
            <w:pPr>
              <w:spacing w:after="0" w:line="252" w:lineRule="auto"/>
              <w:jc w:val="left"/>
            </w:pPr>
            <w:r>
              <w:rPr>
                <w:b/>
                <w:color w:val="FFFFFF"/>
                <w:sz w:val="17"/>
              </w:rPr>
              <w:t>Sustained real-productivity level difference</w:t>
            </w:r>
          </w:p>
        </w:tc>
        <w:tc>
          <w:tcPr>
            <w:tcW w:type="dxa" w:w="1885"/>
            <w:vAlign w:val="center"/>
            <w:tcMar>
              <w:top w:w="90" w:type="dxa"/>
              <w:start w:w="110" w:type="dxa"/>
              <w:bottom w:w="90" w:type="dxa"/>
              <w:end w:w="110" w:type="dxa"/>
            </w:tcMar>
            <w:shd w:fill="16324F"/>
          </w:tcPr>
          <w:p>
            <w:pPr>
              <w:spacing w:after="0" w:line="252" w:lineRule="auto"/>
              <w:jc w:val="left"/>
            </w:pPr>
            <w:r>
              <w:rPr>
                <w:b/>
                <w:color w:val="FFFFFF"/>
                <w:sz w:val="17"/>
              </w:rPr>
              <w:t>Annual GDP-scale equivalent</w:t>
            </w:r>
          </w:p>
        </w:tc>
        <w:tc>
          <w:tcPr>
            <w:tcW w:type="dxa" w:w="4188"/>
            <w:vAlign w:val="center"/>
            <w:tcMar>
              <w:top w:w="90" w:type="dxa"/>
              <w:start w:w="110" w:type="dxa"/>
              <w:bottom w:w="90" w:type="dxa"/>
              <w:end w:w="110" w:type="dxa"/>
            </w:tcMar>
            <w:shd w:fill="16324F"/>
          </w:tcPr>
          <w:p>
            <w:pPr>
              <w:spacing w:after="0" w:line="252" w:lineRule="auto"/>
              <w:jc w:val="left"/>
            </w:pPr>
            <w:r>
              <w:rPr>
                <w:b/>
                <w:color w:val="FFFFFF"/>
                <w:sz w:val="17"/>
              </w:rPr>
              <w:t>Interpretation</w:t>
            </w:r>
          </w:p>
        </w:tc>
      </w:tr>
      <w:tr>
        <w:trPr>
          <w:cantSplit/>
        </w:trPr>
        <w:tc>
          <w:tcPr>
            <w:tcW w:type="dxa" w:w="3071"/>
            <w:vAlign w:val="center"/>
            <w:tcMar>
              <w:top w:w="90" w:type="dxa"/>
              <w:start w:w="110" w:type="dxa"/>
              <w:bottom w:w="90" w:type="dxa"/>
              <w:end w:w="110" w:type="dxa"/>
            </w:tcMar>
          </w:tcPr>
          <w:p>
            <w:pPr>
              <w:spacing w:after="0" w:line="252" w:lineRule="auto"/>
              <w:jc w:val="left"/>
            </w:pPr>
            <w:r>
              <w:rPr>
                <w:color w:val="1E2933"/>
                <w:sz w:val="17"/>
              </w:rPr>
              <w:t>+0.25%</w:t>
            </w:r>
          </w:p>
        </w:tc>
        <w:tc>
          <w:tcPr>
            <w:tcW w:type="dxa" w:w="1885"/>
            <w:vAlign w:val="center"/>
            <w:tcMar>
              <w:top w:w="90" w:type="dxa"/>
              <w:start w:w="110" w:type="dxa"/>
              <w:bottom w:w="90" w:type="dxa"/>
              <w:end w:w="110" w:type="dxa"/>
            </w:tcMar>
          </w:tcPr>
          <w:p>
            <w:pPr>
              <w:spacing w:after="0" w:line="252" w:lineRule="auto"/>
              <w:jc w:val="left"/>
            </w:pPr>
            <w:r>
              <w:rPr>
                <w:color w:val="1E2933"/>
                <w:sz w:val="17"/>
              </w:rPr>
              <w:t>about £7.9bn</w:t>
            </w:r>
          </w:p>
        </w:tc>
        <w:tc>
          <w:tcPr>
            <w:tcW w:type="dxa" w:w="4188"/>
            <w:vAlign w:val="center"/>
            <w:tcMar>
              <w:top w:w="90" w:type="dxa"/>
              <w:start w:w="110" w:type="dxa"/>
              <w:bottom w:w="90" w:type="dxa"/>
              <w:end w:w="110" w:type="dxa"/>
            </w:tcMar>
          </w:tcPr>
          <w:p>
            <w:pPr>
              <w:spacing w:after="0" w:line="252" w:lineRule="auto"/>
              <w:jc w:val="left"/>
            </w:pPr>
            <w:r>
              <w:rPr>
                <w:color w:val="1E2933"/>
                <w:sz w:val="17"/>
              </w:rPr>
              <w:t>Detectable but does not materially close the payment gap</w:t>
            </w:r>
          </w:p>
        </w:tc>
      </w:tr>
      <w:tr>
        <w:trPr>
          <w:cantSplit/>
        </w:trPr>
        <w:tc>
          <w:tcPr>
            <w:tcW w:type="dxa" w:w="3071"/>
            <w:vAlign w:val="center"/>
            <w:tcMar>
              <w:top w:w="90" w:type="dxa"/>
              <w:start w:w="110" w:type="dxa"/>
              <w:bottom w:w="90" w:type="dxa"/>
              <w:end w:w="110" w:type="dxa"/>
            </w:tcMar>
            <w:shd w:fill="F7F9FA"/>
          </w:tcPr>
          <w:p>
            <w:pPr>
              <w:spacing w:after="0" w:line="252" w:lineRule="auto"/>
              <w:jc w:val="left"/>
            </w:pPr>
            <w:r>
              <w:rPr>
                <w:color w:val="1E2933"/>
                <w:sz w:val="17"/>
              </w:rPr>
              <w:t>+0.50%</w:t>
            </w:r>
          </w:p>
        </w:tc>
        <w:tc>
          <w:tcPr>
            <w:tcW w:type="dxa" w:w="1885"/>
            <w:vAlign w:val="center"/>
            <w:tcMar>
              <w:top w:w="90" w:type="dxa"/>
              <w:start w:w="110" w:type="dxa"/>
              <w:bottom w:w="90" w:type="dxa"/>
              <w:end w:w="110" w:type="dxa"/>
            </w:tcMar>
            <w:shd w:fill="F7F9FA"/>
          </w:tcPr>
          <w:p>
            <w:pPr>
              <w:spacing w:after="0" w:line="252" w:lineRule="auto"/>
              <w:jc w:val="left"/>
            </w:pPr>
            <w:r>
              <w:rPr>
                <w:color w:val="1E2933"/>
                <w:sz w:val="17"/>
              </w:rPr>
              <w:t>about £15.8bn</w:t>
            </w:r>
          </w:p>
        </w:tc>
        <w:tc>
          <w:tcPr>
            <w:tcW w:type="dxa" w:w="4188"/>
            <w:vAlign w:val="center"/>
            <w:tcMar>
              <w:top w:w="90" w:type="dxa"/>
              <w:start w:w="110" w:type="dxa"/>
              <w:bottom w:w="90" w:type="dxa"/>
              <w:end w:w="110" w:type="dxa"/>
            </w:tcMar>
            <w:shd w:fill="F7F9FA"/>
          </w:tcPr>
          <w:p>
            <w:pPr>
              <w:spacing w:after="0" w:line="252" w:lineRule="auto"/>
              <w:jc w:val="left"/>
            </w:pPr>
            <w:r>
              <w:rPr>
                <w:color w:val="1E2933"/>
                <w:sz w:val="17"/>
              </w:rPr>
              <w:t>Valuable output gain; still far below fiscal requirement</w:t>
            </w:r>
          </w:p>
        </w:tc>
      </w:tr>
      <w:tr>
        <w:trPr>
          <w:cantSplit/>
        </w:trPr>
        <w:tc>
          <w:tcPr>
            <w:tcW w:type="dxa" w:w="3071"/>
            <w:vAlign w:val="center"/>
            <w:tcMar>
              <w:top w:w="90" w:type="dxa"/>
              <w:start w:w="110" w:type="dxa"/>
              <w:bottom w:w="90" w:type="dxa"/>
              <w:end w:w="110" w:type="dxa"/>
            </w:tcMar>
          </w:tcPr>
          <w:p>
            <w:pPr>
              <w:spacing w:after="0" w:line="252" w:lineRule="auto"/>
              <w:jc w:val="left"/>
            </w:pPr>
            <w:r>
              <w:rPr>
                <w:color w:val="1E2933"/>
                <w:sz w:val="17"/>
              </w:rPr>
              <w:t>+1.00%</w:t>
            </w:r>
          </w:p>
        </w:tc>
        <w:tc>
          <w:tcPr>
            <w:tcW w:type="dxa" w:w="1885"/>
            <w:vAlign w:val="center"/>
            <w:tcMar>
              <w:top w:w="90" w:type="dxa"/>
              <w:start w:w="110" w:type="dxa"/>
              <w:bottom w:w="90" w:type="dxa"/>
              <w:end w:w="110" w:type="dxa"/>
            </w:tcMar>
          </w:tcPr>
          <w:p>
            <w:pPr>
              <w:spacing w:after="0" w:line="252" w:lineRule="auto"/>
              <w:jc w:val="left"/>
            </w:pPr>
            <w:r>
              <w:rPr>
                <w:color w:val="1E2933"/>
                <w:sz w:val="17"/>
              </w:rPr>
              <w:t>about £31.6bn</w:t>
            </w:r>
          </w:p>
        </w:tc>
        <w:tc>
          <w:tcPr>
            <w:tcW w:type="dxa" w:w="4188"/>
            <w:vAlign w:val="center"/>
            <w:tcMar>
              <w:top w:w="90" w:type="dxa"/>
              <w:start w:w="110" w:type="dxa"/>
              <w:bottom w:w="90" w:type="dxa"/>
              <w:end w:w="110" w:type="dxa"/>
            </w:tcMar>
          </w:tcPr>
          <w:p>
            <w:pPr>
              <w:spacing w:after="0" w:line="252" w:lineRule="auto"/>
              <w:jc w:val="left"/>
            </w:pPr>
            <w:r>
              <w:rPr>
                <w:color w:val="1E2933"/>
                <w:sz w:val="17"/>
              </w:rPr>
              <w:t>Large economy-wide effect requiring strong evidence</w:t>
            </w:r>
          </w:p>
        </w:tc>
      </w:tr>
      <w:tr>
        <w:trPr>
          <w:cantSplit/>
        </w:trPr>
        <w:tc>
          <w:tcPr>
            <w:tcW w:type="dxa" w:w="3071"/>
            <w:vAlign w:val="center"/>
            <w:tcMar>
              <w:top w:w="90" w:type="dxa"/>
              <w:start w:w="110" w:type="dxa"/>
              <w:bottom w:w="90" w:type="dxa"/>
              <w:end w:w="110" w:type="dxa"/>
            </w:tcMar>
            <w:shd w:fill="F7F9FA"/>
          </w:tcPr>
          <w:p>
            <w:pPr>
              <w:spacing w:after="0" w:line="252" w:lineRule="auto"/>
              <w:jc w:val="left"/>
            </w:pPr>
            <w:r>
              <w:rPr>
                <w:color w:val="1E2933"/>
                <w:sz w:val="17"/>
              </w:rPr>
              <w:t>+2.00%</w:t>
            </w:r>
          </w:p>
        </w:tc>
        <w:tc>
          <w:tcPr>
            <w:tcW w:type="dxa" w:w="1885"/>
            <w:vAlign w:val="center"/>
            <w:tcMar>
              <w:top w:w="90" w:type="dxa"/>
              <w:start w:w="110" w:type="dxa"/>
              <w:bottom w:w="90" w:type="dxa"/>
              <w:end w:w="110" w:type="dxa"/>
            </w:tcMar>
            <w:shd w:fill="F7F9FA"/>
          </w:tcPr>
          <w:p>
            <w:pPr>
              <w:spacing w:after="0" w:line="252" w:lineRule="auto"/>
              <w:jc w:val="left"/>
            </w:pPr>
            <w:r>
              <w:rPr>
                <w:color w:val="1E2933"/>
                <w:sz w:val="17"/>
              </w:rPr>
              <w:t>about £63.3bn</w:t>
            </w:r>
          </w:p>
        </w:tc>
        <w:tc>
          <w:tcPr>
            <w:tcW w:type="dxa" w:w="4188"/>
            <w:vAlign w:val="center"/>
            <w:tcMar>
              <w:top w:w="90" w:type="dxa"/>
              <w:start w:w="110" w:type="dxa"/>
              <w:bottom w:w="90" w:type="dxa"/>
              <w:end w:w="110" w:type="dxa"/>
            </w:tcMar>
            <w:shd w:fill="F7F9FA"/>
          </w:tcPr>
          <w:p>
            <w:pPr>
              <w:spacing w:after="0" w:line="252" w:lineRule="auto"/>
              <w:jc w:val="left"/>
            </w:pPr>
            <w:r>
              <w:rPr>
                <w:color w:val="1E2933"/>
                <w:sz w:val="17"/>
              </w:rPr>
              <w:t>Transformational assumption; not justified by current comparator evidence</w:t>
            </w:r>
          </w:p>
        </w:tc>
      </w:tr>
    </w:tbl>
    <w:p>
      <w:pPr>
        <w:spacing w:after="20"/>
      </w:pPr>
    </w:p>
    <w:p>
      <w:r>
        <w:t>The evaluation must follow people, employers and sectors for at least five years and report: job-to-skill match; voluntary and involuntary hours; job changes; vacancies and time-to-fill; training starts and completion; qualification use; retention; sickness absence; health and financial distress; entrepreneurship; business survival; pay; output per hour; sectoral GVA; unpaid care; service quality; and distribution by age, sex, disability, ethnicity, household, income, wealth, region and prior labour-market status.</w:t>
      </w:r>
    </w:p>
    <w:p>
      <w:r>
        <w:t>The design should use pre-registered outcomes, linked tax and survey data, a defensible control or staged-rollout counterfactual, independent analysis and published code. It must test adverse channels too: reduced paid hours, hard-to-fill essential roles, wage pressure, migration effects, higher effective tax rates used to finance the scheme, skill bottlenecks and displacement between regions. Unpaid care and wellbeing should be published beside GDP rather than forced into it.</w:t>
      </w:r>
    </w:p>
    <w:p>
      <w:pPr>
        <w:pStyle w:val="Heading1"/>
      </w:pPr>
      <w:r>
        <w:t>7. Fiscal position and ten-year GDP scenarios</w:t>
      </w:r>
    </w:p>
    <w:p>
      <w:pPr>
        <w:keepNext/>
        <w:jc w:val="center"/>
      </w:pPr>
      <w:r>
        <w:drawing>
          <wp:inline xmlns:a="http://schemas.openxmlformats.org/drawingml/2006/main" xmlns:pic="http://schemas.openxmlformats.org/drawingml/2006/picture">
            <wp:extent cx="5897880" cy="3291142"/>
            <wp:docPr id="4" name="Picture 4" title="Figure 4" descr="Illustrative real-GDP level differences from the no-policy baseline, 2027–2036. These are not annual growth rates or official forecasts."/>
            <wp:cNvGraphicFramePr>
              <a:graphicFrameLocks noChangeAspect="1"/>
            </wp:cNvGraphicFramePr>
            <a:graphic>
              <a:graphicData uri="http://schemas.openxmlformats.org/drawingml/2006/picture">
                <pic:pic>
                  <pic:nvPicPr>
                    <pic:cNvPr id="0" name="gdp_scenarios.png"/>
                    <pic:cNvPicPr/>
                  </pic:nvPicPr>
                  <pic:blipFill>
                    <a:blip r:embed="rId40"/>
                    <a:stretch>
                      <a:fillRect/>
                    </a:stretch>
                  </pic:blipFill>
                  <pic:spPr>
                    <a:xfrm>
                      <a:off x="0" y="0"/>
                      <a:ext cx="5897880" cy="3291142"/>
                    </a:xfrm>
                    <a:prstGeom prst="rect"/>
                  </pic:spPr>
                </pic:pic>
              </a:graphicData>
            </a:graphic>
          </wp:inline>
        </w:drawing>
      </w:r>
    </w:p>
    <w:p>
      <w:pPr>
        <w:pStyle w:val="PolicyCaption"/>
        <w:jc w:val="left"/>
      </w:pPr>
      <w:r>
        <w:rPr>
          <w:b/>
        </w:rPr>
        <w:t xml:space="preserve">Figure 4. </w:t>
      </w:r>
      <w:r>
        <w:t>Illustrative real-GDP level differences from the no-policy baseline, 2027–2036. These are not annual growth rates or official forecasts.</w:t>
      </w:r>
    </w:p>
    <w:p>
      <w:pPr>
        <w:keepNext/>
        <w:jc w:val="center"/>
      </w:pPr>
      <w:r>
        <w:drawing>
          <wp:inline xmlns:a="http://schemas.openxmlformats.org/drawingml/2006/main" xmlns:pic="http://schemas.openxmlformats.org/drawingml/2006/picture">
            <wp:extent cx="5897880" cy="3214561"/>
            <wp:docPr id="5" name="Picture 5" title="Figure 5" descr="Reference annual fiscal bridge. The mature gap remains about £1.6655 trillion before dynamic behaviour."/>
            <wp:cNvGraphicFramePr>
              <a:graphicFrameLocks noChangeAspect="1"/>
            </wp:cNvGraphicFramePr>
            <a:graphic>
              <a:graphicData uri="http://schemas.openxmlformats.org/drawingml/2006/picture">
                <pic:pic>
                  <pic:nvPicPr>
                    <pic:cNvPr id="0" name="fiscal_bridge.png"/>
                    <pic:cNvPicPr/>
                  </pic:nvPicPr>
                  <pic:blipFill>
                    <a:blip r:embed="rId41"/>
                    <a:stretch>
                      <a:fillRect/>
                    </a:stretch>
                  </pic:blipFill>
                  <pic:spPr>
                    <a:xfrm>
                      <a:off x="0" y="0"/>
                      <a:ext cx="5897880" cy="3214561"/>
                    </a:xfrm>
                    <a:prstGeom prst="rect"/>
                  </pic:spPr>
                </pic:pic>
              </a:graphicData>
            </a:graphic>
          </wp:inline>
        </w:drawing>
      </w:r>
    </w:p>
    <w:p>
      <w:pPr>
        <w:pStyle w:val="PolicyCaption"/>
        <w:jc w:val="left"/>
      </w:pPr>
      <w:r>
        <w:rPr>
          <w:b/>
        </w:rPr>
        <w:t xml:space="preserve">Figure 5. </w:t>
      </w:r>
      <w:r>
        <w:t>Reference annual fiscal bridge. The mature gap remains about £1.6655 trillion before dynamic behaviour.</w:t>
      </w:r>
    </w:p>
    <w:p>
      <w:r>
        <w:t xml:space="preserve">The binding constraint remains the scale. At a population of 69.281 million, the gross annual payment is about </w:t>
      </w:r>
      <w:r>
        <w:rPr>
          <w:b/>
        </w:rPr>
        <w:t>£2.494 trillion</w:t>
      </w:r>
      <w:r>
        <w:t xml:space="preserve">. A static reference bridge subtracts £470 billion of net additional Income Tax, £354.1 billion of personal cash payments replaced and £4.5 billion of mature cashable administration saving, leaving about </w:t>
      </w:r>
      <w:r>
        <w:rPr>
          <w:b/>
        </w:rPr>
        <w:t>£1.6655 trillion per year</w:t>
      </w:r>
      <w:r>
        <w:t>. The working range is £1.602–£1.842 trillion. The CIC is invested, so it is not subtracted from this gap.</w:t>
      </w:r>
    </w:p>
    <w:p>
      <w:r>
        <w:t>The gross payment is a transfer rather than new GDP. Taxes paid when people spend are part of the fiscal feedback, but they are not free money: the model must compare the whole tax and spending counterfactual, including reduced spending elsewhere, imports, inflation, monetary policy and behavioural change. Tax on a purchase and tax on a later resale are separate taxable events only to the extent the law imposes them; counting gross transaction values as repeated new wealth would overstate both GDP and revenue.</w:t>
      </w:r>
    </w:p>
    <w:p>
      <w:r>
        <w:t xml:space="preserve">The chart and table below show </w:t>
      </w:r>
      <w:r>
        <w:rPr>
          <w:b/>
        </w:rPr>
        <w:t>GDP-level differences from the same no-policy real-GDP baseline</w:t>
      </w:r>
      <w:r>
        <w:t>, not annual growth rates. All four paths assume staged rollout, full fiscal closure and independent monetary policy. The immediate unfunded case is not assigned a point forecast because a hole exceeding half of current GDP would change prices, rates, sterling, debt, migration and behaviour beyond the range of ordinary policy multipliers.</w:t>
      </w:r>
    </w:p>
    <w:tbl>
      <w:tblPr>
        <w:tblW w:type="dxa" w:w="9144"/>
        <w:jc w:val="center"/>
        <w:tblLayout w:type="fixed"/>
        <w:tblLook w:firstColumn="1" w:firstRow="1" w:lastColumn="0" w:lastRow="0" w:noHBand="0" w:noVBand="1" w:val="04A0"/>
        <w:tblInd w:type="dxa" w:w="110"/>
      </w:tblPr>
      <w:tblGrid>
        <w:gridCol w:w="1291"/>
        <w:gridCol w:w="2044"/>
        <w:gridCol w:w="1721"/>
        <w:gridCol w:w="1506"/>
        <w:gridCol w:w="2582"/>
      </w:tblGrid>
      <w:tr>
        <w:trPr>
          <w:cantSplit/>
          <w:tblHeader w:val="true"/>
        </w:trPr>
        <w:tc>
          <w:tcPr>
            <w:tcW w:type="dxa" w:w="1291"/>
            <w:vAlign w:val="center"/>
            <w:tcMar>
              <w:top w:w="90" w:type="dxa"/>
              <w:start w:w="110" w:type="dxa"/>
              <w:bottom w:w="90" w:type="dxa"/>
              <w:end w:w="110" w:type="dxa"/>
            </w:tcMar>
            <w:shd w:fill="16324F"/>
          </w:tcPr>
          <w:p>
            <w:pPr>
              <w:spacing w:after="0" w:line="252" w:lineRule="auto"/>
              <w:jc w:val="left"/>
            </w:pPr>
            <w:r>
              <w:rPr>
                <w:b/>
                <w:color w:val="FFFFFF"/>
                <w:sz w:val="16"/>
              </w:rPr>
              <w:t>Year</w:t>
            </w:r>
          </w:p>
        </w:tc>
        <w:tc>
          <w:tcPr>
            <w:tcW w:type="dxa" w:w="2044"/>
            <w:vAlign w:val="center"/>
            <w:tcMar>
              <w:top w:w="90" w:type="dxa"/>
              <w:start w:w="110" w:type="dxa"/>
              <w:bottom w:w="90" w:type="dxa"/>
              <w:end w:w="110" w:type="dxa"/>
            </w:tcMar>
            <w:shd w:fill="16324F"/>
          </w:tcPr>
          <w:p>
            <w:pPr>
              <w:spacing w:after="0" w:line="252" w:lineRule="auto"/>
              <w:jc w:val="left"/>
            </w:pPr>
            <w:r>
              <w:rPr>
                <w:b/>
                <w:color w:val="FFFFFF"/>
                <w:sz w:val="16"/>
              </w:rPr>
              <w:t>Successful delivery</w:t>
            </w:r>
          </w:p>
        </w:tc>
        <w:tc>
          <w:tcPr>
            <w:tcW w:type="dxa" w:w="1721"/>
            <w:vAlign w:val="center"/>
            <w:tcMar>
              <w:top w:w="90" w:type="dxa"/>
              <w:start w:w="110" w:type="dxa"/>
              <w:bottom w:w="90" w:type="dxa"/>
              <w:end w:w="110" w:type="dxa"/>
            </w:tcMar>
            <w:shd w:fill="16324F"/>
          </w:tcPr>
          <w:p>
            <w:pPr>
              <w:spacing w:after="0" w:line="252" w:lineRule="auto"/>
              <w:jc w:val="left"/>
            </w:pPr>
            <w:r>
              <w:rPr>
                <w:b/>
                <w:color w:val="FFFFFF"/>
                <w:sz w:val="16"/>
              </w:rPr>
              <w:t>Funded reference</w:t>
            </w:r>
          </w:p>
        </w:tc>
        <w:tc>
          <w:tcPr>
            <w:tcW w:type="dxa" w:w="1506"/>
            <w:vAlign w:val="center"/>
            <w:tcMar>
              <w:top w:w="90" w:type="dxa"/>
              <w:start w:w="110" w:type="dxa"/>
              <w:bottom w:w="90" w:type="dxa"/>
              <w:end w:w="110" w:type="dxa"/>
            </w:tcMar>
            <w:shd w:fill="16324F"/>
          </w:tcPr>
          <w:p>
            <w:pPr>
              <w:spacing w:after="0" w:line="252" w:lineRule="auto"/>
              <w:jc w:val="left"/>
            </w:pPr>
            <w:r>
              <w:rPr>
                <w:b/>
                <w:color w:val="FFFFFF"/>
                <w:sz w:val="16"/>
              </w:rPr>
              <w:t>Banking stress</w:t>
            </w:r>
          </w:p>
        </w:tc>
        <w:tc>
          <w:tcPr>
            <w:tcW w:type="dxa" w:w="2582"/>
            <w:vAlign w:val="center"/>
            <w:tcMar>
              <w:top w:w="90" w:type="dxa"/>
              <w:start w:w="110" w:type="dxa"/>
              <w:bottom w:w="90" w:type="dxa"/>
              <w:end w:w="110" w:type="dxa"/>
            </w:tcMar>
            <w:shd w:fill="16324F"/>
          </w:tcPr>
          <w:p>
            <w:pPr>
              <w:spacing w:after="0" w:line="252" w:lineRule="auto"/>
              <w:jc w:val="left"/>
            </w:pPr>
            <w:r>
              <w:rPr>
                <w:b/>
                <w:color w:val="FFFFFF"/>
                <w:sz w:val="16"/>
              </w:rPr>
              <w:t>Avoidance/fiscal leakage</w:t>
            </w:r>
          </w:p>
        </w:tc>
      </w:tr>
      <w:tr>
        <w:trPr>
          <w:cantSplit/>
        </w:trPr>
        <w:tc>
          <w:tcPr>
            <w:tcW w:type="dxa" w:w="1291"/>
            <w:vAlign w:val="center"/>
            <w:tcMar>
              <w:top w:w="90" w:type="dxa"/>
              <w:start w:w="110" w:type="dxa"/>
              <w:bottom w:w="90" w:type="dxa"/>
              <w:end w:w="110" w:type="dxa"/>
            </w:tcMar>
          </w:tcPr>
          <w:p>
            <w:pPr>
              <w:spacing w:after="0" w:line="252" w:lineRule="auto"/>
              <w:jc w:val="left"/>
            </w:pPr>
            <w:r>
              <w:rPr>
                <w:color w:val="1E2933"/>
                <w:sz w:val="16"/>
              </w:rPr>
              <w:t>2027</w:t>
            </w:r>
          </w:p>
        </w:tc>
        <w:tc>
          <w:tcPr>
            <w:tcW w:type="dxa" w:w="2044"/>
            <w:vAlign w:val="center"/>
            <w:tcMar>
              <w:top w:w="90" w:type="dxa"/>
              <w:start w:w="110" w:type="dxa"/>
              <w:bottom w:w="90" w:type="dxa"/>
              <w:end w:w="110" w:type="dxa"/>
            </w:tcMar>
          </w:tcPr>
          <w:p>
            <w:pPr>
              <w:spacing w:after="0" w:line="252" w:lineRule="auto"/>
              <w:jc w:val="left"/>
            </w:pPr>
            <w:r>
              <w:rPr>
                <w:color w:val="1E2933"/>
                <w:sz w:val="16"/>
              </w:rPr>
              <w:t>0.0%</w:t>
            </w:r>
          </w:p>
        </w:tc>
        <w:tc>
          <w:tcPr>
            <w:tcW w:type="dxa" w:w="1721"/>
            <w:vAlign w:val="center"/>
            <w:tcMar>
              <w:top w:w="90" w:type="dxa"/>
              <w:start w:w="110" w:type="dxa"/>
              <w:bottom w:w="90" w:type="dxa"/>
              <w:end w:w="110" w:type="dxa"/>
            </w:tcMar>
          </w:tcPr>
          <w:p>
            <w:pPr>
              <w:spacing w:after="0" w:line="252" w:lineRule="auto"/>
              <w:jc w:val="left"/>
            </w:pPr>
            <w:r>
              <w:rPr>
                <w:color w:val="1E2933"/>
                <w:sz w:val="16"/>
              </w:rPr>
              <w:t>−0.2%</w:t>
            </w:r>
          </w:p>
        </w:tc>
        <w:tc>
          <w:tcPr>
            <w:tcW w:type="dxa" w:w="1506"/>
            <w:vAlign w:val="center"/>
            <w:tcMar>
              <w:top w:w="90" w:type="dxa"/>
              <w:start w:w="110" w:type="dxa"/>
              <w:bottom w:w="90" w:type="dxa"/>
              <w:end w:w="110" w:type="dxa"/>
            </w:tcMar>
          </w:tcPr>
          <w:p>
            <w:pPr>
              <w:spacing w:after="0" w:line="252" w:lineRule="auto"/>
              <w:jc w:val="left"/>
            </w:pPr>
            <w:r>
              <w:rPr>
                <w:color w:val="1E2933"/>
                <w:sz w:val="16"/>
              </w:rPr>
              <w:t>−0.6%</w:t>
            </w:r>
          </w:p>
        </w:tc>
        <w:tc>
          <w:tcPr>
            <w:tcW w:type="dxa" w:w="2582"/>
            <w:vAlign w:val="center"/>
            <w:tcMar>
              <w:top w:w="90" w:type="dxa"/>
              <w:start w:w="110" w:type="dxa"/>
              <w:bottom w:w="90" w:type="dxa"/>
              <w:end w:w="110" w:type="dxa"/>
            </w:tcMar>
          </w:tcPr>
          <w:p>
            <w:pPr>
              <w:spacing w:after="0" w:line="252" w:lineRule="auto"/>
              <w:jc w:val="left"/>
            </w:pPr>
            <w:r>
              <w:rPr>
                <w:color w:val="1E2933"/>
                <w:sz w:val="16"/>
              </w:rPr>
              <w:t>−0.4%</w:t>
            </w:r>
          </w:p>
        </w:tc>
      </w:tr>
      <w:tr>
        <w:trPr>
          <w:cantSplit/>
        </w:trPr>
        <w:tc>
          <w:tcPr>
            <w:tcW w:type="dxa" w:w="1291"/>
            <w:vAlign w:val="center"/>
            <w:tcMar>
              <w:top w:w="90" w:type="dxa"/>
              <w:start w:w="110" w:type="dxa"/>
              <w:bottom w:w="90" w:type="dxa"/>
              <w:end w:w="110" w:type="dxa"/>
            </w:tcMar>
            <w:shd w:fill="F7F9FA"/>
          </w:tcPr>
          <w:p>
            <w:pPr>
              <w:spacing w:after="0" w:line="252" w:lineRule="auto"/>
              <w:jc w:val="left"/>
            </w:pPr>
            <w:r>
              <w:rPr>
                <w:color w:val="1E2933"/>
                <w:sz w:val="16"/>
              </w:rPr>
              <w:t>2028</w:t>
            </w:r>
          </w:p>
        </w:tc>
        <w:tc>
          <w:tcPr>
            <w:tcW w:type="dxa" w:w="2044"/>
            <w:vAlign w:val="center"/>
            <w:tcMar>
              <w:top w:w="90" w:type="dxa"/>
              <w:start w:w="110" w:type="dxa"/>
              <w:bottom w:w="90" w:type="dxa"/>
              <w:end w:w="110" w:type="dxa"/>
            </w:tcMar>
            <w:shd w:fill="F7F9FA"/>
          </w:tcPr>
          <w:p>
            <w:pPr>
              <w:spacing w:after="0" w:line="252" w:lineRule="auto"/>
              <w:jc w:val="left"/>
            </w:pPr>
            <w:r>
              <w:rPr>
                <w:color w:val="1E2933"/>
                <w:sz w:val="16"/>
              </w:rPr>
              <w:t>0.0%</w:t>
            </w:r>
          </w:p>
        </w:tc>
        <w:tc>
          <w:tcPr>
            <w:tcW w:type="dxa" w:w="1721"/>
            <w:vAlign w:val="center"/>
            <w:tcMar>
              <w:top w:w="90" w:type="dxa"/>
              <w:start w:w="110" w:type="dxa"/>
              <w:bottom w:w="90" w:type="dxa"/>
              <w:end w:w="110" w:type="dxa"/>
            </w:tcMar>
            <w:shd w:fill="F7F9FA"/>
          </w:tcPr>
          <w:p>
            <w:pPr>
              <w:spacing w:after="0" w:line="252" w:lineRule="auto"/>
              <w:jc w:val="left"/>
            </w:pPr>
            <w:r>
              <w:rPr>
                <w:color w:val="1E2933"/>
                <w:sz w:val="16"/>
              </w:rPr>
              <w:t>−0.4%</w:t>
            </w:r>
          </w:p>
        </w:tc>
        <w:tc>
          <w:tcPr>
            <w:tcW w:type="dxa" w:w="1506"/>
            <w:vAlign w:val="center"/>
            <w:tcMar>
              <w:top w:w="90" w:type="dxa"/>
              <w:start w:w="110" w:type="dxa"/>
              <w:bottom w:w="90" w:type="dxa"/>
              <w:end w:w="110" w:type="dxa"/>
            </w:tcMar>
            <w:shd w:fill="F7F9FA"/>
          </w:tcPr>
          <w:p>
            <w:pPr>
              <w:spacing w:after="0" w:line="252" w:lineRule="auto"/>
              <w:jc w:val="left"/>
            </w:pPr>
            <w:r>
              <w:rPr>
                <w:color w:val="1E2933"/>
                <w:sz w:val="16"/>
              </w:rPr>
              <w:t>−1.4%</w:t>
            </w:r>
          </w:p>
        </w:tc>
        <w:tc>
          <w:tcPr>
            <w:tcW w:type="dxa" w:w="2582"/>
            <w:vAlign w:val="center"/>
            <w:tcMar>
              <w:top w:w="90" w:type="dxa"/>
              <w:start w:w="110" w:type="dxa"/>
              <w:bottom w:w="90" w:type="dxa"/>
              <w:end w:w="110" w:type="dxa"/>
            </w:tcMar>
            <w:shd w:fill="F7F9FA"/>
          </w:tcPr>
          <w:p>
            <w:pPr>
              <w:spacing w:after="0" w:line="252" w:lineRule="auto"/>
              <w:jc w:val="left"/>
            </w:pPr>
            <w:r>
              <w:rPr>
                <w:color w:val="1E2933"/>
                <w:sz w:val="16"/>
              </w:rPr>
              <w:t>−1.1%</w:t>
            </w:r>
          </w:p>
        </w:tc>
      </w:tr>
      <w:tr>
        <w:trPr>
          <w:cantSplit/>
        </w:trPr>
        <w:tc>
          <w:tcPr>
            <w:tcW w:type="dxa" w:w="1291"/>
            <w:vAlign w:val="center"/>
            <w:tcMar>
              <w:top w:w="90" w:type="dxa"/>
              <w:start w:w="110" w:type="dxa"/>
              <w:bottom w:w="90" w:type="dxa"/>
              <w:end w:w="110" w:type="dxa"/>
            </w:tcMar>
          </w:tcPr>
          <w:p>
            <w:pPr>
              <w:spacing w:after="0" w:line="252" w:lineRule="auto"/>
              <w:jc w:val="left"/>
            </w:pPr>
            <w:r>
              <w:rPr>
                <w:color w:val="1E2933"/>
                <w:sz w:val="16"/>
              </w:rPr>
              <w:t>2029</w:t>
            </w:r>
          </w:p>
        </w:tc>
        <w:tc>
          <w:tcPr>
            <w:tcW w:type="dxa" w:w="2044"/>
            <w:vAlign w:val="center"/>
            <w:tcMar>
              <w:top w:w="90" w:type="dxa"/>
              <w:start w:w="110" w:type="dxa"/>
              <w:bottom w:w="90" w:type="dxa"/>
              <w:end w:w="110" w:type="dxa"/>
            </w:tcMar>
          </w:tcPr>
          <w:p>
            <w:pPr>
              <w:spacing w:after="0" w:line="252" w:lineRule="auto"/>
              <w:jc w:val="left"/>
            </w:pPr>
            <w:r>
              <w:rPr>
                <w:color w:val="1E2933"/>
                <w:sz w:val="16"/>
              </w:rPr>
              <w:t>+0.2%</w:t>
            </w:r>
          </w:p>
        </w:tc>
        <w:tc>
          <w:tcPr>
            <w:tcW w:type="dxa" w:w="1721"/>
            <w:vAlign w:val="center"/>
            <w:tcMar>
              <w:top w:w="90" w:type="dxa"/>
              <w:start w:w="110" w:type="dxa"/>
              <w:bottom w:w="90" w:type="dxa"/>
              <w:end w:w="110" w:type="dxa"/>
            </w:tcMar>
          </w:tcPr>
          <w:p>
            <w:pPr>
              <w:spacing w:after="0" w:line="252" w:lineRule="auto"/>
              <w:jc w:val="left"/>
            </w:pPr>
            <w:r>
              <w:rPr>
                <w:color w:val="1E2933"/>
                <w:sz w:val="16"/>
              </w:rPr>
              <w:t>−0.9%</w:t>
            </w:r>
          </w:p>
        </w:tc>
        <w:tc>
          <w:tcPr>
            <w:tcW w:type="dxa" w:w="1506"/>
            <w:vAlign w:val="center"/>
            <w:tcMar>
              <w:top w:w="90" w:type="dxa"/>
              <w:start w:w="110" w:type="dxa"/>
              <w:bottom w:w="90" w:type="dxa"/>
              <w:end w:w="110" w:type="dxa"/>
            </w:tcMar>
          </w:tcPr>
          <w:p>
            <w:pPr>
              <w:spacing w:after="0" w:line="252" w:lineRule="auto"/>
              <w:jc w:val="left"/>
            </w:pPr>
            <w:r>
              <w:rPr>
                <w:color w:val="1E2933"/>
                <w:sz w:val="16"/>
              </w:rPr>
              <w:t>−3.0%</w:t>
            </w:r>
          </w:p>
        </w:tc>
        <w:tc>
          <w:tcPr>
            <w:tcW w:type="dxa" w:w="2582"/>
            <w:vAlign w:val="center"/>
            <w:tcMar>
              <w:top w:w="90" w:type="dxa"/>
              <w:start w:w="110" w:type="dxa"/>
              <w:bottom w:w="90" w:type="dxa"/>
              <w:end w:w="110" w:type="dxa"/>
            </w:tcMar>
          </w:tcPr>
          <w:p>
            <w:pPr>
              <w:spacing w:after="0" w:line="252" w:lineRule="auto"/>
              <w:jc w:val="left"/>
            </w:pPr>
            <w:r>
              <w:rPr>
                <w:color w:val="1E2933"/>
                <w:sz w:val="16"/>
              </w:rPr>
              <w:t>−2.2%</w:t>
            </w:r>
          </w:p>
        </w:tc>
      </w:tr>
      <w:tr>
        <w:trPr>
          <w:cantSplit/>
        </w:trPr>
        <w:tc>
          <w:tcPr>
            <w:tcW w:type="dxa" w:w="1291"/>
            <w:vAlign w:val="center"/>
            <w:tcMar>
              <w:top w:w="90" w:type="dxa"/>
              <w:start w:w="110" w:type="dxa"/>
              <w:bottom w:w="90" w:type="dxa"/>
              <w:end w:w="110" w:type="dxa"/>
            </w:tcMar>
            <w:shd w:fill="F7F9FA"/>
          </w:tcPr>
          <w:p>
            <w:pPr>
              <w:spacing w:after="0" w:line="252" w:lineRule="auto"/>
              <w:jc w:val="left"/>
            </w:pPr>
            <w:r>
              <w:rPr>
                <w:color w:val="1E2933"/>
                <w:sz w:val="16"/>
              </w:rPr>
              <w:t>2030</w:t>
            </w:r>
          </w:p>
        </w:tc>
        <w:tc>
          <w:tcPr>
            <w:tcW w:type="dxa" w:w="2044"/>
            <w:vAlign w:val="center"/>
            <w:tcMar>
              <w:top w:w="90" w:type="dxa"/>
              <w:start w:w="110" w:type="dxa"/>
              <w:bottom w:w="90" w:type="dxa"/>
              <w:end w:w="110" w:type="dxa"/>
            </w:tcMar>
            <w:shd w:fill="F7F9FA"/>
          </w:tcPr>
          <w:p>
            <w:pPr>
              <w:spacing w:after="0" w:line="252" w:lineRule="auto"/>
              <w:jc w:val="left"/>
            </w:pPr>
            <w:r>
              <w:rPr>
                <w:color w:val="1E2933"/>
                <w:sz w:val="16"/>
              </w:rPr>
              <w:t>+0.6%</w:t>
            </w:r>
          </w:p>
        </w:tc>
        <w:tc>
          <w:tcPr>
            <w:tcW w:type="dxa" w:w="1721"/>
            <w:vAlign w:val="center"/>
            <w:tcMar>
              <w:top w:w="90" w:type="dxa"/>
              <w:start w:w="110" w:type="dxa"/>
              <w:bottom w:w="90" w:type="dxa"/>
              <w:end w:w="110" w:type="dxa"/>
            </w:tcMar>
            <w:shd w:fill="F7F9FA"/>
          </w:tcPr>
          <w:p>
            <w:pPr>
              <w:spacing w:after="0" w:line="252" w:lineRule="auto"/>
              <w:jc w:val="left"/>
            </w:pPr>
            <w:r>
              <w:rPr>
                <w:color w:val="1E2933"/>
                <w:sz w:val="16"/>
              </w:rPr>
              <w:t>−1.4%</w:t>
            </w:r>
          </w:p>
        </w:tc>
        <w:tc>
          <w:tcPr>
            <w:tcW w:type="dxa" w:w="1506"/>
            <w:vAlign w:val="center"/>
            <w:tcMar>
              <w:top w:w="90" w:type="dxa"/>
              <w:start w:w="110" w:type="dxa"/>
              <w:bottom w:w="90" w:type="dxa"/>
              <w:end w:w="110" w:type="dxa"/>
            </w:tcMar>
            <w:shd w:fill="F7F9FA"/>
          </w:tcPr>
          <w:p>
            <w:pPr>
              <w:spacing w:after="0" w:line="252" w:lineRule="auto"/>
              <w:jc w:val="left"/>
            </w:pPr>
            <w:r>
              <w:rPr>
                <w:color w:val="1E2933"/>
                <w:sz w:val="16"/>
              </w:rPr>
              <w:t>−4.5%</w:t>
            </w:r>
          </w:p>
        </w:tc>
        <w:tc>
          <w:tcPr>
            <w:tcW w:type="dxa" w:w="2582"/>
            <w:vAlign w:val="center"/>
            <w:tcMar>
              <w:top w:w="90" w:type="dxa"/>
              <w:start w:w="110" w:type="dxa"/>
              <w:bottom w:w="90" w:type="dxa"/>
              <w:end w:w="110" w:type="dxa"/>
            </w:tcMar>
            <w:shd w:fill="F7F9FA"/>
          </w:tcPr>
          <w:p>
            <w:pPr>
              <w:spacing w:after="0" w:line="252" w:lineRule="auto"/>
              <w:jc w:val="left"/>
            </w:pPr>
            <w:r>
              <w:rPr>
                <w:color w:val="1E2933"/>
                <w:sz w:val="16"/>
              </w:rPr>
              <w:t>−3.4%</w:t>
            </w:r>
          </w:p>
        </w:tc>
      </w:tr>
      <w:tr>
        <w:trPr>
          <w:cantSplit/>
        </w:trPr>
        <w:tc>
          <w:tcPr>
            <w:tcW w:type="dxa" w:w="1291"/>
            <w:vAlign w:val="center"/>
            <w:tcMar>
              <w:top w:w="90" w:type="dxa"/>
              <w:start w:w="110" w:type="dxa"/>
              <w:bottom w:w="90" w:type="dxa"/>
              <w:end w:w="110" w:type="dxa"/>
            </w:tcMar>
          </w:tcPr>
          <w:p>
            <w:pPr>
              <w:spacing w:after="0" w:line="252" w:lineRule="auto"/>
              <w:jc w:val="left"/>
            </w:pPr>
            <w:r>
              <w:rPr>
                <w:color w:val="1E2933"/>
                <w:sz w:val="16"/>
              </w:rPr>
              <w:t>2031</w:t>
            </w:r>
          </w:p>
        </w:tc>
        <w:tc>
          <w:tcPr>
            <w:tcW w:type="dxa" w:w="2044"/>
            <w:vAlign w:val="center"/>
            <w:tcMar>
              <w:top w:w="90" w:type="dxa"/>
              <w:start w:w="110" w:type="dxa"/>
              <w:bottom w:w="90" w:type="dxa"/>
              <w:end w:w="110" w:type="dxa"/>
            </w:tcMar>
          </w:tcPr>
          <w:p>
            <w:pPr>
              <w:spacing w:after="0" w:line="252" w:lineRule="auto"/>
              <w:jc w:val="left"/>
            </w:pPr>
            <w:r>
              <w:rPr>
                <w:color w:val="1E2933"/>
                <w:sz w:val="16"/>
              </w:rPr>
              <w:t>+1.1%</w:t>
            </w:r>
          </w:p>
        </w:tc>
        <w:tc>
          <w:tcPr>
            <w:tcW w:type="dxa" w:w="1721"/>
            <w:vAlign w:val="center"/>
            <w:tcMar>
              <w:top w:w="90" w:type="dxa"/>
              <w:start w:w="110" w:type="dxa"/>
              <w:bottom w:w="90" w:type="dxa"/>
              <w:end w:w="110" w:type="dxa"/>
            </w:tcMar>
          </w:tcPr>
          <w:p>
            <w:pPr>
              <w:spacing w:after="0" w:line="252" w:lineRule="auto"/>
              <w:jc w:val="left"/>
            </w:pPr>
            <w:r>
              <w:rPr>
                <w:color w:val="1E2933"/>
                <w:sz w:val="16"/>
              </w:rPr>
              <w:t>−1.9%</w:t>
            </w:r>
          </w:p>
        </w:tc>
        <w:tc>
          <w:tcPr>
            <w:tcW w:type="dxa" w:w="1506"/>
            <w:vAlign w:val="center"/>
            <w:tcMar>
              <w:top w:w="90" w:type="dxa"/>
              <w:start w:w="110" w:type="dxa"/>
              <w:bottom w:w="90" w:type="dxa"/>
              <w:end w:w="110" w:type="dxa"/>
            </w:tcMar>
          </w:tcPr>
          <w:p>
            <w:pPr>
              <w:spacing w:after="0" w:line="252" w:lineRule="auto"/>
              <w:jc w:val="left"/>
            </w:pPr>
            <w:r>
              <w:rPr>
                <w:color w:val="1E2933"/>
                <w:sz w:val="16"/>
              </w:rPr>
              <w:t>−5.9%</w:t>
            </w:r>
          </w:p>
        </w:tc>
        <w:tc>
          <w:tcPr>
            <w:tcW w:type="dxa" w:w="2582"/>
            <w:vAlign w:val="center"/>
            <w:tcMar>
              <w:top w:w="90" w:type="dxa"/>
              <w:start w:w="110" w:type="dxa"/>
              <w:bottom w:w="90" w:type="dxa"/>
              <w:end w:w="110" w:type="dxa"/>
            </w:tcMar>
          </w:tcPr>
          <w:p>
            <w:pPr>
              <w:spacing w:after="0" w:line="252" w:lineRule="auto"/>
              <w:jc w:val="left"/>
            </w:pPr>
            <w:r>
              <w:rPr>
                <w:color w:val="1E2933"/>
                <w:sz w:val="16"/>
              </w:rPr>
              <w:t>−4.9%</w:t>
            </w:r>
          </w:p>
        </w:tc>
      </w:tr>
      <w:tr>
        <w:trPr>
          <w:cantSplit/>
        </w:trPr>
        <w:tc>
          <w:tcPr>
            <w:tcW w:type="dxa" w:w="1291"/>
            <w:vAlign w:val="center"/>
            <w:tcMar>
              <w:top w:w="90" w:type="dxa"/>
              <w:start w:w="110" w:type="dxa"/>
              <w:bottom w:w="90" w:type="dxa"/>
              <w:end w:w="110" w:type="dxa"/>
            </w:tcMar>
            <w:shd w:fill="F7F9FA"/>
          </w:tcPr>
          <w:p>
            <w:pPr>
              <w:spacing w:after="0" w:line="252" w:lineRule="auto"/>
              <w:jc w:val="left"/>
            </w:pPr>
            <w:r>
              <w:rPr>
                <w:color w:val="1E2933"/>
                <w:sz w:val="16"/>
              </w:rPr>
              <w:t>2032</w:t>
            </w:r>
          </w:p>
        </w:tc>
        <w:tc>
          <w:tcPr>
            <w:tcW w:type="dxa" w:w="2044"/>
            <w:vAlign w:val="center"/>
            <w:tcMar>
              <w:top w:w="90" w:type="dxa"/>
              <w:start w:w="110" w:type="dxa"/>
              <w:bottom w:w="90" w:type="dxa"/>
              <w:end w:w="110" w:type="dxa"/>
            </w:tcMar>
            <w:shd w:fill="F7F9FA"/>
          </w:tcPr>
          <w:p>
            <w:pPr>
              <w:spacing w:after="0" w:line="252" w:lineRule="auto"/>
              <w:jc w:val="left"/>
            </w:pPr>
            <w:r>
              <w:rPr>
                <w:color w:val="1E2933"/>
                <w:sz w:val="16"/>
              </w:rPr>
              <w:t>+1.5%</w:t>
            </w:r>
          </w:p>
        </w:tc>
        <w:tc>
          <w:tcPr>
            <w:tcW w:type="dxa" w:w="1721"/>
            <w:vAlign w:val="center"/>
            <w:tcMar>
              <w:top w:w="90" w:type="dxa"/>
              <w:start w:w="110" w:type="dxa"/>
              <w:bottom w:w="90" w:type="dxa"/>
              <w:end w:w="110" w:type="dxa"/>
            </w:tcMar>
            <w:shd w:fill="F7F9FA"/>
          </w:tcPr>
          <w:p>
            <w:pPr>
              <w:spacing w:after="0" w:line="252" w:lineRule="auto"/>
              <w:jc w:val="left"/>
            </w:pPr>
            <w:r>
              <w:rPr>
                <w:color w:val="1E2933"/>
                <w:sz w:val="16"/>
              </w:rPr>
              <w:t>−2.3%</w:t>
            </w:r>
          </w:p>
        </w:tc>
        <w:tc>
          <w:tcPr>
            <w:tcW w:type="dxa" w:w="1506"/>
            <w:vAlign w:val="center"/>
            <w:tcMar>
              <w:top w:w="90" w:type="dxa"/>
              <w:start w:w="110" w:type="dxa"/>
              <w:bottom w:w="90" w:type="dxa"/>
              <w:end w:w="110" w:type="dxa"/>
            </w:tcMar>
            <w:shd w:fill="F7F9FA"/>
          </w:tcPr>
          <w:p>
            <w:pPr>
              <w:spacing w:after="0" w:line="252" w:lineRule="auto"/>
              <w:jc w:val="left"/>
            </w:pPr>
            <w:r>
              <w:rPr>
                <w:color w:val="1E2933"/>
                <w:sz w:val="16"/>
              </w:rPr>
              <w:t>−6.7%</w:t>
            </w:r>
          </w:p>
        </w:tc>
        <w:tc>
          <w:tcPr>
            <w:tcW w:type="dxa" w:w="2582"/>
            <w:vAlign w:val="center"/>
            <w:tcMar>
              <w:top w:w="90" w:type="dxa"/>
              <w:start w:w="110" w:type="dxa"/>
              <w:bottom w:w="90" w:type="dxa"/>
              <w:end w:w="110" w:type="dxa"/>
            </w:tcMar>
            <w:shd w:fill="F7F9FA"/>
          </w:tcPr>
          <w:p>
            <w:pPr>
              <w:spacing w:after="0" w:line="252" w:lineRule="auto"/>
              <w:jc w:val="left"/>
            </w:pPr>
            <w:r>
              <w:rPr>
                <w:color w:val="1E2933"/>
                <w:sz w:val="16"/>
              </w:rPr>
              <w:t>−6.0%</w:t>
            </w:r>
          </w:p>
        </w:tc>
      </w:tr>
      <w:tr>
        <w:trPr>
          <w:cantSplit/>
        </w:trPr>
        <w:tc>
          <w:tcPr>
            <w:tcW w:type="dxa" w:w="1291"/>
            <w:vAlign w:val="center"/>
            <w:tcMar>
              <w:top w:w="90" w:type="dxa"/>
              <w:start w:w="110" w:type="dxa"/>
              <w:bottom w:w="90" w:type="dxa"/>
              <w:end w:w="110" w:type="dxa"/>
            </w:tcMar>
          </w:tcPr>
          <w:p>
            <w:pPr>
              <w:spacing w:after="0" w:line="252" w:lineRule="auto"/>
              <w:jc w:val="left"/>
            </w:pPr>
            <w:r>
              <w:rPr>
                <w:color w:val="1E2933"/>
                <w:sz w:val="16"/>
              </w:rPr>
              <w:t>2033</w:t>
            </w:r>
          </w:p>
        </w:tc>
        <w:tc>
          <w:tcPr>
            <w:tcW w:type="dxa" w:w="2044"/>
            <w:vAlign w:val="center"/>
            <w:tcMar>
              <w:top w:w="90" w:type="dxa"/>
              <w:start w:w="110" w:type="dxa"/>
              <w:bottom w:w="90" w:type="dxa"/>
              <w:end w:w="110" w:type="dxa"/>
            </w:tcMar>
          </w:tcPr>
          <w:p>
            <w:pPr>
              <w:spacing w:after="0" w:line="252" w:lineRule="auto"/>
              <w:jc w:val="left"/>
            </w:pPr>
            <w:r>
              <w:rPr>
                <w:color w:val="1E2933"/>
                <w:sz w:val="16"/>
              </w:rPr>
              <w:t>+2.0%</w:t>
            </w:r>
          </w:p>
        </w:tc>
        <w:tc>
          <w:tcPr>
            <w:tcW w:type="dxa" w:w="1721"/>
            <w:vAlign w:val="center"/>
            <w:tcMar>
              <w:top w:w="90" w:type="dxa"/>
              <w:start w:w="110" w:type="dxa"/>
              <w:bottom w:w="90" w:type="dxa"/>
              <w:end w:w="110" w:type="dxa"/>
            </w:tcMar>
          </w:tcPr>
          <w:p>
            <w:pPr>
              <w:spacing w:after="0" w:line="252" w:lineRule="auto"/>
              <w:jc w:val="left"/>
            </w:pPr>
            <w:r>
              <w:rPr>
                <w:color w:val="1E2933"/>
                <w:sz w:val="16"/>
              </w:rPr>
              <w:t>−2.5%</w:t>
            </w:r>
          </w:p>
        </w:tc>
        <w:tc>
          <w:tcPr>
            <w:tcW w:type="dxa" w:w="1506"/>
            <w:vAlign w:val="center"/>
            <w:tcMar>
              <w:top w:w="90" w:type="dxa"/>
              <w:start w:w="110" w:type="dxa"/>
              <w:bottom w:w="90" w:type="dxa"/>
              <w:end w:w="110" w:type="dxa"/>
            </w:tcMar>
          </w:tcPr>
          <w:p>
            <w:pPr>
              <w:spacing w:after="0" w:line="252" w:lineRule="auto"/>
              <w:jc w:val="left"/>
            </w:pPr>
            <w:r>
              <w:rPr>
                <w:color w:val="1E2933"/>
                <w:sz w:val="16"/>
              </w:rPr>
              <w:t>−7.1%</w:t>
            </w:r>
          </w:p>
        </w:tc>
        <w:tc>
          <w:tcPr>
            <w:tcW w:type="dxa" w:w="2582"/>
            <w:vAlign w:val="center"/>
            <w:tcMar>
              <w:top w:w="90" w:type="dxa"/>
              <w:start w:w="110" w:type="dxa"/>
              <w:bottom w:w="90" w:type="dxa"/>
              <w:end w:w="110" w:type="dxa"/>
            </w:tcMar>
          </w:tcPr>
          <w:p>
            <w:pPr>
              <w:spacing w:after="0" w:line="252" w:lineRule="auto"/>
              <w:jc w:val="left"/>
            </w:pPr>
            <w:r>
              <w:rPr>
                <w:color w:val="1E2933"/>
                <w:sz w:val="16"/>
              </w:rPr>
              <w:t>−7.0%</w:t>
            </w:r>
          </w:p>
        </w:tc>
      </w:tr>
      <w:tr>
        <w:trPr>
          <w:cantSplit/>
        </w:trPr>
        <w:tc>
          <w:tcPr>
            <w:tcW w:type="dxa" w:w="1291"/>
            <w:vAlign w:val="center"/>
            <w:tcMar>
              <w:top w:w="90" w:type="dxa"/>
              <w:start w:w="110" w:type="dxa"/>
              <w:bottom w:w="90" w:type="dxa"/>
              <w:end w:w="110" w:type="dxa"/>
            </w:tcMar>
            <w:shd w:fill="F7F9FA"/>
          </w:tcPr>
          <w:p>
            <w:pPr>
              <w:spacing w:after="0" w:line="252" w:lineRule="auto"/>
              <w:jc w:val="left"/>
            </w:pPr>
            <w:r>
              <w:rPr>
                <w:color w:val="1E2933"/>
                <w:sz w:val="16"/>
              </w:rPr>
              <w:t>2034</w:t>
            </w:r>
          </w:p>
        </w:tc>
        <w:tc>
          <w:tcPr>
            <w:tcW w:type="dxa" w:w="2044"/>
            <w:vAlign w:val="center"/>
            <w:tcMar>
              <w:top w:w="90" w:type="dxa"/>
              <w:start w:w="110" w:type="dxa"/>
              <w:bottom w:w="90" w:type="dxa"/>
              <w:end w:w="110" w:type="dxa"/>
            </w:tcMar>
            <w:shd w:fill="F7F9FA"/>
          </w:tcPr>
          <w:p>
            <w:pPr>
              <w:spacing w:after="0" w:line="252" w:lineRule="auto"/>
              <w:jc w:val="left"/>
            </w:pPr>
            <w:r>
              <w:rPr>
                <w:color w:val="1E2933"/>
                <w:sz w:val="16"/>
              </w:rPr>
              <w:t>+2.5%</w:t>
            </w:r>
          </w:p>
        </w:tc>
        <w:tc>
          <w:tcPr>
            <w:tcW w:type="dxa" w:w="1721"/>
            <w:vAlign w:val="center"/>
            <w:tcMar>
              <w:top w:w="90" w:type="dxa"/>
              <w:start w:w="110" w:type="dxa"/>
              <w:bottom w:w="90" w:type="dxa"/>
              <w:end w:w="110" w:type="dxa"/>
            </w:tcMar>
            <w:shd w:fill="F7F9FA"/>
          </w:tcPr>
          <w:p>
            <w:pPr>
              <w:spacing w:after="0" w:line="252" w:lineRule="auto"/>
              <w:jc w:val="left"/>
            </w:pPr>
            <w:r>
              <w:rPr>
                <w:color w:val="1E2933"/>
                <w:sz w:val="16"/>
              </w:rPr>
              <w:t>−2.7%</w:t>
            </w:r>
          </w:p>
        </w:tc>
        <w:tc>
          <w:tcPr>
            <w:tcW w:type="dxa" w:w="1506"/>
            <w:vAlign w:val="center"/>
            <w:tcMar>
              <w:top w:w="90" w:type="dxa"/>
              <w:start w:w="110" w:type="dxa"/>
              <w:bottom w:w="90" w:type="dxa"/>
              <w:end w:w="110" w:type="dxa"/>
            </w:tcMar>
            <w:shd w:fill="F7F9FA"/>
          </w:tcPr>
          <w:p>
            <w:pPr>
              <w:spacing w:after="0" w:line="252" w:lineRule="auto"/>
              <w:jc w:val="left"/>
            </w:pPr>
            <w:r>
              <w:rPr>
                <w:color w:val="1E2933"/>
                <w:sz w:val="16"/>
              </w:rPr>
              <w:t>−6.9%</w:t>
            </w:r>
          </w:p>
        </w:tc>
        <w:tc>
          <w:tcPr>
            <w:tcW w:type="dxa" w:w="2582"/>
            <w:vAlign w:val="center"/>
            <w:tcMar>
              <w:top w:w="90" w:type="dxa"/>
              <w:start w:w="110" w:type="dxa"/>
              <w:bottom w:w="90" w:type="dxa"/>
              <w:end w:w="110" w:type="dxa"/>
            </w:tcMar>
            <w:shd w:fill="F7F9FA"/>
          </w:tcPr>
          <w:p>
            <w:pPr>
              <w:spacing w:after="0" w:line="252" w:lineRule="auto"/>
              <w:jc w:val="left"/>
            </w:pPr>
            <w:r>
              <w:rPr>
                <w:color w:val="1E2933"/>
                <w:sz w:val="16"/>
              </w:rPr>
              <w:t>−7.9%</w:t>
            </w:r>
          </w:p>
        </w:tc>
      </w:tr>
      <w:tr>
        <w:trPr>
          <w:cantSplit/>
        </w:trPr>
        <w:tc>
          <w:tcPr>
            <w:tcW w:type="dxa" w:w="1291"/>
            <w:vAlign w:val="center"/>
            <w:tcMar>
              <w:top w:w="90" w:type="dxa"/>
              <w:start w:w="110" w:type="dxa"/>
              <w:bottom w:w="90" w:type="dxa"/>
              <w:end w:w="110" w:type="dxa"/>
            </w:tcMar>
          </w:tcPr>
          <w:p>
            <w:pPr>
              <w:spacing w:after="0" w:line="252" w:lineRule="auto"/>
              <w:jc w:val="left"/>
            </w:pPr>
            <w:r>
              <w:rPr>
                <w:color w:val="1E2933"/>
                <w:sz w:val="16"/>
              </w:rPr>
              <w:t>2035</w:t>
            </w:r>
          </w:p>
        </w:tc>
        <w:tc>
          <w:tcPr>
            <w:tcW w:type="dxa" w:w="2044"/>
            <w:vAlign w:val="center"/>
            <w:tcMar>
              <w:top w:w="90" w:type="dxa"/>
              <w:start w:w="110" w:type="dxa"/>
              <w:bottom w:w="90" w:type="dxa"/>
              <w:end w:w="110" w:type="dxa"/>
            </w:tcMar>
          </w:tcPr>
          <w:p>
            <w:pPr>
              <w:spacing w:after="0" w:line="252" w:lineRule="auto"/>
              <w:jc w:val="left"/>
            </w:pPr>
            <w:r>
              <w:rPr>
                <w:color w:val="1E2933"/>
                <w:sz w:val="16"/>
              </w:rPr>
              <w:t>+2.9%</w:t>
            </w:r>
          </w:p>
        </w:tc>
        <w:tc>
          <w:tcPr>
            <w:tcW w:type="dxa" w:w="1721"/>
            <w:vAlign w:val="center"/>
            <w:tcMar>
              <w:top w:w="90" w:type="dxa"/>
              <w:start w:w="110" w:type="dxa"/>
              <w:bottom w:w="90" w:type="dxa"/>
              <w:end w:w="110" w:type="dxa"/>
            </w:tcMar>
          </w:tcPr>
          <w:p>
            <w:pPr>
              <w:spacing w:after="0" w:line="252" w:lineRule="auto"/>
              <w:jc w:val="left"/>
            </w:pPr>
            <w:r>
              <w:rPr>
                <w:color w:val="1E2933"/>
                <w:sz w:val="16"/>
              </w:rPr>
              <w:t>−2.8%</w:t>
            </w:r>
          </w:p>
        </w:tc>
        <w:tc>
          <w:tcPr>
            <w:tcW w:type="dxa" w:w="1506"/>
            <w:vAlign w:val="center"/>
            <w:tcMar>
              <w:top w:w="90" w:type="dxa"/>
              <w:start w:w="110" w:type="dxa"/>
              <w:bottom w:w="90" w:type="dxa"/>
              <w:end w:w="110" w:type="dxa"/>
            </w:tcMar>
          </w:tcPr>
          <w:p>
            <w:pPr>
              <w:spacing w:after="0" w:line="252" w:lineRule="auto"/>
              <w:jc w:val="left"/>
            </w:pPr>
            <w:r>
              <w:rPr>
                <w:color w:val="1E2933"/>
                <w:sz w:val="16"/>
              </w:rPr>
              <w:t>−6.7%</w:t>
            </w:r>
          </w:p>
        </w:tc>
        <w:tc>
          <w:tcPr>
            <w:tcW w:type="dxa" w:w="2582"/>
            <w:vAlign w:val="center"/>
            <w:tcMar>
              <w:top w:w="90" w:type="dxa"/>
              <w:start w:w="110" w:type="dxa"/>
              <w:bottom w:w="90" w:type="dxa"/>
              <w:end w:w="110" w:type="dxa"/>
            </w:tcMar>
          </w:tcPr>
          <w:p>
            <w:pPr>
              <w:spacing w:after="0" w:line="252" w:lineRule="auto"/>
              <w:jc w:val="left"/>
            </w:pPr>
            <w:r>
              <w:rPr>
                <w:color w:val="1E2933"/>
                <w:sz w:val="16"/>
              </w:rPr>
              <w:t>−8.4%</w:t>
            </w:r>
          </w:p>
        </w:tc>
      </w:tr>
      <w:tr>
        <w:trPr>
          <w:cantSplit/>
        </w:trPr>
        <w:tc>
          <w:tcPr>
            <w:tcW w:type="dxa" w:w="1291"/>
            <w:vAlign w:val="center"/>
            <w:tcMar>
              <w:top w:w="90" w:type="dxa"/>
              <w:start w:w="110" w:type="dxa"/>
              <w:bottom w:w="90" w:type="dxa"/>
              <w:end w:w="110" w:type="dxa"/>
            </w:tcMar>
            <w:shd w:fill="F7F9FA"/>
          </w:tcPr>
          <w:p>
            <w:pPr>
              <w:spacing w:after="0" w:line="252" w:lineRule="auto"/>
              <w:jc w:val="left"/>
            </w:pPr>
            <w:r>
              <w:rPr>
                <w:color w:val="1E2933"/>
                <w:sz w:val="16"/>
              </w:rPr>
              <w:t>2036</w:t>
            </w:r>
          </w:p>
        </w:tc>
        <w:tc>
          <w:tcPr>
            <w:tcW w:type="dxa" w:w="2044"/>
            <w:vAlign w:val="center"/>
            <w:tcMar>
              <w:top w:w="90" w:type="dxa"/>
              <w:start w:w="110" w:type="dxa"/>
              <w:bottom w:w="90" w:type="dxa"/>
              <w:end w:w="110" w:type="dxa"/>
            </w:tcMar>
            <w:shd w:fill="F7F9FA"/>
          </w:tcPr>
          <w:p>
            <w:pPr>
              <w:spacing w:after="0" w:line="252" w:lineRule="auto"/>
              <w:jc w:val="left"/>
            </w:pPr>
            <w:r>
              <w:rPr>
                <w:color w:val="1E2933"/>
                <w:sz w:val="16"/>
              </w:rPr>
              <w:t>+3.5%</w:t>
            </w:r>
          </w:p>
        </w:tc>
        <w:tc>
          <w:tcPr>
            <w:tcW w:type="dxa" w:w="1721"/>
            <w:vAlign w:val="center"/>
            <w:tcMar>
              <w:top w:w="90" w:type="dxa"/>
              <w:start w:w="110" w:type="dxa"/>
              <w:bottom w:w="90" w:type="dxa"/>
              <w:end w:w="110" w:type="dxa"/>
            </w:tcMar>
            <w:shd w:fill="F7F9FA"/>
          </w:tcPr>
          <w:p>
            <w:pPr>
              <w:spacing w:after="0" w:line="252" w:lineRule="auto"/>
              <w:jc w:val="left"/>
            </w:pPr>
            <w:r>
              <w:rPr>
                <w:color w:val="1E2933"/>
                <w:sz w:val="16"/>
              </w:rPr>
              <w:t>−2.7%</w:t>
            </w:r>
          </w:p>
        </w:tc>
        <w:tc>
          <w:tcPr>
            <w:tcW w:type="dxa" w:w="1506"/>
            <w:vAlign w:val="center"/>
            <w:tcMar>
              <w:top w:w="90" w:type="dxa"/>
              <w:start w:w="110" w:type="dxa"/>
              <w:bottom w:w="90" w:type="dxa"/>
              <w:end w:w="110" w:type="dxa"/>
            </w:tcMar>
            <w:shd w:fill="F7F9FA"/>
          </w:tcPr>
          <w:p>
            <w:pPr>
              <w:spacing w:after="0" w:line="252" w:lineRule="auto"/>
              <w:jc w:val="left"/>
            </w:pPr>
            <w:r>
              <w:rPr>
                <w:color w:val="1E2933"/>
                <w:sz w:val="16"/>
              </w:rPr>
              <w:t>−6.3%</w:t>
            </w:r>
          </w:p>
        </w:tc>
        <w:tc>
          <w:tcPr>
            <w:tcW w:type="dxa" w:w="2582"/>
            <w:vAlign w:val="center"/>
            <w:tcMar>
              <w:top w:w="90" w:type="dxa"/>
              <w:start w:w="110" w:type="dxa"/>
              <w:bottom w:w="90" w:type="dxa"/>
              <w:end w:w="110" w:type="dxa"/>
            </w:tcMar>
            <w:shd w:fill="F7F9FA"/>
          </w:tcPr>
          <w:p>
            <w:pPr>
              <w:spacing w:after="0" w:line="252" w:lineRule="auto"/>
              <w:jc w:val="left"/>
            </w:pPr>
            <w:r>
              <w:rPr>
                <w:color w:val="1E2933"/>
                <w:sz w:val="16"/>
              </w:rPr>
              <w:t>−8.8%</w:t>
            </w:r>
          </w:p>
        </w:tc>
      </w:tr>
    </w:tbl>
    <w:p>
      <w:pPr>
        <w:spacing w:after="20"/>
      </w:pPr>
    </w:p>
    <w:p>
      <w:r>
        <w:t xml:space="preserve">The growth pattern does improve over time in the funded reference: annual real growth slows below baseline during the heaviest adjustment, then rises to 1.61% in 2036 as the assumed investment and adjustment effects mature. That does </w:t>
      </w:r>
      <w:r>
        <w:rPr>
          <w:b/>
        </w:rPr>
        <w:t>not</w:t>
      </w:r>
      <w:r>
        <w:t xml:space="preserve"> mean the scheme has paid for itself. Real output is still 2.7% below the no-policy level in 2036 in that path. Only the demanding successful-delivery case ends above baseline, at +3.5%; it requires strong financing, limited bank disruption, high investment additionality and favourable labour matching.</w:t>
      </w:r>
    </w:p>
    <w:p>
      <w:r>
        <w:t xml:space="preserve">Using the 2026–27 GDP scale only to make the endpoints intelligible, the 2036 constant-price-scale effect is approximately </w:t>
      </w:r>
      <w:r>
        <w:rPr>
          <w:b/>
        </w:rPr>
        <w:t>+£129bn</w:t>
      </w:r>
      <w:r>
        <w:t xml:space="preserve"> in successful delivery, </w:t>
      </w:r>
      <w:r>
        <w:rPr>
          <w:b/>
        </w:rPr>
        <w:t>−£99bn</w:t>
      </w:r>
      <w:r>
        <w:t xml:space="preserve"> in the funded reference, </w:t>
      </w:r>
      <w:r>
        <w:rPr>
          <w:b/>
        </w:rPr>
        <w:t>−£232bn</w:t>
      </w:r>
      <w:r>
        <w:t xml:space="preserve"> under banking stress and </w:t>
      </w:r>
      <w:r>
        <w:rPr>
          <w:b/>
        </w:rPr>
        <w:t>−£324bn</w:t>
      </w:r>
      <w:r>
        <w:t xml:space="preserve"> with sustained avoidance and fiscal leakage. These are hand-calibrated, non-probabilistic sensitivities, not OBR forecasts. </w:t>
      </w:r>
      <w:r>
        <w:t xml:space="preserve"> </w:t>
      </w:r>
      <w:hyperlink r:id="rId42">
        <w:r>
          <w:rPr>
            <w:color w:val="006D77"/>
            <w:u w:val="single"/>
          </w:rPr>
          <w:t>[27]</w:t>
        </w:r>
      </w:hyperlink>
    </w:p>
    <w:p>
      <w:pPr>
        <w:pStyle w:val="Heading1"/>
      </w:pPr>
      <w:r>
        <w:t>8. Implementation, safeguards and decision gates</w:t>
      </w:r>
    </w:p>
    <w:p>
      <w:pPr>
        <w:keepNext/>
        <w:jc w:val="center"/>
      </w:pPr>
      <w:r>
        <w:drawing>
          <wp:inline xmlns:a="http://schemas.openxmlformats.org/drawingml/2006/main" xmlns:pic="http://schemas.openxmlformats.org/drawingml/2006/picture">
            <wp:extent cx="5897880" cy="3669851"/>
            <wp:docPr id="6" name="Picture 6" title="Figure 6" descr="Governance firewall. Collection, investment, regulation, audit and public reporting are deliberately separated."/>
            <wp:cNvGraphicFramePr>
              <a:graphicFrameLocks noChangeAspect="1"/>
            </wp:cNvGraphicFramePr>
            <a:graphic>
              <a:graphicData uri="http://schemas.openxmlformats.org/drawingml/2006/picture">
                <pic:pic>
                  <pic:nvPicPr>
                    <pic:cNvPr id="0" name="governance_firewall.png"/>
                    <pic:cNvPicPr/>
                  </pic:nvPicPr>
                  <pic:blipFill>
                    <a:blip r:embed="rId43"/>
                    <a:stretch>
                      <a:fillRect/>
                    </a:stretch>
                  </pic:blipFill>
                  <pic:spPr>
                    <a:xfrm>
                      <a:off x="0" y="0"/>
                      <a:ext cx="5897880" cy="3669851"/>
                    </a:xfrm>
                    <a:prstGeom prst="rect"/>
                  </pic:spPr>
                </pic:pic>
              </a:graphicData>
            </a:graphic>
          </wp:inline>
        </w:drawing>
      </w:r>
    </w:p>
    <w:p>
      <w:pPr>
        <w:pStyle w:val="PolicyCaption"/>
        <w:jc w:val="left"/>
      </w:pPr>
      <w:r>
        <w:rPr>
          <w:b/>
        </w:rPr>
        <w:t xml:space="preserve">Figure 6. </w:t>
      </w:r>
      <w:r>
        <w:t>Governance firewall. Collection, investment, regulation, audit and public reporting are deliberately separated.</w:t>
      </w:r>
    </w:p>
    <w:p>
      <w:r>
        <w:t>The policy uses staged commitments so that rights are never removed before the replacement works for the same person.</w:t>
      </w:r>
    </w:p>
    <w:p>
      <w:pPr>
        <w:pStyle w:val="Heading2"/>
      </w:pPr>
      <w:r>
        <w:t>Stage 0 — independent investigation and legislation design</w:t>
      </w:r>
    </w:p>
    <w:p>
      <w:pPr>
        <w:pStyle w:val="ListBullet"/>
      </w:pPr>
      <w:r>
        <w:t>publish the complete tax, borrowing, offset, indexation and eligibility schedule needed to close the fiscal bridge;</w:t>
      </w:r>
    </w:p>
    <w:p>
      <w:pPr>
        <w:pStyle w:val="ListBullet"/>
      </w:pPr>
      <w:r>
        <w:t>inventory every central, devolved and local payment and classify it by economic purpose;</w:t>
      </w:r>
    </w:p>
    <w:p>
      <w:pPr>
        <w:pStyle w:val="ListBullet"/>
      </w:pPr>
      <w:r>
        <w:t>run a tax-benefit-wealth microsimulation and distributional assessment;</w:t>
      </w:r>
    </w:p>
    <w:p>
      <w:pPr>
        <w:pStyle w:val="ListBullet"/>
      </w:pPr>
      <w:r>
        <w:t>run the CIC shadow calculation and bank stress tests at 10%, 20% and 40% deposit migration;</w:t>
      </w:r>
    </w:p>
    <w:p>
      <w:pPr>
        <w:pStyle w:val="ListBullet"/>
      </w:pPr>
      <w:r>
        <w:t>map staff functions, estates, leases, suppliers, data, appeals and service dependencies;</w:t>
      </w:r>
    </w:p>
    <w:p>
      <w:pPr>
        <w:pStyle w:val="ListBullet"/>
      </w:pPr>
      <w:r>
        <w:t>complete equality, human-rights, devolution, data-protection and cyber-continuity assessments;</w:t>
      </w:r>
    </w:p>
    <w:p>
      <w:pPr>
        <w:pStyle w:val="ListBullet"/>
      </w:pPr>
      <w:r>
        <w:t>establish the Shared Growth Commission and test the no-login People’s Money Ledger.</w:t>
      </w:r>
    </w:p>
    <w:p>
      <w:pPr>
        <w:pStyle w:val="Heading2"/>
      </w:pPr>
      <w:r>
        <w:t>Stage 1 — shadow accounts and protected pilots</w:t>
      </w:r>
    </w:p>
    <w:p>
      <w:pPr>
        <w:pStyle w:val="ListBullet"/>
      </w:pPr>
      <w:r>
        <w:t>provide individual payment-and-tax shadow statements without removing existing rights;</w:t>
      </w:r>
    </w:p>
    <w:p>
      <w:pPr>
        <w:pStyle w:val="ListBullet"/>
      </w:pPr>
      <w:r>
        <w:t>pilot voluntary NS&amp;I Common Growth Accounts and publish their full calculation;</w:t>
      </w:r>
    </w:p>
    <w:p>
      <w:pPr>
        <w:pStyle w:val="ListBullet"/>
      </w:pPr>
      <w:r>
        <w:t>test offline and assisted access, emergency payment, identity dispute and human appeal;</w:t>
      </w:r>
    </w:p>
    <w:p>
      <w:pPr>
        <w:pStyle w:val="ListBullet"/>
      </w:pPr>
      <w:r>
        <w:t>invest only in pre-appraised additional projects and publish benchmark, subsidy and risk;</w:t>
      </w:r>
    </w:p>
    <w:p>
      <w:pPr>
        <w:pStyle w:val="ListBullet"/>
      </w:pPr>
      <w:r>
        <w:t>evaluate worker-choice, wellbeing, hours, matching, service continuity and price effects.</w:t>
      </w:r>
    </w:p>
    <w:p>
      <w:pPr>
        <w:pStyle w:val="Heading2"/>
      </w:pPr>
      <w:r>
        <w:t>Stage 2 — conditional scale</w:t>
      </w:r>
    </w:p>
    <w:p>
      <w:pPr>
        <w:pStyle w:val="ListBullet"/>
      </w:pPr>
      <w:r>
        <w:t>expand only with an OBR-certified financing plan, Bank of England/FPC stability clearance and audited service-continuity result;</w:t>
      </w:r>
    </w:p>
    <w:p>
      <w:pPr>
        <w:pStyle w:val="ListBullet"/>
      </w:pPr>
      <w:r>
        <w:t>close each legacy cash payment only after the new payment reconciles successfully for the same recipient;</w:t>
      </w:r>
    </w:p>
    <w:p>
      <w:pPr>
        <w:pStyle w:val="ListBullet"/>
      </w:pPr>
      <w:r>
        <w:t>retain restricted professional-service funding and accrued legal rights;</w:t>
      </w:r>
    </w:p>
    <w:p>
      <w:pPr>
        <w:pStyle w:val="ListBullet"/>
      </w:pPr>
      <w:r>
        <w:t>grandfather fixed-term savings contracts and phase CIC product scope;</w:t>
      </w:r>
    </w:p>
    <w:p>
      <w:pPr>
        <w:pStyle w:val="ListBullet"/>
      </w:pPr>
      <w:r>
        <w:t>pause expansion automatically if inflation, deposit flight, credit, exclusion or service thresholds breach.</w:t>
      </w:r>
    </w:p>
    <w:p>
      <w:pPr>
        <w:pStyle w:val="Heading2"/>
      </w:pPr>
      <w:r>
        <w:t>Stage 3 — five-to-ten-year correction</w:t>
      </w:r>
    </w:p>
    <w:p>
      <w:pPr>
        <w:pStyle w:val="ListBullet"/>
      </w:pPr>
      <w:r>
        <w:t>publish independent GDP, productivity, inflation, distribution, health, care, housing and bank evaluations;</w:t>
      </w:r>
    </w:p>
    <w:p>
      <w:pPr>
        <w:pStyle w:val="ListBullet"/>
      </w:pPr>
      <w:r>
        <w:t>compare forecasts with outturns and retain every historical data vintage;</w:t>
      </w:r>
    </w:p>
    <w:p>
      <w:pPr>
        <w:pStyle w:val="ListBullet"/>
      </w:pPr>
      <w:r>
        <w:t>correct, narrow, suspend or repeal mechanisms that produce avoidable harm;</w:t>
      </w:r>
    </w:p>
    <w:p>
      <w:pPr>
        <w:pStyle w:val="ListBullet"/>
      </w:pPr>
      <w:r>
        <w:t>require parliamentary renewal of material powers and prohibit private waivers for named firms.</w:t>
      </w:r>
    </w:p>
    <w:p>
      <w:r>
        <w:t xml:space="preserve">The investment body should apply the governance, disclosure and risk principles used internationally for public funds, including the Santiago Principles, while remaining subject to UK law, Parliament, NAO audit and OBR/ONS fiscal classification. </w:t>
      </w:r>
      <w:r>
        <w:t xml:space="preserve"> </w:t>
      </w:r>
      <w:hyperlink r:id="rId44">
        <w:r>
          <w:rPr>
            <w:color w:val="006D77"/>
            <w:u w:val="single"/>
          </w:rPr>
          <w:t>[28]</w:t>
        </w:r>
      </w:hyperlink>
      <w:r>
        <w:t xml:space="preserve"> Public investment must be assessed in both public-sector net debt and the broader public-sector net financial-liabilities framework; an asset does not eliminate borrowing risk, and a write-down worsens the public balance sheet. </w:t>
      </w:r>
      <w:r>
        <w:t xml:space="preserve"> </w:t>
      </w:r>
      <w:hyperlink r:id="rId45">
        <w:r>
          <w:rPr>
            <w:color w:val="006D77"/>
            <w:u w:val="single"/>
          </w:rPr>
          <w:t>[29]</w:t>
        </w:r>
      </w:hyperlink>
    </w:p>
    <w:p>
      <w:pPr>
        <w:pStyle w:val="Heading1"/>
      </w:pPr>
      <w:r>
        <w:t>9. Klatou Version 2 financial investigation workstream</w:t>
      </w:r>
    </w:p>
    <w:p>
      <w:r>
        <w:t xml:space="preserve">Version 2 should be updated through a dedicated </w:t>
      </w:r>
      <w:r>
        <w:rPr>
          <w:b/>
        </w:rPr>
        <w:t>Klatou Financial Investigation Workstream</w:t>
      </w:r>
      <w:r>
        <w:t>. Its purpose is not to produce a larger number; it is to replace uncertain assumptions with traceable, reproducible evidence.</w:t>
      </w:r>
    </w:p>
    <w:p>
      <w:r>
        <w:t>The workstream may use lawful public records, authorised government data and properly governed research access. It should map expenditure and ownership across benefits, pensions, administration, properties, leases, outsourced assessment, IT, payment processing, consultancy, charities receiving public money, bank product economics and public investment. It should link company numbers, beneficial owners, contract awards, variations, subcontractors, related parties, payments, outputs, audit findings, litigation and recoveries.</w:t>
      </w:r>
    </w:p>
    <w:p>
      <w:r>
        <w:t>Every finding receives a provenance trail, time stamp, responsible analyst, method, confidence grade and legal status. The public report separates:</w:t>
      </w:r>
    </w:p>
    <w:tbl>
      <w:tblPr>
        <w:tblW w:type="dxa" w:w="9144"/>
        <w:jc w:val="center"/>
        <w:tblLayout w:type="fixed"/>
        <w:tblLook w:firstColumn="1" w:firstRow="1" w:lastColumn="0" w:lastRow="0" w:noHBand="0" w:noVBand="1" w:val="04A0"/>
        <w:tblInd w:type="dxa" w:w="110"/>
      </w:tblPr>
      <w:tblGrid>
        <w:gridCol w:w="1444"/>
        <w:gridCol w:w="4125"/>
        <w:gridCol w:w="3575"/>
      </w:tblGrid>
      <w:tr>
        <w:trPr>
          <w:cantSplit/>
          <w:tblHeader w:val="true"/>
        </w:trPr>
        <w:tc>
          <w:tcPr>
            <w:tcW w:type="dxa" w:w="1444"/>
            <w:vAlign w:val="center"/>
            <w:tcMar>
              <w:top w:w="90" w:type="dxa"/>
              <w:start w:w="110" w:type="dxa"/>
              <w:bottom w:w="90" w:type="dxa"/>
              <w:end w:w="110" w:type="dxa"/>
            </w:tcMar>
            <w:shd w:fill="16324F"/>
          </w:tcPr>
          <w:p>
            <w:pPr>
              <w:spacing w:after="0" w:line="252" w:lineRule="auto"/>
              <w:jc w:val="left"/>
            </w:pPr>
            <w:r>
              <w:rPr>
                <w:b/>
                <w:color w:val="FFFFFF"/>
                <w:sz w:val="17"/>
              </w:rPr>
              <w:t>Label</w:t>
            </w:r>
          </w:p>
        </w:tc>
        <w:tc>
          <w:tcPr>
            <w:tcW w:type="dxa" w:w="4125"/>
            <w:vAlign w:val="center"/>
            <w:tcMar>
              <w:top w:w="90" w:type="dxa"/>
              <w:start w:w="110" w:type="dxa"/>
              <w:bottom w:w="90" w:type="dxa"/>
              <w:end w:w="110" w:type="dxa"/>
            </w:tcMar>
            <w:shd w:fill="16324F"/>
          </w:tcPr>
          <w:p>
            <w:pPr>
              <w:spacing w:after="0" w:line="252" w:lineRule="auto"/>
              <w:jc w:val="left"/>
            </w:pPr>
            <w:r>
              <w:rPr>
                <w:b/>
                <w:color w:val="FFFFFF"/>
                <w:sz w:val="17"/>
              </w:rPr>
              <w:t>Meaning</w:t>
            </w:r>
          </w:p>
        </w:tc>
        <w:tc>
          <w:tcPr>
            <w:tcW w:type="dxa" w:w="3575"/>
            <w:vAlign w:val="center"/>
            <w:tcMar>
              <w:top w:w="90" w:type="dxa"/>
              <w:start w:w="110" w:type="dxa"/>
              <w:bottom w:w="90" w:type="dxa"/>
              <w:end w:w="110" w:type="dxa"/>
            </w:tcMar>
            <w:shd w:fill="16324F"/>
          </w:tcPr>
          <w:p>
            <w:pPr>
              <w:spacing w:after="0" w:line="252" w:lineRule="auto"/>
              <w:jc w:val="left"/>
            </w:pPr>
            <w:r>
              <w:rPr>
                <w:b/>
                <w:color w:val="FFFFFF"/>
                <w:sz w:val="17"/>
              </w:rPr>
              <w:t>Fiscal treatment</w:t>
            </w:r>
          </w:p>
        </w:tc>
      </w:tr>
      <w:tr>
        <w:trPr>
          <w:cantSplit/>
        </w:trPr>
        <w:tc>
          <w:tcPr>
            <w:tcW w:type="dxa" w:w="1444"/>
            <w:vAlign w:val="center"/>
            <w:tcMar>
              <w:top w:w="90" w:type="dxa"/>
              <w:start w:w="110" w:type="dxa"/>
              <w:bottom w:w="90" w:type="dxa"/>
              <w:end w:w="110" w:type="dxa"/>
            </w:tcMar>
          </w:tcPr>
          <w:p>
            <w:pPr>
              <w:spacing w:after="0" w:line="252" w:lineRule="auto"/>
              <w:jc w:val="left"/>
            </w:pPr>
            <w:r>
              <w:rPr>
                <w:color w:val="1E2933"/>
                <w:sz w:val="17"/>
              </w:rPr>
              <w:t>Allegation</w:t>
            </w:r>
          </w:p>
        </w:tc>
        <w:tc>
          <w:tcPr>
            <w:tcW w:type="dxa" w:w="4125"/>
            <w:vAlign w:val="center"/>
            <w:tcMar>
              <w:top w:w="90" w:type="dxa"/>
              <w:start w:w="110" w:type="dxa"/>
              <w:bottom w:w="90" w:type="dxa"/>
              <w:end w:w="110" w:type="dxa"/>
            </w:tcMar>
          </w:tcPr>
          <w:p>
            <w:pPr>
              <w:spacing w:after="0" w:line="252" w:lineRule="auto"/>
              <w:jc w:val="left"/>
            </w:pPr>
            <w:r>
              <w:rPr>
                <w:color w:val="1E2933"/>
                <w:sz w:val="17"/>
              </w:rPr>
              <w:t>A concern or pattern requiring examination</w:t>
            </w:r>
          </w:p>
        </w:tc>
        <w:tc>
          <w:tcPr>
            <w:tcW w:type="dxa" w:w="3575"/>
            <w:vAlign w:val="center"/>
            <w:tcMar>
              <w:top w:w="90" w:type="dxa"/>
              <w:start w:w="110" w:type="dxa"/>
              <w:bottom w:w="90" w:type="dxa"/>
              <w:end w:w="110" w:type="dxa"/>
            </w:tcMar>
          </w:tcPr>
          <w:p>
            <w:pPr>
              <w:spacing w:after="0" w:line="252" w:lineRule="auto"/>
              <w:jc w:val="left"/>
            </w:pPr>
            <w:r>
              <w:rPr>
                <w:color w:val="1E2933"/>
                <w:sz w:val="17"/>
              </w:rPr>
              <w:t>£0 booked</w:t>
            </w:r>
          </w:p>
        </w:tc>
      </w:tr>
      <w:tr>
        <w:trPr>
          <w:cantSplit/>
        </w:trPr>
        <w:tc>
          <w:tcPr>
            <w:tcW w:type="dxa" w:w="1444"/>
            <w:vAlign w:val="center"/>
            <w:tcMar>
              <w:top w:w="90" w:type="dxa"/>
              <w:start w:w="110" w:type="dxa"/>
              <w:bottom w:w="90" w:type="dxa"/>
              <w:end w:w="110" w:type="dxa"/>
            </w:tcMar>
            <w:shd w:fill="F7F9FA"/>
          </w:tcPr>
          <w:p>
            <w:pPr>
              <w:spacing w:after="0" w:line="252" w:lineRule="auto"/>
              <w:jc w:val="left"/>
            </w:pPr>
            <w:r>
              <w:rPr>
                <w:color w:val="1E2933"/>
                <w:sz w:val="17"/>
              </w:rPr>
              <w:t>Indicator</w:t>
            </w:r>
          </w:p>
        </w:tc>
        <w:tc>
          <w:tcPr>
            <w:tcW w:type="dxa" w:w="4125"/>
            <w:vAlign w:val="center"/>
            <w:tcMar>
              <w:top w:w="90" w:type="dxa"/>
              <w:start w:w="110" w:type="dxa"/>
              <w:bottom w:w="90" w:type="dxa"/>
              <w:end w:w="110" w:type="dxa"/>
            </w:tcMar>
            <w:shd w:fill="F7F9FA"/>
          </w:tcPr>
          <w:p>
            <w:pPr>
              <w:spacing w:after="0" w:line="252" w:lineRule="auto"/>
              <w:jc w:val="left"/>
            </w:pPr>
            <w:r>
              <w:rPr>
                <w:color w:val="1E2933"/>
                <w:sz w:val="17"/>
              </w:rPr>
              <w:t>An anomaly or risk signal</w:t>
            </w:r>
          </w:p>
        </w:tc>
        <w:tc>
          <w:tcPr>
            <w:tcW w:type="dxa" w:w="3575"/>
            <w:vAlign w:val="center"/>
            <w:tcMar>
              <w:top w:w="90" w:type="dxa"/>
              <w:start w:w="110" w:type="dxa"/>
              <w:bottom w:w="90" w:type="dxa"/>
              <w:end w:w="110" w:type="dxa"/>
            </w:tcMar>
            <w:shd w:fill="F7F9FA"/>
          </w:tcPr>
          <w:p>
            <w:pPr>
              <w:spacing w:after="0" w:line="252" w:lineRule="auto"/>
              <w:jc w:val="left"/>
            </w:pPr>
            <w:r>
              <w:rPr>
                <w:color w:val="1E2933"/>
                <w:sz w:val="17"/>
              </w:rPr>
              <w:t>£0 booked; triggers review</w:t>
            </w:r>
          </w:p>
        </w:tc>
      </w:tr>
      <w:tr>
        <w:trPr>
          <w:cantSplit/>
        </w:trPr>
        <w:tc>
          <w:tcPr>
            <w:tcW w:type="dxa" w:w="1444"/>
            <w:vAlign w:val="center"/>
            <w:tcMar>
              <w:top w:w="90" w:type="dxa"/>
              <w:start w:w="110" w:type="dxa"/>
              <w:bottom w:w="90" w:type="dxa"/>
              <w:end w:w="110" w:type="dxa"/>
            </w:tcMar>
          </w:tcPr>
          <w:p>
            <w:pPr>
              <w:spacing w:after="0" w:line="252" w:lineRule="auto"/>
              <w:jc w:val="left"/>
            </w:pPr>
            <w:r>
              <w:rPr>
                <w:color w:val="1E2933"/>
                <w:sz w:val="17"/>
              </w:rPr>
              <w:t>Verified loss</w:t>
            </w:r>
          </w:p>
        </w:tc>
        <w:tc>
          <w:tcPr>
            <w:tcW w:type="dxa" w:w="4125"/>
            <w:vAlign w:val="center"/>
            <w:tcMar>
              <w:top w:w="90" w:type="dxa"/>
              <w:start w:w="110" w:type="dxa"/>
              <w:bottom w:w="90" w:type="dxa"/>
              <w:end w:w="110" w:type="dxa"/>
            </w:tcMar>
          </w:tcPr>
          <w:p>
            <w:pPr>
              <w:spacing w:after="0" w:line="252" w:lineRule="auto"/>
              <w:jc w:val="left"/>
            </w:pPr>
            <w:r>
              <w:rPr>
                <w:color w:val="1E2933"/>
                <w:sz w:val="17"/>
              </w:rPr>
              <w:t>Evidence meets the applicable civil, audit or criminal standard</w:t>
            </w:r>
          </w:p>
        </w:tc>
        <w:tc>
          <w:tcPr>
            <w:tcW w:type="dxa" w:w="3575"/>
            <w:vAlign w:val="center"/>
            <w:tcMar>
              <w:top w:w="90" w:type="dxa"/>
              <w:start w:w="110" w:type="dxa"/>
              <w:bottom w:w="90" w:type="dxa"/>
              <w:end w:w="110" w:type="dxa"/>
            </w:tcMar>
          </w:tcPr>
          <w:p>
            <w:pPr>
              <w:spacing w:after="0" w:line="252" w:lineRule="auto"/>
              <w:jc w:val="left"/>
            </w:pPr>
            <w:r>
              <w:rPr>
                <w:color w:val="1E2933"/>
                <w:sz w:val="17"/>
              </w:rPr>
              <w:t>Report gross and net exposure</w:t>
            </w:r>
          </w:p>
        </w:tc>
      </w:tr>
      <w:tr>
        <w:trPr>
          <w:cantSplit/>
        </w:trPr>
        <w:tc>
          <w:tcPr>
            <w:tcW w:type="dxa" w:w="1444"/>
            <w:vAlign w:val="center"/>
            <w:tcMar>
              <w:top w:w="90" w:type="dxa"/>
              <w:start w:w="110" w:type="dxa"/>
              <w:bottom w:w="90" w:type="dxa"/>
              <w:end w:w="110" w:type="dxa"/>
            </w:tcMar>
            <w:shd w:fill="F7F9FA"/>
          </w:tcPr>
          <w:p>
            <w:pPr>
              <w:spacing w:after="0" w:line="252" w:lineRule="auto"/>
              <w:jc w:val="left"/>
            </w:pPr>
            <w:r>
              <w:rPr>
                <w:color w:val="1E2933"/>
                <w:sz w:val="17"/>
              </w:rPr>
              <w:t>Adjudicated/recovered</w:t>
            </w:r>
          </w:p>
        </w:tc>
        <w:tc>
          <w:tcPr>
            <w:tcW w:type="dxa" w:w="4125"/>
            <w:vAlign w:val="center"/>
            <w:tcMar>
              <w:top w:w="90" w:type="dxa"/>
              <w:start w:w="110" w:type="dxa"/>
              <w:bottom w:w="90" w:type="dxa"/>
              <w:end w:w="110" w:type="dxa"/>
            </w:tcMar>
            <w:shd w:fill="F7F9FA"/>
          </w:tcPr>
          <w:p>
            <w:pPr>
              <w:spacing w:after="0" w:line="252" w:lineRule="auto"/>
              <w:jc w:val="left"/>
            </w:pPr>
            <w:r>
              <w:rPr>
                <w:color w:val="1E2933"/>
                <w:sz w:val="17"/>
              </w:rPr>
              <w:t>Liability established and cash or asset returned</w:t>
            </w:r>
          </w:p>
        </w:tc>
        <w:tc>
          <w:tcPr>
            <w:tcW w:type="dxa" w:w="3575"/>
            <w:vAlign w:val="center"/>
            <w:tcMar>
              <w:top w:w="90" w:type="dxa"/>
              <w:start w:w="110" w:type="dxa"/>
              <w:bottom w:w="90" w:type="dxa"/>
              <w:end w:w="110" w:type="dxa"/>
            </w:tcMar>
            <w:shd w:fill="F7F9FA"/>
          </w:tcPr>
          <w:p>
            <w:pPr>
              <w:spacing w:after="0" w:line="252" w:lineRule="auto"/>
              <w:jc w:val="left"/>
            </w:pPr>
            <w:r>
              <w:rPr>
                <w:color w:val="1E2933"/>
                <w:sz w:val="17"/>
              </w:rPr>
              <w:t>Book only the amount actually recovered, net of cost</w:t>
            </w:r>
          </w:p>
        </w:tc>
      </w:tr>
      <w:tr>
        <w:trPr>
          <w:cantSplit/>
        </w:trPr>
        <w:tc>
          <w:tcPr>
            <w:tcW w:type="dxa" w:w="1444"/>
            <w:vAlign w:val="center"/>
            <w:tcMar>
              <w:top w:w="90" w:type="dxa"/>
              <w:start w:w="110" w:type="dxa"/>
              <w:bottom w:w="90" w:type="dxa"/>
              <w:end w:w="110" w:type="dxa"/>
            </w:tcMar>
          </w:tcPr>
          <w:p>
            <w:pPr>
              <w:spacing w:after="0" w:line="252" w:lineRule="auto"/>
              <w:jc w:val="left"/>
            </w:pPr>
            <w:r>
              <w:rPr>
                <w:color w:val="1E2933"/>
                <w:sz w:val="17"/>
              </w:rPr>
              <w:t>Prevented future loss</w:t>
            </w:r>
          </w:p>
        </w:tc>
        <w:tc>
          <w:tcPr>
            <w:tcW w:type="dxa" w:w="4125"/>
            <w:vAlign w:val="center"/>
            <w:tcMar>
              <w:top w:w="90" w:type="dxa"/>
              <w:start w:w="110" w:type="dxa"/>
              <w:bottom w:w="90" w:type="dxa"/>
              <w:end w:w="110" w:type="dxa"/>
            </w:tcMar>
          </w:tcPr>
          <w:p>
            <w:pPr>
              <w:spacing w:after="0" w:line="252" w:lineRule="auto"/>
              <w:jc w:val="left"/>
            </w:pPr>
            <w:r>
              <w:rPr>
                <w:color w:val="1E2933"/>
                <w:sz w:val="17"/>
              </w:rPr>
              <w:t>Counterfactual prevention estimate</w:t>
            </w:r>
          </w:p>
        </w:tc>
        <w:tc>
          <w:tcPr>
            <w:tcW w:type="dxa" w:w="3575"/>
            <w:vAlign w:val="center"/>
            <w:tcMar>
              <w:top w:w="90" w:type="dxa"/>
              <w:start w:w="110" w:type="dxa"/>
              <w:bottom w:w="90" w:type="dxa"/>
              <w:end w:w="110" w:type="dxa"/>
            </w:tcMar>
          </w:tcPr>
          <w:p>
            <w:pPr>
              <w:spacing w:after="0" w:line="252" w:lineRule="auto"/>
              <w:jc w:val="left"/>
            </w:pPr>
            <w:r>
              <w:rPr>
                <w:color w:val="1E2933"/>
                <w:sz w:val="17"/>
              </w:rPr>
              <w:t>Publish separately; never present as cash received</w:t>
            </w:r>
          </w:p>
        </w:tc>
      </w:tr>
    </w:tbl>
    <w:p>
      <w:pPr>
        <w:spacing w:after="20"/>
      </w:pPr>
    </w:p>
    <w:p>
      <w:r>
        <w:t>No person or organisation is named as corrupt without evidence and due process. The workstream protects whistleblowers, personal data, live investigations and procedural fairness while publishing aggregate methods, coverage gaps and completed findings. It should use open standards, preserve public ownership of data and code, and budget for supplier exit so investigation infrastructure cannot become a new private monopoly.</w:t>
      </w:r>
    </w:p>
    <w:p>
      <w:pPr>
        <w:pStyle w:val="Heading2"/>
      </w:pPr>
      <w:r>
        <w:t>Version 2 missing-data register</w:t>
      </w:r>
    </w:p>
    <w:p>
      <w:pPr>
        <w:pStyle w:val="ManualNumber"/>
      </w:pPr>
      <w:r>
        <w:rPr>
          <w:b/>
          <w:color w:val="006D77"/>
        </w:rPr>
        <w:t xml:space="preserve">1.  </w:t>
      </w:r>
      <w:r>
        <w:t>statutory eligibility, residence, children’s accounts, overseas rights, births, deaths and migration;</w:t>
      </w:r>
    </w:p>
    <w:p>
      <w:pPr>
        <w:pStyle w:val="ManualNumber"/>
      </w:pPr>
      <w:r>
        <w:rPr>
          <w:b/>
          <w:color w:val="006D77"/>
        </w:rPr>
        <w:t xml:space="preserve">2.  </w:t>
      </w:r>
      <w:r>
        <w:t>individual tax microsimulation, National Insurance choice, tax-base response and full annual financing;</w:t>
      </w:r>
    </w:p>
    <w:p>
      <w:pPr>
        <w:pStyle w:val="ManualNumber"/>
      </w:pPr>
      <w:r>
        <w:rPr>
          <w:b/>
          <w:color w:val="006D77"/>
        </w:rPr>
        <w:t xml:space="preserve">3.  </w:t>
      </w:r>
      <w:r>
        <w:t>every personal payment, tax reduction, loan, compensation and service-linked budget across the four nations and local government;</w:t>
      </w:r>
    </w:p>
    <w:p>
      <w:pPr>
        <w:pStyle w:val="ManualNumber"/>
      </w:pPr>
      <w:r>
        <w:rPr>
          <w:b/>
          <w:color w:val="006D77"/>
        </w:rPr>
        <w:t xml:space="preserve">4.  </w:t>
      </w:r>
      <w:r>
        <w:t>estate, lease, workforce, supplier, licence, data-migration and contract-exit costs and dates;</w:t>
      </w:r>
    </w:p>
    <w:p>
      <w:pPr>
        <w:pStyle w:val="ManualNumber"/>
      </w:pPr>
      <w:r>
        <w:rPr>
          <w:b/>
          <w:color w:val="006D77"/>
        </w:rPr>
        <w:t xml:space="preserve">5.  </w:t>
      </w:r>
      <w:r>
        <w:t>service-continuity baselines for care, disability support, childcare, housing support and clinical interfaces;</w:t>
      </w:r>
    </w:p>
    <w:p>
      <w:pPr>
        <w:pStyle w:val="ManualNumber"/>
      </w:pPr>
      <w:r>
        <w:rPr>
          <w:b/>
          <w:color w:val="006D77"/>
        </w:rPr>
        <w:t xml:space="preserve">6.  </w:t>
      </w:r>
      <w:r>
        <w:t>worker matching, training, hours, wellbeing, enterprise and productivity counterfactuals;</w:t>
      </w:r>
    </w:p>
    <w:p>
      <w:pPr>
        <w:pStyle w:val="ManualNumber"/>
      </w:pPr>
      <w:r>
        <w:rPr>
          <w:b/>
          <w:color w:val="006D77"/>
        </w:rPr>
        <w:t xml:space="preserve">7.  </w:t>
      </w:r>
      <w:r>
        <w:t>CIC legal base, eligible balances, benchmark yield, distribution by wealth and age, asset switching and avoidance;</w:t>
      </w:r>
    </w:p>
    <w:p>
      <w:pPr>
        <w:pStyle w:val="ManualNumber"/>
      </w:pPr>
      <w:r>
        <w:rPr>
          <w:b/>
          <w:color w:val="006D77"/>
        </w:rPr>
        <w:t xml:space="preserve">8.  </w:t>
      </w:r>
      <w:r>
        <w:t>bank funding, building-society and credit-union effects, liquidity, credit spreads, failures and monetary transmission;</w:t>
      </w:r>
    </w:p>
    <w:p>
      <w:pPr>
        <w:pStyle w:val="ManualNumber"/>
      </w:pPr>
      <w:r>
        <w:rPr>
          <w:b/>
          <w:color w:val="006D77"/>
        </w:rPr>
        <w:t xml:space="preserve">9.  </w:t>
      </w:r>
      <w:r>
        <w:t>Fund asset classification, additionality, expected loss, subsidy, leverage, crowd-in, regional delivery and return;</w:t>
      </w:r>
    </w:p>
    <w:p>
      <w:pPr>
        <w:pStyle w:val="ManualNumber"/>
      </w:pPr>
      <w:r>
        <w:rPr>
          <w:b/>
          <w:color w:val="006D77"/>
        </w:rPr>
        <w:t xml:space="preserve">10.  </w:t>
      </w:r>
      <w:r>
        <w:t>inflation and real-capacity paths for housing, energy, food, transport, care, labour, materials and imports;</w:t>
      </w:r>
    </w:p>
    <w:p>
      <w:pPr>
        <w:pStyle w:val="ManualNumber"/>
      </w:pPr>
      <w:r>
        <w:rPr>
          <w:b/>
          <w:color w:val="006D77"/>
        </w:rPr>
        <w:t xml:space="preserve">11.  </w:t>
      </w:r>
      <w:r>
        <w:t>charity relief, reserves, public contracts, related parties and evidenced misuse or under-delivery;</w:t>
      </w:r>
    </w:p>
    <w:p>
      <w:pPr>
        <w:pStyle w:val="ManualNumber"/>
      </w:pPr>
      <w:r>
        <w:rPr>
          <w:b/>
          <w:color w:val="006D77"/>
        </w:rPr>
        <w:t xml:space="preserve">12.  </w:t>
      </w:r>
      <w:r>
        <w:t>housing and construction supply, land, planning, infrastructure, skills and cost-control results;</w:t>
      </w:r>
    </w:p>
    <w:p>
      <w:pPr>
        <w:pStyle w:val="ManualNumber"/>
      </w:pPr>
      <w:r>
        <w:rPr>
          <w:b/>
          <w:color w:val="006D77"/>
        </w:rPr>
        <w:t xml:space="preserve">13.  </w:t>
      </w:r>
      <w:r>
        <w:t>equality, human-rights, devolution, privacy, cyber, accessibility and public-consent evidence.</w:t>
      </w:r>
    </w:p>
    <w:p>
      <w:pPr>
        <w:pStyle w:val="Heading1"/>
      </w:pPr>
      <w:r>
        <w:t>10. Relationship to the wider financial-policy series</w:t>
      </w:r>
    </w:p>
    <w:p>
      <w:r>
        <w:t>This policy is one part of a larger national financial architecture. It defines income security, the treatment of personal government payments, public savings return, the growth fund, payment administration and the worker transition. It deliberately leaves detailed housing and construction strategy to linked papers, because the number and type of homes, land rules, planning, materials, workforce, infrastructure and regional pricing require their own models.</w:t>
      </w:r>
    </w:p>
    <w:p>
      <w:r>
        <w:t>Future companion papers should cover housing supply and construction; land and cost control; energy and resource capacity; health and professional care; education and capability matching; taxation and anti-avoidance; public procurement and beneficial ownership; and regional/devolved delivery. Their assumptions must connect through one version-controlled national balance sheet so that the same saving, tax receipt, worker hour, investment or GDP effect is never counted twice.</w:t>
      </w:r>
    </w:p>
    <w:p>
      <w:pPr>
        <w:pStyle w:val="Heading1"/>
      </w:pPr>
      <w:r>
        <w:t>11. Policy conclusion</w:t>
      </w:r>
    </w:p>
    <w:p>
      <w:r>
        <w:t>The proposal now has a coherent institutional form and a clear line of reasoning. It combines lifelong income security, removal of withdrawal penalties, preservation of professional services, a shared savings-return mechanism, productive public investment, fair public financial benchmarks, transparent administration and capability-led workforce transition.</w:t>
      </w:r>
    </w:p>
    <w:p>
      <w:r>
        <w:t>Its strongest current case is not that every number is solved. It is that the architecture can be investigated without hiding the unsolved parts. The £1.6655 trillion reference funding gap is decisive. The Common Interest Contribution is meaningful long-term capital but not payment finance. Administrative consolidation can release capacity and some cash, but not abolish public work. Worker choice may improve matching, health and productivity, but it remains an unscored hypothesis. Housing and construction capacity determine whether financial security becomes real living standards or higher prices.</w:t>
      </w:r>
    </w:p>
    <w:p>
      <w:r>
        <w:t xml:space="preserve">The recommended decision is therefore </w:t>
      </w:r>
      <w:r>
        <w:rPr>
          <w:b/>
        </w:rPr>
        <w:t>advance to Version 2 investigation and protected testing; do not authorise a nationwide unfunded launch</w:t>
      </w:r>
      <w:r>
        <w:t>. A serious social promise must be matched by equally serious financing, supply, rights, evidence and democratic control.</w:t>
      </w:r>
    </w:p>
    <w:p>
      <w:r>
        <w:rPr>
          <w:b/>
        </w:rPr>
        <w:t>ah-mee twoh-foh</w:t>
      </w:r>
    </w:p>
    <w:p>
      <w:pPr>
        <w:pStyle w:val="Heading1"/>
      </w:pPr>
      <w:r>
        <w:t>Technical Annex A — consolidated policy specification and model record</w:t>
      </w:r>
    </w:p>
    <w:p>
      <w:r>
        <w:t>The following annex preserves the complete technical architecture developed before this formal policy version. It supplies definitions, formulae, detailed fiscal and banking assumptions, public-mortgage design, Fund accounting, ten-year scenario mechanics, charity and administration boundaries, governance, the public ledger and the evaluation dashboard. Where the front policy and annex differ in emphasis, the more cautious decision gate governs until Version 2 supplies verified data.</w:t>
      </w:r>
    </w:p>
    <w:p>
      <w:pPr>
        <w:pStyle w:val="Heading1"/>
      </w:pPr>
      <w:r>
        <w:t>A1. Core Universal Payment specification</w:t>
      </w:r>
    </w:p>
    <w:tbl>
      <w:tblPr>
        <w:tblW w:type="dxa" w:w="9144"/>
        <w:jc w:val="center"/>
        <w:tblLayout w:type="fixed"/>
        <w:tblLook w:firstColumn="1" w:firstRow="1" w:lastColumn="0" w:lastRow="0" w:noHBand="0" w:noVBand="1" w:val="04A0"/>
        <w:tblInd w:type="dxa" w:w="110"/>
      </w:tblPr>
      <w:tblGrid>
        <w:gridCol w:w="3429"/>
        <w:gridCol w:w="5715"/>
      </w:tblGrid>
      <w:tr>
        <w:trPr>
          <w:cantSplit/>
          <w:tblHeader w:val="true"/>
        </w:trPr>
        <w:tc>
          <w:tcPr>
            <w:tcW w:type="dxa" w:w="3429"/>
            <w:vAlign w:val="center"/>
            <w:tcMar>
              <w:top w:w="90" w:type="dxa"/>
              <w:start w:w="110" w:type="dxa"/>
              <w:bottom w:w="90" w:type="dxa"/>
              <w:end w:w="110" w:type="dxa"/>
            </w:tcMar>
            <w:shd w:fill="16324F"/>
          </w:tcPr>
          <w:p>
            <w:pPr>
              <w:spacing w:after="0" w:line="252" w:lineRule="auto"/>
              <w:jc w:val="left"/>
            </w:pPr>
            <w:r>
              <w:rPr>
                <w:b/>
                <w:color w:val="FFFFFF"/>
                <w:sz w:val="17"/>
              </w:rPr>
              <w:t>Element</w:t>
            </w:r>
          </w:p>
        </w:tc>
        <w:tc>
          <w:tcPr>
            <w:tcW w:type="dxa" w:w="5715"/>
            <w:vAlign w:val="center"/>
            <w:tcMar>
              <w:top w:w="90" w:type="dxa"/>
              <w:start w:w="110" w:type="dxa"/>
              <w:bottom w:w="90" w:type="dxa"/>
              <w:end w:w="110" w:type="dxa"/>
            </w:tcMar>
            <w:shd w:fill="16324F"/>
          </w:tcPr>
          <w:p>
            <w:pPr>
              <w:spacing w:after="0" w:line="252" w:lineRule="auto"/>
              <w:jc w:val="left"/>
            </w:pPr>
            <w:r>
              <w:rPr>
                <w:b/>
                <w:color w:val="FFFFFF"/>
                <w:sz w:val="17"/>
              </w:rPr>
              <w:t>Working specification</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Payment</w:t>
            </w:r>
          </w:p>
        </w:tc>
        <w:tc>
          <w:tcPr>
            <w:tcW w:type="dxa" w:w="5715"/>
            <w:vAlign w:val="center"/>
            <w:tcMar>
              <w:top w:w="90" w:type="dxa"/>
              <w:start w:w="110" w:type="dxa"/>
              <w:bottom w:w="90" w:type="dxa"/>
              <w:end w:w="110" w:type="dxa"/>
            </w:tcMar>
          </w:tcPr>
          <w:p>
            <w:pPr>
              <w:spacing w:after="0" w:line="252" w:lineRule="auto"/>
              <w:jc w:val="left"/>
            </w:pPr>
            <w:r>
              <w:rPr>
                <w:color w:val="1E2933"/>
                <w:sz w:val="17"/>
              </w:rPr>
              <w:t>£3,000 gross per person per month; £36,000 per year</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Duration</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From birth until death</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Unit</w:t>
            </w:r>
          </w:p>
        </w:tc>
        <w:tc>
          <w:tcPr>
            <w:tcW w:type="dxa" w:w="5715"/>
            <w:vAlign w:val="center"/>
            <w:tcMar>
              <w:top w:w="90" w:type="dxa"/>
              <w:start w:w="110" w:type="dxa"/>
              <w:bottom w:w="90" w:type="dxa"/>
              <w:end w:w="110" w:type="dxa"/>
            </w:tcMar>
          </w:tcPr>
          <w:p>
            <w:pPr>
              <w:spacing w:after="0" w:line="252" w:lineRule="auto"/>
              <w:jc w:val="left"/>
            </w:pPr>
            <w:r>
              <w:rPr>
                <w:color w:val="1E2933"/>
                <w:sz w:val="17"/>
              </w:rPr>
              <w:t>Individual, not household</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Conditions</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Unconditional ordinary floor; no work test or means test</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Tax</w:t>
            </w:r>
          </w:p>
        </w:tc>
        <w:tc>
          <w:tcPr>
            <w:tcW w:type="dxa" w:w="5715"/>
            <w:vAlign w:val="center"/>
            <w:tcMar>
              <w:top w:w="90" w:type="dxa"/>
              <w:start w:w="110" w:type="dxa"/>
              <w:bottom w:w="90" w:type="dxa"/>
              <w:end w:w="110" w:type="dxa"/>
            </w:tcMar>
          </w:tcPr>
          <w:p>
            <w:pPr>
              <w:spacing w:after="0" w:line="252" w:lineRule="auto"/>
              <w:jc w:val="left"/>
            </w:pPr>
            <w:r>
              <w:rPr>
                <w:color w:val="1E2933"/>
                <w:sz w:val="17"/>
              </w:rPr>
              <w:t>Universal Payment counts as income; Personal Allowance remains; additional earnings taxed progressively</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Earnings</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No withdrawal of the Universal Payment as earnings rise; normal tax still applies</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State Pension</w:t>
            </w:r>
          </w:p>
        </w:tc>
        <w:tc>
          <w:tcPr>
            <w:tcW w:type="dxa" w:w="5715"/>
            <w:vAlign w:val="center"/>
            <w:tcMar>
              <w:top w:w="90" w:type="dxa"/>
              <w:start w:w="110" w:type="dxa"/>
              <w:bottom w:w="90" w:type="dxa"/>
              <w:end w:w="110" w:type="dxa"/>
            </w:tcMar>
          </w:tcPr>
          <w:p>
            <w:pPr>
              <w:spacing w:after="0" w:line="252" w:lineRule="auto"/>
              <w:jc w:val="left"/>
            </w:pPr>
            <w:r>
              <w:rPr>
                <w:color w:val="1E2933"/>
                <w:sz w:val="17"/>
              </w:rPr>
              <w:t>Incorporated into the lifelong Universal Payment</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Personal government payments</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All unrestricted cash transfers incorporated after a protected transition, including child, disability, housing, carer, unemployment, maternity and devolved equivalents</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Professional services</w:t>
            </w:r>
          </w:p>
        </w:tc>
        <w:tc>
          <w:tcPr>
            <w:tcW w:type="dxa" w:w="5715"/>
            <w:vAlign w:val="center"/>
            <w:tcMar>
              <w:top w:w="90" w:type="dxa"/>
              <w:start w:w="110" w:type="dxa"/>
              <w:bottom w:w="90" w:type="dxa"/>
              <w:end w:w="110" w:type="dxa"/>
            </w:tcMar>
          </w:tcPr>
          <w:p>
            <w:pPr>
              <w:spacing w:after="0" w:line="252" w:lineRule="auto"/>
              <w:jc w:val="left"/>
            </w:pPr>
            <w:r>
              <w:rPr>
                <w:color w:val="1E2933"/>
                <w:sz w:val="17"/>
              </w:rPr>
              <w:t>NHS, paid care, care homes, commissioned support, professional childcare and other assessed services remain funded</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Boundary rule</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Classify by purpose, not route: restricted service budgets remain even if paid through an individual; ordinary personal cash is absorbed even if paid to a landlord or other nominee</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Private pensions</w:t>
            </w:r>
          </w:p>
        </w:tc>
        <w:tc>
          <w:tcPr>
            <w:tcW w:type="dxa" w:w="5715"/>
            <w:vAlign w:val="center"/>
            <w:tcMar>
              <w:top w:w="90" w:type="dxa"/>
              <w:start w:w="110" w:type="dxa"/>
              <w:bottom w:w="90" w:type="dxa"/>
              <w:end w:w="110" w:type="dxa"/>
            </w:tcMar>
          </w:tcPr>
          <w:p>
            <w:pPr>
              <w:spacing w:after="0" w:line="252" w:lineRule="auto"/>
              <w:jc w:val="left"/>
            </w:pPr>
            <w:r>
              <w:rPr>
                <w:color w:val="1E2933"/>
                <w:sz w:val="17"/>
              </w:rPr>
              <w:t>Optional additional provision remains legal and separate</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Public-service occupational pensions</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Accrued employment rights remain outside this welfare calculation; any future redesign requires a separate legal and actuarial settlement</w:t>
            </w:r>
          </w:p>
        </w:tc>
      </w:tr>
      <w:tr>
        <w:trPr>
          <w:cantSplit/>
        </w:trPr>
        <w:tc>
          <w:tcPr>
            <w:tcW w:type="dxa" w:w="3429"/>
            <w:vAlign w:val="center"/>
            <w:tcMar>
              <w:top w:w="90" w:type="dxa"/>
              <w:start w:w="110" w:type="dxa"/>
              <w:bottom w:w="90" w:type="dxa"/>
              <w:end w:w="110" w:type="dxa"/>
            </w:tcMar>
          </w:tcPr>
          <w:p>
            <w:pPr>
              <w:spacing w:after="0" w:line="252" w:lineRule="auto"/>
              <w:jc w:val="left"/>
            </w:pPr>
            <w:r>
              <w:rPr>
                <w:color w:val="1E2933"/>
                <w:sz w:val="17"/>
              </w:rPr>
              <w:t>Indexation</w:t>
            </w:r>
          </w:p>
        </w:tc>
        <w:tc>
          <w:tcPr>
            <w:tcW w:type="dxa" w:w="5715"/>
            <w:vAlign w:val="center"/>
            <w:tcMar>
              <w:top w:w="90" w:type="dxa"/>
              <w:start w:w="110" w:type="dxa"/>
              <w:bottom w:w="90" w:type="dxa"/>
              <w:end w:w="110" w:type="dxa"/>
            </w:tcMar>
          </w:tcPr>
          <w:p>
            <w:pPr>
              <w:spacing w:after="0" w:line="252" w:lineRule="auto"/>
              <w:jc w:val="left"/>
            </w:pPr>
            <w:r>
              <w:rPr>
                <w:color w:val="1E2933"/>
                <w:sz w:val="17"/>
              </w:rPr>
              <w:t>Must be specified in law; modelling should test CPI, earnings and mixed indexation</w:t>
            </w:r>
          </w:p>
        </w:tc>
      </w:tr>
      <w:tr>
        <w:trPr>
          <w:cantSplit/>
        </w:trPr>
        <w:tc>
          <w:tcPr>
            <w:tcW w:type="dxa" w:w="3429"/>
            <w:vAlign w:val="center"/>
            <w:tcMar>
              <w:top w:w="90" w:type="dxa"/>
              <w:start w:w="110" w:type="dxa"/>
              <w:bottom w:w="90" w:type="dxa"/>
              <w:end w:w="110" w:type="dxa"/>
            </w:tcMar>
            <w:shd w:fill="F7F9FA"/>
          </w:tcPr>
          <w:p>
            <w:pPr>
              <w:spacing w:after="0" w:line="252" w:lineRule="auto"/>
              <w:jc w:val="left"/>
            </w:pPr>
            <w:r>
              <w:rPr>
                <w:color w:val="1E2933"/>
                <w:sz w:val="17"/>
              </w:rPr>
              <w:t>Administration</w:t>
            </w:r>
          </w:p>
        </w:tc>
        <w:tc>
          <w:tcPr>
            <w:tcW w:type="dxa" w:w="5715"/>
            <w:vAlign w:val="center"/>
            <w:tcMar>
              <w:top w:w="90" w:type="dxa"/>
              <w:start w:w="110" w:type="dxa"/>
              <w:bottom w:w="90" w:type="dxa"/>
              <w:end w:w="110" w:type="dxa"/>
            </w:tcMar>
            <w:shd w:fill="F7F9FA"/>
          </w:tcPr>
          <w:p>
            <w:pPr>
              <w:spacing w:after="0" w:line="252" w:lineRule="auto"/>
              <w:jc w:val="left"/>
            </w:pPr>
            <w:r>
              <w:rPr>
                <w:color w:val="1E2933"/>
                <w:sz w:val="17"/>
              </w:rPr>
              <w:t>Legacy systems are decommissioned only after continuity, appeal and data-migration tests pass</w:t>
            </w:r>
          </w:p>
        </w:tc>
      </w:tr>
    </w:tbl>
    <w:p>
      <w:pPr>
        <w:spacing w:after="20"/>
      </w:pPr>
    </w:p>
    <w:p>
      <w:r>
        <w:t xml:space="preserve">At 2026-27 tax parameters, a person outside Scotland receiving £36,000 with no other income would retain the £12,570 Personal Allowance and pay about </w:t>
      </w:r>
      <w:r>
        <w:rPr>
          <w:b/>
        </w:rPr>
        <w:t>£4,686</w:t>
      </w:r>
      <w:r>
        <w:t xml:space="preserve"> of Income Tax; the comparable Scottish calculation is about </w:t>
      </w:r>
      <w:r>
        <w:rPr>
          <w:b/>
        </w:rPr>
        <w:t>£4,711</w:t>
      </w:r>
      <w:r>
        <w:t>. A recipient with other taxable income can pay more because the payment also occupies tax bands. This removes benefit withdrawal and sanctions from personal cash support; it does not remove normal progressive taxation.</w:t>
      </w:r>
    </w:p>
    <w:p>
      <w:pPr>
        <w:pStyle w:val="Heading1"/>
      </w:pPr>
      <w:r>
        <w:t>A2. Common Interest Contribution</w:t>
      </w:r>
    </w:p>
    <w:p>
      <w:pPr>
        <w:pStyle w:val="Heading2"/>
      </w:pPr>
      <w:r>
        <w:t>A2.1 Policy statement</w:t>
      </w:r>
    </w:p>
    <w:p>
      <w:r>
        <w:t xml:space="preserve">The </w:t>
      </w:r>
      <w:r>
        <w:rPr>
          <w:b/>
        </w:rPr>
        <w:t>Common Interest Contribution (CIC)</w:t>
      </w:r>
      <w:r>
        <w:t xml:space="preserve"> is a prospective assignment of an independently calculated return on eligible personal savings. At least 75% goes to the UK Shared Growth Fund and no more than 25% may be retained by the account provider under a regulated allowance. It is not a transfer of the savings principal.</w:t>
      </w:r>
    </w:p>
    <w:p>
      <w:r>
        <w:t>The saver retains:</w:t>
      </w:r>
    </w:p>
    <w:p>
      <w:pPr>
        <w:pStyle w:val="ListBullet"/>
      </w:pPr>
      <w:r>
        <w:t>legal title to every pound deposited;</w:t>
      </w:r>
    </w:p>
    <w:p>
      <w:pPr>
        <w:pStyle w:val="ListBullet"/>
      </w:pPr>
      <w:r>
        <w:t>withdrawal and transfer rights, subject only to the chosen account's ordinary notice terms;</w:t>
      </w:r>
    </w:p>
    <w:p>
      <w:pPr>
        <w:pStyle w:val="ListBullet"/>
      </w:pPr>
      <w:r>
        <w:t>a complete statement showing the average balance, gross calculated return, public contribution and remaining principal;</w:t>
      </w:r>
    </w:p>
    <w:p>
      <w:pPr>
        <w:pStyle w:val="ListBullet"/>
      </w:pPr>
      <w:r>
        <w:t>deposit protection under an explicit statutory regime;</w:t>
      </w:r>
    </w:p>
    <w:p>
      <w:pPr>
        <w:pStyle w:val="ListBullet"/>
      </w:pPr>
      <w:r>
        <w:t>access to written decisions, corrections, complaints and independent redress.</w:t>
      </w:r>
    </w:p>
    <w:p>
      <w:r>
        <w:t>The public receives:</w:t>
      </w:r>
    </w:p>
    <w:p>
      <w:pPr>
        <w:pStyle w:val="ListBullet"/>
      </w:pPr>
      <w:r>
        <w:t>at least 75% of the defined eligible gross savings return;</w:t>
      </w:r>
    </w:p>
    <w:p>
      <w:pPr>
        <w:pStyle w:val="ListBullet"/>
      </w:pPr>
      <w:r>
        <w:t>a transparent record of gross receipts and costs;</w:t>
      </w:r>
    </w:p>
    <w:p>
      <w:pPr>
        <w:pStyle w:val="ListBullet"/>
      </w:pPr>
      <w:r>
        <w:t>an equal beneficial interest in the fund's public purpose;</w:t>
      </w:r>
    </w:p>
    <w:p>
      <w:pPr>
        <w:pStyle w:val="ListBullet"/>
      </w:pPr>
      <w:r>
        <w:t>productive assets and future returns rather than an opaque bank windfall.</w:t>
      </w:r>
    </w:p>
    <w:p>
      <w:r>
        <w:t>The bank receives only a standardised allowance for efficient account service, liquidity, deposit protection and prudential costs, plus any expressly authorised capped return. The 25% is a ceiling, not an entitlement. If the calculated allowance is 17%, the remaining 8% also goes to the Fund.</w:t>
      </w:r>
    </w:p>
    <w:p>
      <w:r>
        <w:t xml:space="preserve">Under the literal proposal the saver receives none of the eligible nominal return: at least 75% goes to the public fund and up to 25% goes to the provider. Economically, that compulsory redirection acts like a </w:t>
      </w:r>
      <w:r>
        <w:rPr>
          <w:b/>
        </w:rPr>
        <w:t>100% levy on the saver's return</w:t>
      </w:r>
      <w:r>
        <w:t>, even though the receipt is divided. It should be described honestly in legislation and public consultation.</w:t>
      </w:r>
    </w:p>
    <w:p>
      <w:pPr>
        <w:pStyle w:val="Heading2"/>
      </w:pPr>
      <w:r>
        <w:t>A2.2 Why the bank cannot simply set the saver rate to zero</w:t>
      </w:r>
    </w:p>
    <w:p>
      <w:r>
        <w:t>If savers receive no interest and banks have no matching remittance obligation, government receives nothing. The reduction in bank funding cost becomes additional bank margin. The 75% rule must therefore apply to a statutory measure of the return generated by an eligible balance, not merely to whatever retail rate a bank chooses to advertise.</w:t>
      </w:r>
    </w:p>
    <w:p>
      <w:r>
        <w:t>For bank (i), product class (a), and period (t), the statutory calculation should be:</w:t>
      </w:r>
    </w:p>
    <w:p>
      <w:r>
        <w:t xml:space="preserve">“Eligible Gross Savings Return” is a defined </w:t>
      </w:r>
      <w:r>
        <w:rPr>
          <w:b/>
        </w:rPr>
        <w:t>gross benchmark return</w:t>
      </w:r>
      <w:r>
        <w:t>, not deposit principal, contractual customer interest or bank profit.</w:t>
      </w:r>
    </w:p>
    <w:p>
      <w:r>
        <w:rPr>
          <w:b/>
        </w:rPr>
        <w:t>EGSR = sum across product classes of average daily eligible balance x published annual regulatory reference yield x days in period / 365.</w:t>
      </w:r>
    </w:p>
    <w:p>
      <w:r>
        <w:rPr>
          <w:b/>
        </w:rPr>
        <w:t>Allowed bank retention = the lower of (25% x EGSR) and the audited standard-cost allowance plus capped provider return.</w:t>
      </w:r>
    </w:p>
    <w:p>
      <w:r>
        <w:rPr>
          <w:b/>
        </w:rPr>
        <w:t>Fund remittance = EGSR - allowed bank retention, and must be at least 75% x EGSR.</w:t>
      </w:r>
    </w:p>
    <w:p>
      <w:r>
        <w:rPr>
          <w:b/>
        </w:rPr>
        <w:t>Net public inflow = Fund remittance - displaced savings tax - public administration - protection and guarantee costs - transition costs.</w:t>
      </w:r>
    </w:p>
    <w:p>
      <w:r>
        <w:t xml:space="preserve">This base is deliberately </w:t>
      </w:r>
      <w:r>
        <w:rPr>
          <w:b/>
        </w:rPr>
        <w:t>not</w:t>
      </w:r>
      <w:r>
        <w:t xml:space="preserve"> the bank's gross interest received on mortgages, cards or business loans. Those receipts also have to meet wholesale funding, expected credit losses, capital, liquidity, hedging, operations and tax. Taking 75% of gross lending income would bear no stable relationship to the return on household savings and could make otherwise solvent deposit-taking unviable.</w:t>
      </w:r>
    </w:p>
    <w:p>
      <w:r>
        <w:t>The reference schedule should distinguish instant-access, notice, fixed-term and cash-ISA balances. A workable starting architecture is a maturity-matched SONIA or overnight-index-swap curve with published standard liquidity and hedging adjustments. It should be reviewed on a fixed timetable and should not be set by an individual minister or participating bank. Observed deposit rates may be a cross-check, but a bank cannot reduce its obligation by setting its own customer rate to zero.</w:t>
      </w:r>
    </w:p>
    <w:p>
      <w:r>
        <w:t xml:space="preserve">This adapts an existing regulatory concept. The FCA uses </w:t>
      </w:r>
      <w:r>
        <w:rPr>
          <w:b/>
        </w:rPr>
        <w:t>funds-transfer-pricing income</w:t>
      </w:r>
      <w:r>
        <w:t xml:space="preserve"> to estimate the economic funding benefit a savings balance provides and compares interest expense with that benefit. For CIC purposes, the bank's internal and potentially manipulable transfer price would be replaced by a public regulatory schedule. The PRA's transfer-pricing supervision already expects the benefits, costs and risks of funding—including stressed conditions—to be allocated. Sources: </w:t>
      </w:r>
      <w:r>
        <w:t xml:space="preserve"> </w:t>
      </w:r>
      <w:hyperlink r:id="rId46">
        <w:r>
          <w:rPr>
            <w:color w:val="006D77"/>
            <w:u w:val="single"/>
          </w:rPr>
          <w:t>[30]</w:t>
        </w:r>
      </w:hyperlink>
      <w:r>
        <w:t xml:space="preserve">, </w:t>
      </w:r>
      <w:r>
        <w:t xml:space="preserve"> </w:t>
      </w:r>
      <w:hyperlink r:id="rId47">
        <w:r>
          <w:rPr>
            <w:color w:val="006D77"/>
            <w:u w:val="single"/>
          </w:rPr>
          <w:t>[31]</w:t>
        </w:r>
      </w:hyperlink>
      <w:r>
        <w:t>.</w:t>
      </w:r>
    </w:p>
    <w:p>
      <w:r>
        <w:t>The Shared Growth Commission should calculate and recommend the schedule; the Treasury should consult the Bank of England, PRA, FCA and CMA; and Parliament should approve the rule. HMRC then applies the same formula to every participating institution. No special deal should be negotiated privately with an individual bank.</w:t>
      </w:r>
    </w:p>
    <w:p>
      <w:r>
        <w:t>The allowance must be calculated before executive rewards, discretionary marketing, tax penalties or inflated intra-group charges. Standardised deposit servicing, payment-system, fraud-security, FSCS and necessary liquidity costs may qualify. Credit losses from risky lending should be priced into borrower credit spreads, not deducted from the people's savings return. The allowance must also be protected against gaming:</w:t>
      </w:r>
    </w:p>
    <w:p>
      <w:pPr>
        <w:pStyle w:val="ListBullet"/>
      </w:pPr>
      <w:r>
        <w:t>use standard efficient costs rather than reimbursing whatever a bank reports spending;</w:t>
      </w:r>
    </w:p>
    <w:p>
      <w:pPr>
        <w:pStyle w:val="ListBullet"/>
      </w:pPr>
      <w:r>
        <w:t>consolidate connected firms and catch substitute account fees, rebates and related-party charges;</w:t>
      </w:r>
    </w:p>
    <w:p>
      <w:pPr>
        <w:pStyle w:val="ListBullet"/>
      </w:pPr>
      <w:r>
        <w:t>prohibit a new CIC or basic-account fee passed to the saver;</w:t>
      </w:r>
    </w:p>
    <w:p>
      <w:pPr>
        <w:pStyle w:val="ListBullet"/>
      </w:pPr>
      <w:r>
        <w:t>reconcile average daily balances rather than a single reporting-day snapshot;</w:t>
      </w:r>
    </w:p>
    <w:p>
      <w:pPr>
        <w:pStyle w:val="ListBullet"/>
      </w:pPr>
      <w:r>
        <w:t>require product-level regulatory returns, audit trails and executive certification;</w:t>
      </w:r>
    </w:p>
    <w:p>
      <w:pPr>
        <w:pStyle w:val="ListBullet"/>
      </w:pPr>
      <w:r>
        <w:t>return every unused part of the 25% ceiling to the Fund;</w:t>
      </w:r>
    </w:p>
    <w:p>
      <w:pPr>
        <w:pStyle w:val="ListBullet"/>
      </w:pPr>
      <w:r>
        <w:t>allow civil penalties, restitution and criminal referral for deliberate false reporting.</w:t>
      </w:r>
    </w:p>
    <w:p>
      <w:pPr>
        <w:pStyle w:val="Heading2"/>
      </w:pPr>
      <w:r>
        <w:t>A2.3 Proposed scope</w:t>
      </w:r>
    </w:p>
    <w:p>
      <w:r>
        <w:t>The first model should include personal UK bank and building-society deposits held for UK-resident beneficial owners, including interest-bearing sight accounts, notice accounts, fixed-term deposits and cash ISAs.</w:t>
      </w:r>
    </w:p>
    <w:p>
      <w:r>
        <w:t>The following should be separately identified rather than silently included:</w:t>
      </w:r>
    </w:p>
    <w:p>
      <w:pPr>
        <w:pStyle w:val="ListBullet"/>
      </w:pPr>
      <w:r>
        <w:t>registered pension assets and annuity reserves;</w:t>
      </w:r>
    </w:p>
    <w:p>
      <w:pPr>
        <w:pStyle w:val="ListBullet"/>
      </w:pPr>
      <w:r>
        <w:t>compensation awards and protected personal-injury trusts;</w:t>
      </w:r>
    </w:p>
    <w:p>
      <w:pPr>
        <w:pStyle w:val="ListBullet"/>
      </w:pPr>
      <w:r>
        <w:t>children's trust money and client money;</w:t>
      </w:r>
    </w:p>
    <w:p>
      <w:pPr>
        <w:pStyle w:val="ListBullet"/>
      </w:pPr>
      <w:r>
        <w:t>operational cash belonging to businesses, charities and public bodies;</w:t>
      </w:r>
    </w:p>
    <w:p>
      <w:pPr>
        <w:pStyle w:val="ListBullet"/>
      </w:pPr>
      <w:r>
        <w:t>non-resident accounts;</w:t>
      </w:r>
    </w:p>
    <w:p>
      <w:pPr>
        <w:pStyle w:val="ListBullet"/>
      </w:pPr>
      <w:r>
        <w:t>gilts, money-market funds, bonds, foreign deposits and digital assets.</w:t>
      </w:r>
    </w:p>
    <w:p>
      <w:r>
        <w:t>Registered private pensions should remain outside the deposit-interest mechanism unless Parliament explicitly changes the promise that private pensions are an optional additional provision. Capturing returns inside them would contradict that design.</w:t>
      </w:r>
    </w:p>
    <w:p>
      <w:r>
        <w:t xml:space="preserve">A deposit-only charge is easy for wealthier or professionally advised households to avoid by moving funds into property, shares, gilts, funds, companies, overseas accounts, precious metals or cryptoassets. The distributional model must therefore compare the CIC with a broader alternative: a progressive contribution on </w:t>
      </w:r>
      <w:r>
        <w:rPr>
          <w:b/>
        </w:rPr>
        <w:t>net real capital income</w:t>
      </w:r>
      <w:r>
        <w:t xml:space="preserve"> across equivalent asset classes. That broader option is economically more neutral, but it is a different and more complex tax policy.</w:t>
      </w:r>
    </w:p>
    <w:p>
      <w:pPr>
        <w:pStyle w:val="Heading1"/>
      </w:pPr>
      <w:r>
        <w:t>A3. Current financial scale</w:t>
      </w:r>
    </w:p>
    <w:p>
      <w:pPr>
        <w:pStyle w:val="Heading2"/>
      </w:pPr>
      <w:r>
        <w:t>A3.1 Universal Payment fiscal bridge</w:t>
      </w:r>
    </w:p>
    <w:p>
      <w:r>
        <w:t xml:space="preserve">The latest full UK population estimate available for this calculation is </w:t>
      </w:r>
      <w:r>
        <w:rPr>
          <w:b/>
        </w:rPr>
        <w:t>69,281,400 at mid-2024</w:t>
      </w:r>
      <w:r>
        <w:t xml:space="preserve">. Multiplying that population by £36,000 gives a gross annual payment of </w:t>
      </w:r>
      <w:r>
        <w:rPr>
          <w:b/>
        </w:rPr>
        <w:t>£2,494.13 billion</w:t>
      </w:r>
      <w:r>
        <w:t xml:space="preserve">. Every additional one million eligible recipients changes the gross annual cost by </w:t>
      </w:r>
      <w:r>
        <w:rPr>
          <w:b/>
        </w:rPr>
        <w:t>£36 billion</w:t>
      </w:r>
      <w:r>
        <w:t xml:space="preserve">, so residence, overseas-accrued pension rights, births, deaths and migration must be specified before the costing can become official. Source: </w:t>
      </w:r>
      <w:r>
        <w:t xml:space="preserve"> </w:t>
      </w:r>
      <w:hyperlink r:id="rId48">
        <w:r>
          <w:rPr>
            <w:color w:val="006D77"/>
            <w:u w:val="single"/>
          </w:rPr>
          <w:t>[32]</w:t>
        </w:r>
      </w:hyperlink>
      <w:r>
        <w:t>.</w:t>
      </w:r>
    </w:p>
    <w:p>
      <w:r>
        <w:t xml:space="preserve">The updated </w:t>
      </w:r>
      <w:r>
        <w:rPr>
          <w:b/>
        </w:rPr>
        <w:t>mature recurring</w:t>
      </w:r>
      <w:r>
        <w:t xml:space="preserve"> static bridge is:</w:t>
      </w:r>
    </w:p>
    <w:tbl>
      <w:tblPr>
        <w:tblW w:type="dxa" w:w="9144"/>
        <w:jc w:val="center"/>
        <w:tblLayout w:type="fixed"/>
        <w:tblLook w:firstColumn="1" w:firstRow="1" w:lastColumn="0" w:lastRow="0" w:noHBand="0" w:noVBand="1" w:val="04A0"/>
        <w:tblInd w:type="dxa" w:w="110"/>
      </w:tblPr>
      <w:tblGrid>
        <w:gridCol w:w="2613"/>
        <w:gridCol w:w="1306"/>
        <w:gridCol w:w="1493"/>
        <w:gridCol w:w="3732"/>
      </w:tblGrid>
      <w:tr>
        <w:trPr>
          <w:cantSplit/>
          <w:tblHeader w:val="true"/>
        </w:trPr>
        <w:tc>
          <w:tcPr>
            <w:tcW w:type="dxa" w:w="2613"/>
            <w:vAlign w:val="center"/>
            <w:tcMar>
              <w:top w:w="90" w:type="dxa"/>
              <w:start w:w="110" w:type="dxa"/>
              <w:bottom w:w="90" w:type="dxa"/>
              <w:end w:w="110" w:type="dxa"/>
            </w:tcMar>
            <w:shd w:fill="16324F"/>
          </w:tcPr>
          <w:p>
            <w:pPr>
              <w:spacing w:after="0" w:line="252" w:lineRule="auto"/>
              <w:jc w:val="left"/>
            </w:pPr>
            <w:r>
              <w:rPr>
                <w:b/>
                <w:color w:val="FFFFFF"/>
                <w:sz w:val="17"/>
              </w:rPr>
              <w:t>Annual fiscal item</w:t>
            </w:r>
          </w:p>
        </w:tc>
        <w:tc>
          <w:tcPr>
            <w:tcW w:type="dxa" w:w="1306"/>
            <w:vAlign w:val="center"/>
            <w:tcMar>
              <w:top w:w="90" w:type="dxa"/>
              <w:start w:w="110" w:type="dxa"/>
              <w:bottom w:w="90" w:type="dxa"/>
              <w:end w:w="110" w:type="dxa"/>
            </w:tcMar>
            <w:shd w:fill="16324F"/>
          </w:tcPr>
          <w:p>
            <w:pPr>
              <w:spacing w:after="0" w:line="252" w:lineRule="auto"/>
              <w:jc w:val="left"/>
            </w:pPr>
            <w:r>
              <w:rPr>
                <w:b/>
                <w:color w:val="FFFFFF"/>
                <w:sz w:val="17"/>
              </w:rPr>
              <w:t>Reference calibration</w:t>
            </w:r>
          </w:p>
        </w:tc>
        <w:tc>
          <w:tcPr>
            <w:tcW w:type="dxa" w:w="1493"/>
            <w:vAlign w:val="center"/>
            <w:tcMar>
              <w:top w:w="90" w:type="dxa"/>
              <w:start w:w="110" w:type="dxa"/>
              <w:bottom w:w="90" w:type="dxa"/>
              <w:end w:w="110" w:type="dxa"/>
            </w:tcMar>
            <w:shd w:fill="16324F"/>
          </w:tcPr>
          <w:p>
            <w:pPr>
              <w:spacing w:after="0" w:line="252" w:lineRule="auto"/>
              <w:jc w:val="left"/>
            </w:pPr>
            <w:r>
              <w:rPr>
                <w:b/>
                <w:color w:val="FFFFFF"/>
                <w:sz w:val="17"/>
              </w:rPr>
              <w:t>Working range</w:t>
            </w:r>
          </w:p>
        </w:tc>
        <w:tc>
          <w:tcPr>
            <w:tcW w:type="dxa" w:w="3732"/>
            <w:vAlign w:val="center"/>
            <w:tcMar>
              <w:top w:w="90" w:type="dxa"/>
              <w:start w:w="110" w:type="dxa"/>
              <w:bottom w:w="90" w:type="dxa"/>
              <w:end w:w="110" w:type="dxa"/>
            </w:tcMar>
            <w:shd w:fill="16324F"/>
          </w:tcPr>
          <w:p>
            <w:pPr>
              <w:spacing w:after="0" w:line="252" w:lineRule="auto"/>
              <w:jc w:val="left"/>
            </w:pPr>
            <w:r>
              <w:rPr>
                <w:b/>
                <w:color w:val="FFFFFF"/>
                <w:sz w:val="17"/>
              </w:rPr>
              <w:t>Treatment</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Gross Universal Payment</w:t>
            </w:r>
          </w:p>
        </w:tc>
        <w:tc>
          <w:tcPr>
            <w:tcW w:type="dxa" w:w="1306"/>
            <w:vAlign w:val="center"/>
            <w:tcMar>
              <w:top w:w="90" w:type="dxa"/>
              <w:start w:w="110" w:type="dxa"/>
              <w:bottom w:w="90" w:type="dxa"/>
              <w:end w:w="110" w:type="dxa"/>
            </w:tcMar>
          </w:tcPr>
          <w:p>
            <w:pPr>
              <w:spacing w:after="0" w:line="252" w:lineRule="auto"/>
              <w:jc w:val="left"/>
            </w:pPr>
            <w:r>
              <w:rPr>
                <w:color w:val="1E2933"/>
                <w:sz w:val="17"/>
              </w:rPr>
              <w:t>£2,494.13bn</w:t>
            </w:r>
          </w:p>
        </w:tc>
        <w:tc>
          <w:tcPr>
            <w:tcW w:type="dxa" w:w="1493"/>
            <w:vAlign w:val="center"/>
            <w:tcMar>
              <w:top w:w="90" w:type="dxa"/>
              <w:start w:w="110" w:type="dxa"/>
              <w:bottom w:w="90" w:type="dxa"/>
              <w:end w:w="110" w:type="dxa"/>
            </w:tcMar>
          </w:tcPr>
          <w:p>
            <w:pPr>
              <w:spacing w:after="0" w:line="252" w:lineRule="auto"/>
              <w:jc w:val="left"/>
            </w:pPr>
            <w:r>
              <w:rPr>
                <w:color w:val="1E2933"/>
                <w:sz w:val="17"/>
              </w:rPr>
              <w:t>Population-dependent</w:t>
            </w:r>
          </w:p>
        </w:tc>
        <w:tc>
          <w:tcPr>
            <w:tcW w:type="dxa" w:w="3732"/>
            <w:vAlign w:val="center"/>
            <w:tcMar>
              <w:top w:w="90" w:type="dxa"/>
              <w:start w:w="110" w:type="dxa"/>
              <w:bottom w:w="90" w:type="dxa"/>
              <w:end w:w="110" w:type="dxa"/>
            </w:tcMar>
          </w:tcPr>
          <w:p>
            <w:pPr>
              <w:spacing w:after="0" w:line="252" w:lineRule="auto"/>
              <w:jc w:val="left"/>
            </w:pPr>
            <w:r>
              <w:rPr>
                <w:color w:val="1E2933"/>
                <w:sz w:val="17"/>
              </w:rPr>
              <w:t>£36,000 × 69.281m people</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Net additional Income Tax</w:t>
            </w:r>
          </w:p>
        </w:tc>
        <w:tc>
          <w:tcPr>
            <w:tcW w:type="dxa" w:w="1306"/>
            <w:vAlign w:val="center"/>
            <w:tcMar>
              <w:top w:w="90" w:type="dxa"/>
              <w:start w:w="110" w:type="dxa"/>
              <w:bottom w:w="90" w:type="dxa"/>
              <w:end w:w="110" w:type="dxa"/>
            </w:tcMar>
            <w:shd w:fill="F7F9FA"/>
          </w:tcPr>
          <w:p>
            <w:pPr>
              <w:spacing w:after="0" w:line="252" w:lineRule="auto"/>
              <w:jc w:val="left"/>
            </w:pPr>
            <w:r>
              <w:rPr>
                <w:color w:val="1E2933"/>
                <w:sz w:val="17"/>
              </w:rPr>
              <w:t>−£470bn</w:t>
            </w:r>
          </w:p>
        </w:tc>
        <w:tc>
          <w:tcPr>
            <w:tcW w:type="dxa" w:w="1493"/>
            <w:vAlign w:val="center"/>
            <w:tcMar>
              <w:top w:w="90" w:type="dxa"/>
              <w:start w:w="110" w:type="dxa"/>
              <w:bottom w:w="90" w:type="dxa"/>
              <w:end w:w="110" w:type="dxa"/>
            </w:tcMar>
            <w:shd w:fill="F7F9FA"/>
          </w:tcPr>
          <w:p>
            <w:pPr>
              <w:spacing w:after="0" w:line="252" w:lineRule="auto"/>
              <w:jc w:val="left"/>
            </w:pPr>
            <w:r>
              <w:rPr>
                <w:color w:val="1E2933"/>
                <w:sz w:val="17"/>
              </w:rPr>
              <w:t>−£300bn to −£525bn</w:t>
            </w:r>
          </w:p>
        </w:tc>
        <w:tc>
          <w:tcPr>
            <w:tcW w:type="dxa" w:w="3732"/>
            <w:vAlign w:val="center"/>
            <w:tcMar>
              <w:top w:w="90" w:type="dxa"/>
              <w:start w:w="110" w:type="dxa"/>
              <w:bottom w:w="90" w:type="dxa"/>
              <w:end w:w="110" w:type="dxa"/>
            </w:tcMar>
            <w:shd w:fill="F7F9FA"/>
          </w:tcPr>
          <w:p>
            <w:pPr>
              <w:spacing w:after="0" w:line="252" w:lineRule="auto"/>
              <w:jc w:val="left"/>
            </w:pPr>
            <w:r>
              <w:rPr>
                <w:color w:val="1E2933"/>
                <w:sz w:val="17"/>
              </w:rPr>
              <w:t>Reference scenario between the stand-alone attribution and static income-stacking model; already nets off tax attributable to replaced benefits</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Personal social-security payments replaced</w:t>
            </w:r>
          </w:p>
        </w:tc>
        <w:tc>
          <w:tcPr>
            <w:tcW w:type="dxa" w:w="1306"/>
            <w:vAlign w:val="center"/>
            <w:tcMar>
              <w:top w:w="90" w:type="dxa"/>
              <w:start w:w="110" w:type="dxa"/>
              <w:bottom w:w="90" w:type="dxa"/>
              <w:end w:w="110" w:type="dxa"/>
            </w:tcMar>
          </w:tcPr>
          <w:p>
            <w:pPr>
              <w:spacing w:after="0" w:line="252" w:lineRule="auto"/>
              <w:jc w:val="left"/>
            </w:pPr>
            <w:r>
              <w:rPr>
                <w:color w:val="1E2933"/>
                <w:sz w:val="17"/>
              </w:rPr>
              <w:t>−£354.1bn</w:t>
            </w:r>
          </w:p>
        </w:tc>
        <w:tc>
          <w:tcPr>
            <w:tcW w:type="dxa" w:w="1493"/>
            <w:vAlign w:val="center"/>
            <w:tcMar>
              <w:top w:w="90" w:type="dxa"/>
              <w:start w:w="110" w:type="dxa"/>
              <w:bottom w:w="90" w:type="dxa"/>
              <w:end w:w="110" w:type="dxa"/>
            </w:tcMar>
          </w:tcPr>
          <w:p>
            <w:pPr>
              <w:spacing w:after="0" w:line="252" w:lineRule="auto"/>
              <w:jc w:val="left"/>
            </w:pPr>
            <w:r>
              <w:rPr>
                <w:color w:val="1E2933"/>
                <w:sz w:val="17"/>
              </w:rPr>
              <w:t>−£350bn to −£360bn</w:t>
            </w:r>
          </w:p>
        </w:tc>
        <w:tc>
          <w:tcPr>
            <w:tcW w:type="dxa" w:w="3732"/>
            <w:vAlign w:val="center"/>
            <w:tcMar>
              <w:top w:w="90" w:type="dxa"/>
              <w:start w:w="110" w:type="dxa"/>
              <w:bottom w:w="90" w:type="dxa"/>
              <w:end w:w="110" w:type="dxa"/>
            </w:tcMar>
          </w:tcPr>
          <w:p>
            <w:pPr>
              <w:spacing w:after="0" w:line="252" w:lineRule="auto"/>
              <w:jc w:val="left"/>
            </w:pPr>
            <w:r>
              <w:rPr>
                <w:color w:val="1E2933"/>
                <w:sz w:val="17"/>
              </w:rPr>
              <w:t>Resident-consistent central case; provider-linked professional support and overseas-pension obligations retained</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Mature cashable administration saving</w:t>
            </w:r>
          </w:p>
        </w:tc>
        <w:tc>
          <w:tcPr>
            <w:tcW w:type="dxa" w:w="1306"/>
            <w:vAlign w:val="center"/>
            <w:tcMar>
              <w:top w:w="90" w:type="dxa"/>
              <w:start w:w="110" w:type="dxa"/>
              <w:bottom w:w="90" w:type="dxa"/>
              <w:end w:w="110" w:type="dxa"/>
            </w:tcMar>
            <w:shd w:fill="F7F9FA"/>
          </w:tcPr>
          <w:p>
            <w:pPr>
              <w:spacing w:after="0" w:line="252" w:lineRule="auto"/>
              <w:jc w:val="left"/>
            </w:pPr>
            <w:r>
              <w:rPr>
                <w:color w:val="1E2933"/>
                <w:sz w:val="17"/>
              </w:rPr>
              <w:t>−£4.5bn</w:t>
            </w:r>
          </w:p>
        </w:tc>
        <w:tc>
          <w:tcPr>
            <w:tcW w:type="dxa" w:w="1493"/>
            <w:vAlign w:val="center"/>
            <w:tcMar>
              <w:top w:w="90" w:type="dxa"/>
              <w:start w:w="110" w:type="dxa"/>
              <w:bottom w:w="90" w:type="dxa"/>
              <w:end w:w="110" w:type="dxa"/>
            </w:tcMar>
            <w:shd w:fill="F7F9FA"/>
          </w:tcPr>
          <w:p>
            <w:pPr>
              <w:spacing w:after="0" w:line="252" w:lineRule="auto"/>
              <w:jc w:val="left"/>
            </w:pPr>
            <w:r>
              <w:rPr>
                <w:color w:val="1E2933"/>
                <w:sz w:val="17"/>
              </w:rPr>
              <w:t>−£2.5bn to −£7.0bn</w:t>
            </w:r>
          </w:p>
        </w:tc>
        <w:tc>
          <w:tcPr>
            <w:tcW w:type="dxa" w:w="3732"/>
            <w:vAlign w:val="center"/>
            <w:tcMar>
              <w:top w:w="90" w:type="dxa"/>
              <w:start w:w="110" w:type="dxa"/>
              <w:bottom w:w="90" w:type="dxa"/>
              <w:end w:w="110" w:type="dxa"/>
            </w:tcMar>
            <w:shd w:fill="F7F9FA"/>
          </w:tcPr>
          <w:p>
            <w:pPr>
              <w:spacing w:after="0" w:line="252" w:lineRule="auto"/>
              <w:jc w:val="left"/>
            </w:pPr>
            <w:r>
              <w:rPr>
                <w:color w:val="1E2933"/>
                <w:sz w:val="17"/>
              </w:rPr>
              <w:t>Net of the replacement platform and retained functions; no early saving</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CIC used for current payment finance</w:t>
            </w:r>
          </w:p>
        </w:tc>
        <w:tc>
          <w:tcPr>
            <w:tcW w:type="dxa" w:w="1306"/>
            <w:vAlign w:val="center"/>
            <w:tcMar>
              <w:top w:w="90" w:type="dxa"/>
              <w:start w:w="110" w:type="dxa"/>
              <w:bottom w:w="90" w:type="dxa"/>
              <w:end w:w="110" w:type="dxa"/>
            </w:tcMar>
          </w:tcPr>
          <w:p>
            <w:pPr>
              <w:spacing w:after="0" w:line="252" w:lineRule="auto"/>
              <w:jc w:val="left"/>
            </w:pPr>
            <w:r>
              <w:rPr>
                <w:color w:val="1E2933"/>
                <w:sz w:val="17"/>
              </w:rPr>
              <w:t>£0</w:t>
            </w:r>
          </w:p>
        </w:tc>
        <w:tc>
          <w:tcPr>
            <w:tcW w:type="dxa" w:w="1493"/>
            <w:vAlign w:val="center"/>
            <w:tcMar>
              <w:top w:w="90" w:type="dxa"/>
              <w:start w:w="110" w:type="dxa"/>
              <w:bottom w:w="90" w:type="dxa"/>
              <w:end w:w="110" w:type="dxa"/>
            </w:tcMar>
          </w:tcPr>
          <w:p>
            <w:pPr>
              <w:spacing w:after="0" w:line="252" w:lineRule="auto"/>
              <w:jc w:val="left"/>
            </w:pPr>
            <w:r>
              <w:rPr>
                <w:color w:val="1E2933"/>
                <w:sz w:val="17"/>
              </w:rPr>
              <w:t>£0</w:t>
            </w:r>
          </w:p>
        </w:tc>
        <w:tc>
          <w:tcPr>
            <w:tcW w:type="dxa" w:w="3732"/>
            <w:vAlign w:val="center"/>
            <w:tcMar>
              <w:top w:w="90" w:type="dxa"/>
              <w:start w:w="110" w:type="dxa"/>
              <w:bottom w:w="90" w:type="dxa"/>
              <w:end w:w="110" w:type="dxa"/>
            </w:tcMar>
          </w:tcPr>
          <w:p>
            <w:pPr>
              <w:spacing w:after="0" w:line="252" w:lineRule="auto"/>
              <w:jc w:val="left"/>
            </w:pPr>
            <w:r>
              <w:rPr>
                <w:color w:val="1E2933"/>
                <w:sz w:val="17"/>
              </w:rPr>
              <w:t>Current policy invests it in the Fund, so it cannot also finance the payment</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b/>
                <w:sz w:val="17"/>
              </w:rPr>
              <w:t>Mature annual funding gap</w:t>
            </w:r>
          </w:p>
        </w:tc>
        <w:tc>
          <w:tcPr>
            <w:tcW w:type="dxa" w:w="1306"/>
            <w:vAlign w:val="center"/>
            <w:tcMar>
              <w:top w:w="90" w:type="dxa"/>
              <w:start w:w="110" w:type="dxa"/>
              <w:bottom w:w="90" w:type="dxa"/>
              <w:end w:w="110" w:type="dxa"/>
            </w:tcMar>
            <w:shd w:fill="F7F9FA"/>
          </w:tcPr>
          <w:p>
            <w:pPr>
              <w:spacing w:after="0" w:line="252" w:lineRule="auto"/>
              <w:jc w:val="left"/>
            </w:pPr>
            <w:r>
              <w:rPr>
                <w:b/>
                <w:sz w:val="17"/>
              </w:rPr>
              <w:t>£1,665.5bn</w:t>
            </w:r>
          </w:p>
        </w:tc>
        <w:tc>
          <w:tcPr>
            <w:tcW w:type="dxa" w:w="1493"/>
            <w:vAlign w:val="center"/>
            <w:tcMar>
              <w:top w:w="90" w:type="dxa"/>
              <w:start w:w="110" w:type="dxa"/>
              <w:bottom w:w="90" w:type="dxa"/>
              <w:end w:w="110" w:type="dxa"/>
            </w:tcMar>
            <w:shd w:fill="F7F9FA"/>
          </w:tcPr>
          <w:p>
            <w:pPr>
              <w:spacing w:after="0" w:line="252" w:lineRule="auto"/>
              <w:jc w:val="left"/>
            </w:pPr>
            <w:r>
              <w:rPr>
                <w:b/>
                <w:sz w:val="17"/>
              </w:rPr>
              <w:t>£1,602bn to £1,842bn</w:t>
            </w:r>
          </w:p>
        </w:tc>
        <w:tc>
          <w:tcPr>
            <w:tcW w:type="dxa" w:w="3732"/>
            <w:vAlign w:val="center"/>
            <w:tcMar>
              <w:top w:w="90" w:type="dxa"/>
              <w:start w:w="110" w:type="dxa"/>
              <w:bottom w:w="90" w:type="dxa"/>
              <w:end w:w="110" w:type="dxa"/>
            </w:tcMar>
            <w:shd w:fill="F7F9FA"/>
          </w:tcPr>
          <w:p>
            <w:pPr>
              <w:spacing w:after="0" w:line="252" w:lineRule="auto"/>
              <w:jc w:val="left"/>
            </w:pPr>
            <w:r>
              <w:rPr>
                <w:color w:val="1E2933"/>
                <w:sz w:val="17"/>
              </w:rPr>
              <w:t>Static sensitivity, before dynamic behaviour and before the temporary transition bill</w:t>
            </w:r>
          </w:p>
        </w:tc>
      </w:tr>
    </w:tbl>
    <w:p>
      <w:pPr>
        <w:spacing w:after="20"/>
      </w:pPr>
    </w:p>
    <w:p>
      <w:r>
        <w:t>The tax range now distinguishes bookkeeping attribution from a whole-system counterfactual:</w:t>
      </w:r>
    </w:p>
    <w:tbl>
      <w:tblPr>
        <w:tblW w:type="dxa" w:w="9144"/>
        <w:jc w:val="center"/>
        <w:tblLayout w:type="fixed"/>
        <w:tblLook w:firstColumn="1" w:firstRow="1" w:lastColumn="0" w:lastRow="0" w:noHBand="0" w:noVBand="1" w:val="04A0"/>
        <w:tblInd w:type="dxa" w:w="110"/>
      </w:tblPr>
      <w:tblGrid>
        <w:gridCol w:w="1947"/>
        <w:gridCol w:w="5080"/>
        <w:gridCol w:w="2117"/>
      </w:tblGrid>
      <w:tr>
        <w:trPr>
          <w:cantSplit/>
          <w:tblHeader w:val="true"/>
        </w:trPr>
        <w:tc>
          <w:tcPr>
            <w:tcW w:type="dxa" w:w="1947"/>
            <w:vAlign w:val="center"/>
            <w:tcMar>
              <w:top w:w="90" w:type="dxa"/>
              <w:start w:w="110" w:type="dxa"/>
              <w:bottom w:w="90" w:type="dxa"/>
              <w:end w:w="110" w:type="dxa"/>
            </w:tcMar>
            <w:shd w:fill="16324F"/>
          </w:tcPr>
          <w:p>
            <w:pPr>
              <w:spacing w:after="0" w:line="252" w:lineRule="auto"/>
              <w:jc w:val="left"/>
            </w:pPr>
            <w:r>
              <w:rPr>
                <w:b/>
                <w:color w:val="FFFFFF"/>
                <w:sz w:val="17"/>
              </w:rPr>
              <w:t>Tax view</w:t>
            </w:r>
          </w:p>
        </w:tc>
        <w:tc>
          <w:tcPr>
            <w:tcW w:type="dxa" w:w="5080"/>
            <w:vAlign w:val="center"/>
            <w:tcMar>
              <w:top w:w="90" w:type="dxa"/>
              <w:start w:w="110" w:type="dxa"/>
              <w:bottom w:w="90" w:type="dxa"/>
              <w:end w:w="110" w:type="dxa"/>
            </w:tcMar>
            <w:shd w:fill="16324F"/>
          </w:tcPr>
          <w:p>
            <w:pPr>
              <w:spacing w:after="0" w:line="252" w:lineRule="auto"/>
              <w:jc w:val="left"/>
            </w:pPr>
            <w:r>
              <w:rPr>
                <w:b/>
                <w:color w:val="FFFFFF"/>
                <w:sz w:val="17"/>
              </w:rPr>
              <w:t>Calculation and meaning</w:t>
            </w:r>
          </w:p>
        </w:tc>
        <w:tc>
          <w:tcPr>
            <w:tcW w:type="dxa" w:w="2117"/>
            <w:vAlign w:val="center"/>
            <w:tcMar>
              <w:top w:w="90" w:type="dxa"/>
              <w:start w:w="110" w:type="dxa"/>
              <w:bottom w:w="90" w:type="dxa"/>
              <w:end w:w="110" w:type="dxa"/>
            </w:tcMar>
            <w:shd w:fill="16324F"/>
          </w:tcPr>
          <w:p>
            <w:pPr>
              <w:spacing w:after="0" w:line="252" w:lineRule="auto"/>
              <w:jc w:val="left"/>
            </w:pPr>
            <w:r>
              <w:rPr>
                <w:b/>
                <w:color w:val="FFFFFF"/>
                <w:sz w:val="17"/>
              </w:rPr>
              <w:t>Net additional Income Tax</w:t>
            </w:r>
          </w:p>
        </w:tc>
      </w:tr>
      <w:tr>
        <w:trPr>
          <w:cantSplit/>
        </w:trPr>
        <w:tc>
          <w:tcPr>
            <w:tcW w:type="dxa" w:w="1947"/>
            <w:vAlign w:val="center"/>
            <w:tcMar>
              <w:top w:w="90" w:type="dxa"/>
              <w:start w:w="110" w:type="dxa"/>
              <w:bottom w:w="90" w:type="dxa"/>
              <w:end w:w="110" w:type="dxa"/>
            </w:tcMar>
          </w:tcPr>
          <w:p>
            <w:pPr>
              <w:spacing w:after="0" w:line="252" w:lineRule="auto"/>
              <w:jc w:val="left"/>
            </w:pPr>
            <w:r>
              <w:rPr>
                <w:color w:val="1E2933"/>
                <w:sz w:val="17"/>
              </w:rPr>
              <w:t>Stand-alone attribution</w:t>
            </w:r>
          </w:p>
        </w:tc>
        <w:tc>
          <w:tcPr>
            <w:tcW w:type="dxa" w:w="5080"/>
            <w:vAlign w:val="center"/>
            <w:tcMar>
              <w:top w:w="90" w:type="dxa"/>
              <w:start w:w="110" w:type="dxa"/>
              <w:bottom w:w="90" w:type="dxa"/>
              <w:end w:w="110" w:type="dxa"/>
            </w:tcMar>
          </w:tcPr>
          <w:p>
            <w:pPr>
              <w:spacing w:after="0" w:line="252" w:lineRule="auto"/>
              <w:jc w:val="left"/>
            </w:pPr>
            <w:r>
              <w:rPr>
                <w:color w:val="1E2933"/>
                <w:sz w:val="17"/>
              </w:rPr>
              <w:t>Outside Scotland, 20% × (£36,000 − £12,570) = £4,686 each; Scottish bands give about £4,711 each. Across the resident population this is £324.79bn gross. Deduct about £20bn of tax currently attributable to replaced taxable benefits.</w:t>
            </w:r>
          </w:p>
        </w:tc>
        <w:tc>
          <w:tcPr>
            <w:tcW w:type="dxa" w:w="2117"/>
            <w:vAlign w:val="center"/>
            <w:tcMar>
              <w:top w:w="90" w:type="dxa"/>
              <w:start w:w="110" w:type="dxa"/>
              <w:bottom w:w="90" w:type="dxa"/>
              <w:end w:w="110" w:type="dxa"/>
            </w:tcMar>
          </w:tcPr>
          <w:p>
            <w:pPr>
              <w:spacing w:after="0" w:line="252" w:lineRule="auto"/>
              <w:jc w:val="left"/>
            </w:pPr>
            <w:r>
              <w:rPr>
                <w:b/>
                <w:sz w:val="17"/>
              </w:rPr>
              <w:t>About £305bn</w:t>
            </w:r>
          </w:p>
        </w:tc>
      </w:tr>
      <w:tr>
        <w:trPr>
          <w:cantSplit/>
        </w:trPr>
        <w:tc>
          <w:tcPr>
            <w:tcW w:type="dxa" w:w="1947"/>
            <w:vAlign w:val="center"/>
            <w:tcMar>
              <w:top w:w="90" w:type="dxa"/>
              <w:start w:w="110" w:type="dxa"/>
              <w:bottom w:w="90" w:type="dxa"/>
              <w:end w:w="110" w:type="dxa"/>
            </w:tcMar>
            <w:shd w:fill="F7F9FA"/>
          </w:tcPr>
          <w:p>
            <w:pPr>
              <w:spacing w:after="0" w:line="252" w:lineRule="auto"/>
              <w:jc w:val="left"/>
            </w:pPr>
            <w:r>
              <w:rPr>
                <w:color w:val="1E2933"/>
                <w:sz w:val="17"/>
              </w:rPr>
              <w:t>Planning reference</w:t>
            </w:r>
          </w:p>
        </w:tc>
        <w:tc>
          <w:tcPr>
            <w:tcW w:type="dxa" w:w="5080"/>
            <w:vAlign w:val="center"/>
            <w:tcMar>
              <w:top w:w="90" w:type="dxa"/>
              <w:start w:w="110" w:type="dxa"/>
              <w:bottom w:w="90" w:type="dxa"/>
              <w:end w:w="110" w:type="dxa"/>
            </w:tcMar>
            <w:shd w:fill="F7F9FA"/>
          </w:tcPr>
          <w:p>
            <w:pPr>
              <w:spacing w:after="0" w:line="252" w:lineRule="auto"/>
              <w:jc w:val="left"/>
            </w:pPr>
            <w:r>
              <w:rPr>
                <w:color w:val="1E2933"/>
                <w:sz w:val="17"/>
              </w:rPr>
              <w:t>A deliberately cautious scenario between the stand-alone attribution and the static income-stacking result. It is not a microsimulation or a calculated forecast.</w:t>
            </w:r>
          </w:p>
        </w:tc>
        <w:tc>
          <w:tcPr>
            <w:tcW w:type="dxa" w:w="2117"/>
            <w:vAlign w:val="center"/>
            <w:tcMar>
              <w:top w:w="90" w:type="dxa"/>
              <w:start w:w="110" w:type="dxa"/>
              <w:bottom w:w="90" w:type="dxa"/>
              <w:end w:w="110" w:type="dxa"/>
            </w:tcMar>
            <w:shd w:fill="F7F9FA"/>
          </w:tcPr>
          <w:p>
            <w:pPr>
              <w:spacing w:after="0" w:line="252" w:lineRule="auto"/>
              <w:jc w:val="left"/>
            </w:pPr>
            <w:r>
              <w:rPr>
                <w:b/>
                <w:sz w:val="17"/>
              </w:rPr>
              <w:t>£470bn</w:t>
            </w:r>
          </w:p>
        </w:tc>
      </w:tr>
      <w:tr>
        <w:trPr>
          <w:cantSplit/>
        </w:trPr>
        <w:tc>
          <w:tcPr>
            <w:tcW w:type="dxa" w:w="1947"/>
            <w:vAlign w:val="center"/>
            <w:tcMar>
              <w:top w:w="90" w:type="dxa"/>
              <w:start w:w="110" w:type="dxa"/>
              <w:bottom w:w="90" w:type="dxa"/>
              <w:end w:w="110" w:type="dxa"/>
            </w:tcMar>
          </w:tcPr>
          <w:p>
            <w:pPr>
              <w:spacing w:after="0" w:line="252" w:lineRule="auto"/>
              <w:jc w:val="left"/>
            </w:pPr>
            <w:r>
              <w:rPr>
                <w:color w:val="1E2933"/>
                <w:sz w:val="17"/>
              </w:rPr>
              <w:t>Static income stacking</w:t>
            </w:r>
          </w:p>
        </w:tc>
        <w:tc>
          <w:tcPr>
            <w:tcW w:type="dxa" w:w="5080"/>
            <w:vAlign w:val="center"/>
            <w:tcMar>
              <w:top w:w="90" w:type="dxa"/>
              <w:start w:w="110" w:type="dxa"/>
              <w:bottom w:w="90" w:type="dxa"/>
              <w:end w:w="110" w:type="dxa"/>
            </w:tcMar>
          </w:tcPr>
          <w:p>
            <w:pPr>
              <w:spacing w:after="0" w:line="252" w:lineRule="auto"/>
              <w:jc w:val="left"/>
            </w:pPr>
            <w:r>
              <w:rPr>
                <w:color w:val="1E2933"/>
                <w:sz w:val="17"/>
              </w:rPr>
              <w:t>Adds £36,000 to the existing HMRC income-band distribution, then removes State Pension and other replaced taxable benefits from the counterfactual. It assumes other taxable income does not change.</w:t>
            </w:r>
          </w:p>
        </w:tc>
        <w:tc>
          <w:tcPr>
            <w:tcW w:type="dxa" w:w="2117"/>
            <w:vAlign w:val="center"/>
            <w:tcMar>
              <w:top w:w="90" w:type="dxa"/>
              <w:start w:w="110" w:type="dxa"/>
              <w:bottom w:w="90" w:type="dxa"/>
              <w:end w:w="110" w:type="dxa"/>
            </w:tcMar>
          </w:tcPr>
          <w:p>
            <w:pPr>
              <w:spacing w:after="0" w:line="252" w:lineRule="auto"/>
              <w:jc w:val="left"/>
            </w:pPr>
            <w:r>
              <w:rPr>
                <w:b/>
                <w:sz w:val="17"/>
              </w:rPr>
              <w:t>About £525bn</w:t>
            </w:r>
          </w:p>
        </w:tc>
      </w:tr>
    </w:tbl>
    <w:p>
      <w:pPr>
        <w:spacing w:after="20"/>
      </w:pPr>
    </w:p>
    <w:p>
      <w:r>
        <w:t xml:space="preserve">HMRC does not publish “tax paid on State Pension” as a separate receipt because Income Tax is assessed on combined income. A grouped income-band counterfactual gives approximately </w:t>
      </w:r>
      <w:r>
        <w:rPr>
          <w:b/>
        </w:rPr>
        <w:t>£17.5 billion</w:t>
      </w:r>
      <w:r>
        <w:t xml:space="preserve"> attributable to 2026-27 State Pension and about </w:t>
      </w:r>
      <w:r>
        <w:rPr>
          <w:b/>
        </w:rPr>
        <w:t>£20 billion</w:t>
      </w:r>
      <w:r>
        <w:t xml:space="preserve"> after other taxable benefits, with a working range of £16 billion to £25 billion. That overlap is already deducted in all three net figures above and must not be added to the bridge again. National Insurance on earnings is retained; this draft assumes no National Insurance is charged on the Universal Payment. Sources: </w:t>
      </w:r>
      <w:r>
        <w:t xml:space="preserve"> </w:t>
      </w:r>
      <w:hyperlink r:id="rId49">
        <w:r>
          <w:rPr>
            <w:color w:val="006D77"/>
            <w:u w:val="single"/>
          </w:rPr>
          <w:t>[33]</w:t>
        </w:r>
      </w:hyperlink>
      <w:r>
        <w:t xml:space="preserve">, </w:t>
      </w:r>
      <w:r>
        <w:t xml:space="preserve"> </w:t>
      </w:r>
      <w:hyperlink r:id="rId50">
        <w:r>
          <w:rPr>
            <w:color w:val="006D77"/>
            <w:u w:val="single"/>
          </w:rPr>
          <w:t>[34]</w:t>
        </w:r>
      </w:hyperlink>
      <w:r>
        <w:t xml:space="preserve">, </w:t>
      </w:r>
      <w:r>
        <w:t xml:space="preserve"> </w:t>
      </w:r>
      <w:hyperlink r:id="rId51">
        <w:r>
          <w:rPr>
            <w:color w:val="006D77"/>
            <w:u w:val="single"/>
          </w:rPr>
          <w:t>[35]</w:t>
        </w:r>
      </w:hyperlink>
      <w:r>
        <w:t xml:space="preserve">, </w:t>
      </w:r>
      <w:r>
        <w:t xml:space="preserve"> </w:t>
      </w:r>
      <w:hyperlink r:id="rId52">
        <w:r>
          <w:rPr>
            <w:color w:val="006D77"/>
            <w:u w:val="single"/>
          </w:rPr>
          <w:t>[36]</w:t>
        </w:r>
      </w:hyperlink>
      <w:r>
        <w:t>.</w:t>
      </w:r>
    </w:p>
    <w:p>
      <w:r>
        <w:t xml:space="preserve">DWP's Spring Forecast workbook gives a 2026-27 UK-welfare total of approximately </w:t>
      </w:r>
      <w:r>
        <w:rPr>
          <w:b/>
        </w:rPr>
        <w:t>£354.15 billion</w:t>
      </w:r>
      <w:r>
        <w:t xml:space="preserve">, excluding devolved Scottish social security; the Scottish Fiscal Commission forecasts another </w:t>
      </w:r>
      <w:r>
        <w:rPr>
          <w:b/>
        </w:rPr>
        <w:t>£7.4 billion</w:t>
      </w:r>
      <w:r>
        <w:t xml:space="preserve">. That produces a broad operational ceiling of </w:t>
      </w:r>
      <w:r>
        <w:rPr>
          <w:b/>
        </w:rPr>
        <w:t>£361.55 billion</w:t>
      </w:r>
      <w:r>
        <w:t xml:space="preserve">. The central bridge rounds the genuinely substitutable, resident-consistent amount to </w:t>
      </w:r>
      <w:r>
        <w:rPr>
          <w:b/>
        </w:rPr>
        <w:t>£354.1 billion</w:t>
      </w:r>
      <w:r>
        <w:t xml:space="preserve"> after retaining or rerouting approximately £1.53 billion of provider-linked support and prudently retaining approximately £5.91 billion of overseas State Pension until residence, treaty and accrued-right rules are settled. The OBR's £352.8 billion welfare aggregate is a useful accounting cross-check; the residual difference requires formal Treasury/DWP reconciliation before legislation.</w:t>
      </w:r>
    </w:p>
    <w:p>
      <w:r>
        <w:t>Major 2026-27 cash lines inside that ceiling include:</w:t>
      </w:r>
    </w:p>
    <w:tbl>
      <w:tblPr>
        <w:tblW w:type="dxa" w:w="9145"/>
        <w:jc w:val="center"/>
        <w:tblLayout w:type="fixed"/>
        <w:tblLook w:firstColumn="1" w:firstRow="1" w:lastColumn="0" w:lastRow="0" w:noHBand="0" w:noVBand="1" w:val="04A0"/>
        <w:tblInd w:type="dxa" w:w="110"/>
      </w:tblPr>
      <w:tblGrid>
        <w:gridCol w:w="2613"/>
        <w:gridCol w:w="1633"/>
        <w:gridCol w:w="4899"/>
      </w:tblGrid>
      <w:tr>
        <w:trPr>
          <w:cantSplit/>
          <w:tblHeader w:val="true"/>
        </w:trPr>
        <w:tc>
          <w:tcPr>
            <w:tcW w:type="dxa" w:w="2613"/>
            <w:vAlign w:val="center"/>
            <w:tcMar>
              <w:top w:w="90" w:type="dxa"/>
              <w:start w:w="110" w:type="dxa"/>
              <w:bottom w:w="90" w:type="dxa"/>
              <w:end w:w="110" w:type="dxa"/>
            </w:tcMar>
            <w:shd w:fill="16324F"/>
          </w:tcPr>
          <w:p>
            <w:pPr>
              <w:spacing w:after="0" w:line="252" w:lineRule="auto"/>
              <w:jc w:val="left"/>
            </w:pPr>
            <w:r>
              <w:rPr>
                <w:b/>
                <w:color w:val="FFFFFF"/>
                <w:sz w:val="17"/>
              </w:rPr>
              <w:t>Personal payment</w:t>
            </w:r>
          </w:p>
        </w:tc>
        <w:tc>
          <w:tcPr>
            <w:tcW w:type="dxa" w:w="1633"/>
            <w:vAlign w:val="center"/>
            <w:tcMar>
              <w:top w:w="90" w:type="dxa"/>
              <w:start w:w="110" w:type="dxa"/>
              <w:bottom w:w="90" w:type="dxa"/>
              <w:end w:w="110" w:type="dxa"/>
            </w:tcMar>
            <w:shd w:fill="16324F"/>
          </w:tcPr>
          <w:p>
            <w:pPr>
              <w:spacing w:after="0" w:line="252" w:lineRule="auto"/>
              <w:jc w:val="left"/>
            </w:pPr>
            <w:r>
              <w:rPr>
                <w:b/>
                <w:color w:val="FFFFFF"/>
                <w:sz w:val="17"/>
              </w:rPr>
              <w:t>Forecast expenditure</w:t>
            </w:r>
          </w:p>
        </w:tc>
        <w:tc>
          <w:tcPr>
            <w:tcW w:type="dxa" w:w="4899"/>
            <w:vAlign w:val="center"/>
            <w:tcMar>
              <w:top w:w="90" w:type="dxa"/>
              <w:start w:w="110" w:type="dxa"/>
              <w:bottom w:w="90" w:type="dxa"/>
              <w:end w:w="110" w:type="dxa"/>
            </w:tcMar>
            <w:shd w:fill="16324F"/>
          </w:tcPr>
          <w:p>
            <w:pPr>
              <w:spacing w:after="0" w:line="252" w:lineRule="auto"/>
              <w:jc w:val="left"/>
            </w:pPr>
            <w:r>
              <w:rPr>
                <w:b/>
                <w:color w:val="FFFFFF"/>
                <w:sz w:val="17"/>
              </w:rPr>
              <w:t>Revised treatment</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State Pension</w:t>
            </w:r>
          </w:p>
        </w:tc>
        <w:tc>
          <w:tcPr>
            <w:tcW w:type="dxa" w:w="1633"/>
            <w:vAlign w:val="center"/>
            <w:tcMar>
              <w:top w:w="90" w:type="dxa"/>
              <w:start w:w="110" w:type="dxa"/>
              <w:bottom w:w="90" w:type="dxa"/>
              <w:end w:w="110" w:type="dxa"/>
            </w:tcMar>
          </w:tcPr>
          <w:p>
            <w:pPr>
              <w:spacing w:after="0" w:line="252" w:lineRule="auto"/>
              <w:jc w:val="left"/>
            </w:pPr>
            <w:r>
              <w:rPr>
                <w:color w:val="1E2933"/>
                <w:sz w:val="17"/>
              </w:rPr>
              <w:t>£154.175bn</w:t>
            </w:r>
          </w:p>
        </w:tc>
        <w:tc>
          <w:tcPr>
            <w:tcW w:type="dxa" w:w="4899"/>
            <w:vAlign w:val="center"/>
            <w:tcMar>
              <w:top w:w="90" w:type="dxa"/>
              <w:start w:w="110" w:type="dxa"/>
              <w:bottom w:w="90" w:type="dxa"/>
              <w:end w:w="110" w:type="dxa"/>
            </w:tcMar>
          </w:tcPr>
          <w:p>
            <w:pPr>
              <w:spacing w:after="0" w:line="252" w:lineRule="auto"/>
              <w:jc w:val="left"/>
            </w:pPr>
            <w:r>
              <w:rPr>
                <w:color w:val="1E2933"/>
                <w:sz w:val="17"/>
              </w:rPr>
              <w:t>Absorb for eligible resident recipients; settle overseas/accrued cases separately</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Universal Credit</w:t>
            </w:r>
          </w:p>
        </w:tc>
        <w:tc>
          <w:tcPr>
            <w:tcW w:type="dxa" w:w="1633"/>
            <w:vAlign w:val="center"/>
            <w:tcMar>
              <w:top w:w="90" w:type="dxa"/>
              <w:start w:w="110" w:type="dxa"/>
              <w:bottom w:w="90" w:type="dxa"/>
              <w:end w:w="110" w:type="dxa"/>
            </w:tcMar>
            <w:shd w:fill="F7F9FA"/>
          </w:tcPr>
          <w:p>
            <w:pPr>
              <w:spacing w:after="0" w:line="252" w:lineRule="auto"/>
              <w:jc w:val="left"/>
            </w:pPr>
            <w:r>
              <w:rPr>
                <w:color w:val="1E2933"/>
                <w:sz w:val="17"/>
              </w:rPr>
              <w:t>£87.649bn</w:t>
            </w:r>
          </w:p>
        </w:tc>
        <w:tc>
          <w:tcPr>
            <w:tcW w:type="dxa" w:w="4899"/>
            <w:vAlign w:val="center"/>
            <w:tcMar>
              <w:top w:w="90" w:type="dxa"/>
              <w:start w:w="110" w:type="dxa"/>
              <w:bottom w:w="90" w:type="dxa"/>
              <w:end w:w="110" w:type="dxa"/>
            </w:tcMar>
            <w:shd w:fill="F7F9FA"/>
          </w:tcPr>
          <w:p>
            <w:pPr>
              <w:spacing w:after="0" w:line="252" w:lineRule="auto"/>
              <w:jc w:val="left"/>
            </w:pPr>
            <w:r>
              <w:rPr>
                <w:color w:val="1E2933"/>
                <w:sz w:val="17"/>
              </w:rPr>
              <w:t>Absorb all personal elements, including standard, housing, child, health, disabled-child and carer amounts; retain/reroute its £0.589bn professional-childcare reimbursement</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Personal Independence Payment</w:t>
            </w:r>
          </w:p>
        </w:tc>
        <w:tc>
          <w:tcPr>
            <w:tcW w:type="dxa" w:w="1633"/>
            <w:vAlign w:val="center"/>
            <w:tcMar>
              <w:top w:w="90" w:type="dxa"/>
              <w:start w:w="110" w:type="dxa"/>
              <w:bottom w:w="90" w:type="dxa"/>
              <w:end w:w="110" w:type="dxa"/>
            </w:tcMar>
          </w:tcPr>
          <w:p>
            <w:pPr>
              <w:spacing w:after="0" w:line="252" w:lineRule="auto"/>
              <w:jc w:val="left"/>
            </w:pPr>
            <w:r>
              <w:rPr>
                <w:color w:val="1E2933"/>
                <w:sz w:val="17"/>
              </w:rPr>
              <w:t>£32.100bn</w:t>
            </w:r>
          </w:p>
        </w:tc>
        <w:tc>
          <w:tcPr>
            <w:tcW w:type="dxa" w:w="4899"/>
            <w:vAlign w:val="center"/>
            <w:tcMar>
              <w:top w:w="90" w:type="dxa"/>
              <w:start w:w="110" w:type="dxa"/>
              <w:bottom w:w="90" w:type="dxa"/>
              <w:end w:w="110" w:type="dxa"/>
            </w:tcMar>
          </w:tcPr>
          <w:p>
            <w:pPr>
              <w:spacing w:after="0" w:line="252" w:lineRule="auto"/>
              <w:jc w:val="left"/>
            </w:pPr>
            <w:r>
              <w:rPr>
                <w:color w:val="1E2933"/>
                <w:sz w:val="17"/>
              </w:rPr>
              <w:t>Absorb as personal cash</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Child Benefit</w:t>
            </w:r>
          </w:p>
        </w:tc>
        <w:tc>
          <w:tcPr>
            <w:tcW w:type="dxa" w:w="1633"/>
            <w:vAlign w:val="center"/>
            <w:tcMar>
              <w:top w:w="90" w:type="dxa"/>
              <w:start w:w="110" w:type="dxa"/>
              <w:bottom w:w="90" w:type="dxa"/>
              <w:end w:w="110" w:type="dxa"/>
            </w:tcMar>
            <w:shd w:fill="F7F9FA"/>
          </w:tcPr>
          <w:p>
            <w:pPr>
              <w:spacing w:after="0" w:line="252" w:lineRule="auto"/>
              <w:jc w:val="left"/>
            </w:pPr>
            <w:r>
              <w:rPr>
                <w:color w:val="1E2933"/>
                <w:sz w:val="17"/>
              </w:rPr>
              <w:t>£13.706bn</w:t>
            </w:r>
          </w:p>
        </w:tc>
        <w:tc>
          <w:tcPr>
            <w:tcW w:type="dxa" w:w="4899"/>
            <w:vAlign w:val="center"/>
            <w:tcMar>
              <w:top w:w="90" w:type="dxa"/>
              <w:start w:w="110" w:type="dxa"/>
              <w:bottom w:w="90" w:type="dxa"/>
              <w:end w:w="110" w:type="dxa"/>
            </w:tcMar>
            <w:shd w:fill="F7F9FA"/>
          </w:tcPr>
          <w:p>
            <w:pPr>
              <w:spacing w:after="0" w:line="252" w:lineRule="auto"/>
              <w:jc w:val="left"/>
            </w:pPr>
            <w:r>
              <w:rPr>
                <w:color w:val="1E2933"/>
                <w:sz w:val="17"/>
              </w:rPr>
              <w:t>Absorb; the full Universal Payment already includes children</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Housing Benefit outside UC</w:t>
            </w:r>
          </w:p>
        </w:tc>
        <w:tc>
          <w:tcPr>
            <w:tcW w:type="dxa" w:w="1633"/>
            <w:vAlign w:val="center"/>
            <w:tcMar>
              <w:top w:w="90" w:type="dxa"/>
              <w:start w:w="110" w:type="dxa"/>
              <w:bottom w:w="90" w:type="dxa"/>
              <w:end w:w="110" w:type="dxa"/>
            </w:tcMar>
          </w:tcPr>
          <w:p>
            <w:pPr>
              <w:spacing w:after="0" w:line="252" w:lineRule="auto"/>
              <w:jc w:val="left"/>
            </w:pPr>
            <w:r>
              <w:rPr>
                <w:color w:val="1E2933"/>
                <w:sz w:val="17"/>
              </w:rPr>
              <w:t>£12.474bn</w:t>
            </w:r>
          </w:p>
        </w:tc>
        <w:tc>
          <w:tcPr>
            <w:tcW w:type="dxa" w:w="4899"/>
            <w:vAlign w:val="center"/>
            <w:tcMar>
              <w:top w:w="90" w:type="dxa"/>
              <w:start w:w="110" w:type="dxa"/>
              <w:bottom w:w="90" w:type="dxa"/>
              <w:end w:w="110" w:type="dxa"/>
            </w:tcMar>
          </w:tcPr>
          <w:p>
            <w:pPr>
              <w:spacing w:after="0" w:line="252" w:lineRule="auto"/>
              <w:jc w:val="left"/>
            </w:pPr>
            <w:r>
              <w:rPr>
                <w:color w:val="1E2933"/>
                <w:sz w:val="17"/>
              </w:rPr>
              <w:t>Absorb ordinary rent support; retain separately priced supported-housing care and supervision</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Attendance Allowance</w:t>
            </w:r>
          </w:p>
        </w:tc>
        <w:tc>
          <w:tcPr>
            <w:tcW w:type="dxa" w:w="1633"/>
            <w:vAlign w:val="center"/>
            <w:tcMar>
              <w:top w:w="90" w:type="dxa"/>
              <w:start w:w="110" w:type="dxa"/>
              <w:bottom w:w="90" w:type="dxa"/>
              <w:end w:w="110" w:type="dxa"/>
            </w:tcMar>
            <w:shd w:fill="F7F9FA"/>
          </w:tcPr>
          <w:p>
            <w:pPr>
              <w:spacing w:after="0" w:line="252" w:lineRule="auto"/>
              <w:jc w:val="left"/>
            </w:pPr>
            <w:r>
              <w:rPr>
                <w:color w:val="1E2933"/>
                <w:sz w:val="17"/>
              </w:rPr>
              <w:t>£9.228bn</w:t>
            </w:r>
          </w:p>
        </w:tc>
        <w:tc>
          <w:tcPr>
            <w:tcW w:type="dxa" w:w="4899"/>
            <w:vAlign w:val="center"/>
            <w:tcMar>
              <w:top w:w="90" w:type="dxa"/>
              <w:start w:w="110" w:type="dxa"/>
              <w:bottom w:w="90" w:type="dxa"/>
              <w:end w:w="110" w:type="dxa"/>
            </w:tcMar>
            <w:shd w:fill="F7F9FA"/>
          </w:tcPr>
          <w:p>
            <w:pPr>
              <w:spacing w:after="0" w:line="252" w:lineRule="auto"/>
              <w:jc w:val="left"/>
            </w:pPr>
            <w:r>
              <w:rPr>
                <w:color w:val="1E2933"/>
                <w:sz w:val="17"/>
              </w:rPr>
              <w:t>Absorb as personal cash</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Disability Living Allowance</w:t>
            </w:r>
          </w:p>
        </w:tc>
        <w:tc>
          <w:tcPr>
            <w:tcW w:type="dxa" w:w="1633"/>
            <w:vAlign w:val="center"/>
            <w:tcMar>
              <w:top w:w="90" w:type="dxa"/>
              <w:start w:w="110" w:type="dxa"/>
              <w:bottom w:w="90" w:type="dxa"/>
              <w:end w:w="110" w:type="dxa"/>
            </w:tcMar>
          </w:tcPr>
          <w:p>
            <w:pPr>
              <w:spacing w:after="0" w:line="252" w:lineRule="auto"/>
              <w:jc w:val="left"/>
            </w:pPr>
            <w:r>
              <w:rPr>
                <w:color w:val="1E2933"/>
                <w:sz w:val="17"/>
              </w:rPr>
              <w:t>£8.884bn</w:t>
            </w:r>
          </w:p>
        </w:tc>
        <w:tc>
          <w:tcPr>
            <w:tcW w:type="dxa" w:w="4899"/>
            <w:vAlign w:val="center"/>
            <w:tcMar>
              <w:top w:w="90" w:type="dxa"/>
              <w:start w:w="110" w:type="dxa"/>
              <w:bottom w:w="90" w:type="dxa"/>
              <w:end w:w="110" w:type="dxa"/>
            </w:tcMar>
          </w:tcPr>
          <w:p>
            <w:pPr>
              <w:spacing w:after="0" w:line="252" w:lineRule="auto"/>
              <w:jc w:val="left"/>
            </w:pPr>
            <w:r>
              <w:rPr>
                <w:color w:val="1E2933"/>
                <w:sz w:val="17"/>
              </w:rPr>
              <w:t>Absorb as personal cash</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Pension Credit</w:t>
            </w:r>
          </w:p>
        </w:tc>
        <w:tc>
          <w:tcPr>
            <w:tcW w:type="dxa" w:w="1633"/>
            <w:vAlign w:val="center"/>
            <w:tcMar>
              <w:top w:w="90" w:type="dxa"/>
              <w:start w:w="110" w:type="dxa"/>
              <w:bottom w:w="90" w:type="dxa"/>
              <w:end w:w="110" w:type="dxa"/>
            </w:tcMar>
            <w:shd w:fill="F7F9FA"/>
          </w:tcPr>
          <w:p>
            <w:pPr>
              <w:spacing w:after="0" w:line="252" w:lineRule="auto"/>
              <w:jc w:val="left"/>
            </w:pPr>
            <w:r>
              <w:rPr>
                <w:color w:val="1E2933"/>
                <w:sz w:val="17"/>
              </w:rPr>
              <w:t>£6.055bn</w:t>
            </w:r>
          </w:p>
        </w:tc>
        <w:tc>
          <w:tcPr>
            <w:tcW w:type="dxa" w:w="4899"/>
            <w:vAlign w:val="center"/>
            <w:tcMar>
              <w:top w:w="90" w:type="dxa"/>
              <w:start w:w="110" w:type="dxa"/>
              <w:bottom w:w="90" w:type="dxa"/>
              <w:end w:w="110" w:type="dxa"/>
            </w:tcMar>
            <w:shd w:fill="F7F9FA"/>
          </w:tcPr>
          <w:p>
            <w:pPr>
              <w:spacing w:after="0" w:line="252" w:lineRule="auto"/>
              <w:jc w:val="left"/>
            </w:pPr>
            <w:r>
              <w:rPr>
                <w:color w:val="1E2933"/>
                <w:sz w:val="17"/>
              </w:rPr>
              <w:t>Absorb</w:t>
            </w:r>
          </w:p>
        </w:tc>
      </w:tr>
      <w:tr>
        <w:trPr>
          <w:cantSplit/>
        </w:trPr>
        <w:tc>
          <w:tcPr>
            <w:tcW w:type="dxa" w:w="2613"/>
            <w:vAlign w:val="center"/>
            <w:tcMar>
              <w:top w:w="90" w:type="dxa"/>
              <w:start w:w="110" w:type="dxa"/>
              <w:bottom w:w="90" w:type="dxa"/>
              <w:end w:w="110" w:type="dxa"/>
            </w:tcMar>
          </w:tcPr>
          <w:p>
            <w:pPr>
              <w:spacing w:after="0" w:line="252" w:lineRule="auto"/>
              <w:jc w:val="left"/>
            </w:pPr>
            <w:r>
              <w:rPr>
                <w:color w:val="1E2933"/>
                <w:sz w:val="17"/>
              </w:rPr>
              <w:t>Employment and Support Allowance</w:t>
            </w:r>
          </w:p>
        </w:tc>
        <w:tc>
          <w:tcPr>
            <w:tcW w:type="dxa" w:w="1633"/>
            <w:vAlign w:val="center"/>
            <w:tcMar>
              <w:top w:w="90" w:type="dxa"/>
              <w:start w:w="110" w:type="dxa"/>
              <w:bottom w:w="90" w:type="dxa"/>
              <w:end w:w="110" w:type="dxa"/>
            </w:tcMar>
          </w:tcPr>
          <w:p>
            <w:pPr>
              <w:spacing w:after="0" w:line="252" w:lineRule="auto"/>
              <w:jc w:val="left"/>
            </w:pPr>
            <w:r>
              <w:rPr>
                <w:color w:val="1E2933"/>
                <w:sz w:val="17"/>
              </w:rPr>
              <w:t>£5.305bn</w:t>
            </w:r>
          </w:p>
        </w:tc>
        <w:tc>
          <w:tcPr>
            <w:tcW w:type="dxa" w:w="4899"/>
            <w:vAlign w:val="center"/>
            <w:tcMar>
              <w:top w:w="90" w:type="dxa"/>
              <w:start w:w="110" w:type="dxa"/>
              <w:bottom w:w="90" w:type="dxa"/>
              <w:end w:w="110" w:type="dxa"/>
            </w:tcMar>
          </w:tcPr>
          <w:p>
            <w:pPr>
              <w:spacing w:after="0" w:line="252" w:lineRule="auto"/>
              <w:jc w:val="left"/>
            </w:pPr>
            <w:r>
              <w:rPr>
                <w:color w:val="1E2933"/>
                <w:sz w:val="17"/>
              </w:rPr>
              <w:t>Absorb</w:t>
            </w:r>
          </w:p>
        </w:tc>
      </w:tr>
      <w:tr>
        <w:trPr>
          <w:cantSplit/>
        </w:trPr>
        <w:tc>
          <w:tcPr>
            <w:tcW w:type="dxa" w:w="2613"/>
            <w:vAlign w:val="center"/>
            <w:tcMar>
              <w:top w:w="90" w:type="dxa"/>
              <w:start w:w="110" w:type="dxa"/>
              <w:bottom w:w="90" w:type="dxa"/>
              <w:end w:w="110" w:type="dxa"/>
            </w:tcMar>
            <w:shd w:fill="F7F9FA"/>
          </w:tcPr>
          <w:p>
            <w:pPr>
              <w:spacing w:after="0" w:line="252" w:lineRule="auto"/>
              <w:jc w:val="left"/>
            </w:pPr>
            <w:r>
              <w:rPr>
                <w:color w:val="1E2933"/>
                <w:sz w:val="17"/>
              </w:rPr>
              <w:t>Carer's Allowance</w:t>
            </w:r>
          </w:p>
        </w:tc>
        <w:tc>
          <w:tcPr>
            <w:tcW w:type="dxa" w:w="1633"/>
            <w:vAlign w:val="center"/>
            <w:tcMar>
              <w:top w:w="90" w:type="dxa"/>
              <w:start w:w="110" w:type="dxa"/>
              <w:bottom w:w="90" w:type="dxa"/>
              <w:end w:w="110" w:type="dxa"/>
            </w:tcMar>
            <w:shd w:fill="F7F9FA"/>
          </w:tcPr>
          <w:p>
            <w:pPr>
              <w:spacing w:after="0" w:line="252" w:lineRule="auto"/>
              <w:jc w:val="left"/>
            </w:pPr>
            <w:r>
              <w:rPr>
                <w:color w:val="1E2933"/>
                <w:sz w:val="17"/>
              </w:rPr>
              <w:t>£5.025bn</w:t>
            </w:r>
          </w:p>
        </w:tc>
        <w:tc>
          <w:tcPr>
            <w:tcW w:type="dxa" w:w="4899"/>
            <w:vAlign w:val="center"/>
            <w:tcMar>
              <w:top w:w="90" w:type="dxa"/>
              <w:start w:w="110" w:type="dxa"/>
              <w:bottom w:w="90" w:type="dxa"/>
              <w:end w:w="110" w:type="dxa"/>
            </w:tcMar>
            <w:shd w:fill="F7F9FA"/>
          </w:tcPr>
          <w:p>
            <w:pPr>
              <w:spacing w:after="0" w:line="252" w:lineRule="auto"/>
              <w:jc w:val="left"/>
            </w:pPr>
            <w:r>
              <w:rPr>
                <w:color w:val="1E2933"/>
                <w:sz w:val="17"/>
              </w:rPr>
              <w:t>Absorb informal-carer income; continue paying professional carers through service budgets</w:t>
            </w:r>
          </w:p>
        </w:tc>
      </w:tr>
    </w:tbl>
    <w:p>
      <w:pPr>
        <w:spacing w:after="20"/>
      </w:pPr>
    </w:p>
    <w:p>
      <w:r>
        <w:t xml:space="preserve">Universal Credit elements are shown only as components of its £87.649 billion total and must not be added again. Northern Ireland social security and Scottish devolved benefits are included once in the operational ceiling. Smaller maternity, bereavement, winter, industrial-injury and unemployment payments are also absorbed where they are unrestricted personal cash. Sources: </w:t>
      </w:r>
      <w:r>
        <w:t xml:space="preserve"> </w:t>
      </w:r>
      <w:hyperlink r:id="rId53">
        <w:r>
          <w:rPr>
            <w:color w:val="006D77"/>
            <w:u w:val="single"/>
          </w:rPr>
          <w:t>[37]</w:t>
        </w:r>
      </w:hyperlink>
      <w:r>
        <w:t xml:space="preserve">, </w:t>
      </w:r>
      <w:r>
        <w:t xml:space="preserve"> </w:t>
      </w:r>
      <w:hyperlink r:id="rId54">
        <w:r>
          <w:rPr>
            <w:color w:val="006D77"/>
            <w:u w:val="single"/>
          </w:rPr>
          <w:t>[38]</w:t>
        </w:r>
      </w:hyperlink>
      <w:r>
        <w:t>.</w:t>
      </w:r>
    </w:p>
    <w:p>
      <w:r>
        <w:t>The £354.1 billion bridge item covers the official social-security system; it is not yet an exhaustive list of every transfer made by every public body. Council Tax Reduction is a tax reduction rather than claimant cash, Statutory Sick Pay is principally an employer liability, and student grants, local crisis payments and compensation sit in other accounts. A cross-government payment register must classify these line by line. No extra saving is booked here until the receiving payment, lost tax or fee, retained service and legal obligation are all matched.</w:t>
      </w:r>
    </w:p>
    <w:p>
      <w:r>
        <w:t>The following remain outside the substitution credit because they purchase services or settle a separate legal obligation:</w:t>
      </w:r>
    </w:p>
    <w:p>
      <w:pPr>
        <w:pStyle w:val="ListBullet"/>
      </w:pPr>
      <w:r>
        <w:t>NHS treatment and the wages of doctors, nurses and clinical staff;</w:t>
      </w:r>
    </w:p>
    <w:p>
      <w:pPr>
        <w:pStyle w:val="ListBullet"/>
      </w:pPr>
      <w:r>
        <w:t>commissioned home care, care homes, paid carers, supported living and other assessed professional social care;</w:t>
      </w:r>
    </w:p>
    <w:p>
      <w:pPr>
        <w:pStyle w:val="ListBullet"/>
      </w:pPr>
      <w:r>
        <w:t>assessed direct-payment care, which should be retained as a restricted managed budget or paid to the provider;</w:t>
      </w:r>
    </w:p>
    <w:p>
      <w:pPr>
        <w:pStyle w:val="ListBullet"/>
      </w:pPr>
      <w:r>
        <w:t>Access to Work, professional-childcare reimbursements, funded childcare hours, disability equipment and adaptations;</w:t>
      </w:r>
    </w:p>
    <w:p>
      <w:pPr>
        <w:pStyle w:val="ListBullet"/>
      </w:pPr>
      <w:r>
        <w:t>compensation and redress, child-maintenance pass-throughs, and loan principal such as student finance or Universal Credit advances;</w:t>
      </w:r>
    </w:p>
    <w:p>
      <w:pPr>
        <w:pStyle w:val="ListBullet"/>
      </w:pPr>
      <w:r>
        <w:t>accrued public-service occupational pensions, which are deferred employment compensation rather than welfare.</w:t>
      </w:r>
    </w:p>
    <w:p>
      <w:r>
        <w:t xml:space="preserve">England's adult-social-care accounts illustrate the distinction: overall public spending was </w:t>
      </w:r>
      <w:r>
        <w:rPr>
          <w:b/>
        </w:rPr>
        <w:t>£27.8 billion</w:t>
      </w:r>
      <w:r>
        <w:t xml:space="preserve"> in 2024-25, and </w:t>
      </w:r>
      <w:r>
        <w:rPr>
          <w:b/>
        </w:rPr>
        <w:t>£2.447 billion</w:t>
      </w:r>
      <w:r>
        <w:t xml:space="preserve"> of long-term-care expenditure was delivered through direct payments. Those direct payments remain professional-service funding even though the money passes through the client. Source: </w:t>
      </w:r>
      <w:r>
        <w:t xml:space="preserve"> </w:t>
      </w:r>
      <w:hyperlink r:id="rId55">
        <w:r>
          <w:rPr>
            <w:color w:val="006D77"/>
            <w:u w:val="single"/>
          </w:rPr>
          <w:t>[39]</w:t>
        </w:r>
      </w:hyperlink>
      <w:r>
        <w:t>.</w:t>
      </w:r>
    </w:p>
    <w:p>
      <w:r>
        <w:t xml:space="preserve">The reference gap is therefore about </w:t>
      </w:r>
      <w:r>
        <w:rPr>
          <w:b/>
        </w:rPr>
        <w:t>52.6% of the OBR's £3.164 trillion 2026-27 nominal-GDP baseline</w:t>
      </w:r>
      <w:r>
        <w:t xml:space="preserve">; the static sensitivity is about </w:t>
      </w:r>
      <w:r>
        <w:rPr>
          <w:b/>
        </w:rPr>
        <w:t>50.6% to 58.2%</w:t>
      </w:r>
      <w:r>
        <w:t xml:space="preserve">. The gap is approximately 128% of forecast current receipts even in the reference case. This is why the full payment cannot be modelled as an ordinary demand stimulus. The OBR baseline records </w:t>
      </w:r>
      <w:r>
        <w:rPr>
          <w:b/>
        </w:rPr>
        <w:t>£1.304 trillion of current receipts</w:t>
      </w:r>
      <w:r>
        <w:t xml:space="preserve">, </w:t>
      </w:r>
      <w:r>
        <w:rPr>
          <w:b/>
        </w:rPr>
        <w:t>£1.171 trillion of National Accounts taxes</w:t>
      </w:r>
      <w:r>
        <w:t xml:space="preserve">, </w:t>
      </w:r>
      <w:r>
        <w:rPr>
          <w:b/>
        </w:rPr>
        <w:t>£352.8 billion of welfare spending</w:t>
      </w:r>
      <w:r>
        <w:t xml:space="preserve"> and total managed expenditure of 44.9% of GDP in 2026-27. Source: </w:t>
      </w:r>
      <w:r>
        <w:t xml:space="preserve"> </w:t>
      </w:r>
      <w:hyperlink r:id="rId42">
        <w:r>
          <w:rPr>
            <w:color w:val="006D77"/>
            <w:u w:val="single"/>
          </w:rPr>
          <w:t>[27]</w:t>
        </w:r>
      </w:hyperlink>
      <w:r>
        <w:t>.</w:t>
      </w:r>
    </w:p>
    <w:p>
      <w:r>
        <w:t xml:space="preserve">If the static £23.63 billion CIC amount were diverted to current finance, it would cover only about </w:t>
      </w:r>
      <w:r>
        <w:rPr>
          <w:b/>
        </w:rPr>
        <w:t>1.42%</w:t>
      </w:r>
      <w:r>
        <w:t xml:space="preserve"> of the reference gap. Under the current instruction it is invested in the Shared Growth Fund, so it closes none of the current payment gap and is instead assessed through the investment and GDP channels below.</w:t>
      </w:r>
    </w:p>
    <w:p>
      <w:pPr>
        <w:pStyle w:val="Heading2"/>
      </w:pPr>
      <w:r>
        <w:t>A3.2 Deposit stock and rates</w:t>
      </w:r>
    </w:p>
    <w:p>
      <w:r>
        <w:t xml:space="preserve">The Bank of England recorded </w:t>
      </w:r>
      <w:r>
        <w:rPr>
          <w:b/>
        </w:rPr>
        <w:t>£1.892 trillion</w:t>
      </w:r>
      <w:r>
        <w:t xml:space="preserve"> of all-currency deposits for individuals and individual trusts in July 2026. A broader household-sector measure, household M4, was </w:t>
      </w:r>
      <w:r>
        <w:rPr>
          <w:b/>
        </w:rPr>
        <w:t>£2.056 trillion</w:t>
      </w:r>
      <w:r>
        <w:t>, although it also includes sole traders, unincorporated businesses and some non-profit institutions.</w:t>
      </w:r>
    </w:p>
    <w:p>
      <w:r>
        <w:t>The following household-sector components provide a workable first estimate.</w:t>
      </w:r>
    </w:p>
    <w:tbl>
      <w:tblPr>
        <w:tblW w:type="dxa" w:w="9144"/>
        <w:jc w:val="center"/>
        <w:tblLayout w:type="fixed"/>
        <w:tblLook w:firstColumn="1" w:firstRow="1" w:lastColumn="0" w:lastRow="0" w:noHBand="0" w:noVBand="1" w:val="04A0"/>
        <w:tblInd w:type="dxa" w:w="110"/>
      </w:tblPr>
      <w:tblGrid>
        <w:gridCol w:w="3390"/>
        <w:gridCol w:w="1233"/>
        <w:gridCol w:w="1952"/>
        <w:gridCol w:w="2569"/>
      </w:tblGrid>
      <w:tr>
        <w:trPr>
          <w:cantSplit/>
          <w:tblHeader w:val="true"/>
        </w:trPr>
        <w:tc>
          <w:tcPr>
            <w:tcW w:type="dxa" w:w="3390"/>
            <w:vAlign w:val="center"/>
            <w:tcMar>
              <w:top w:w="90" w:type="dxa"/>
              <w:start w:w="110" w:type="dxa"/>
              <w:bottom w:w="90" w:type="dxa"/>
              <w:end w:w="110" w:type="dxa"/>
            </w:tcMar>
            <w:shd w:fill="16324F"/>
          </w:tcPr>
          <w:p>
            <w:pPr>
              <w:spacing w:after="0" w:line="252" w:lineRule="auto"/>
              <w:jc w:val="left"/>
            </w:pPr>
            <w:r>
              <w:rPr>
                <w:b/>
                <w:color w:val="FFFFFF"/>
                <w:sz w:val="17"/>
              </w:rPr>
              <w:t>July 2026 component</w:t>
            </w:r>
          </w:p>
        </w:tc>
        <w:tc>
          <w:tcPr>
            <w:tcW w:type="dxa" w:w="1233"/>
            <w:vAlign w:val="center"/>
            <w:tcMar>
              <w:top w:w="90" w:type="dxa"/>
              <w:start w:w="110" w:type="dxa"/>
              <w:bottom w:w="90" w:type="dxa"/>
              <w:end w:w="110" w:type="dxa"/>
            </w:tcMar>
            <w:shd w:fill="16324F"/>
          </w:tcPr>
          <w:p>
            <w:pPr>
              <w:spacing w:after="0" w:line="252" w:lineRule="auto"/>
              <w:jc w:val="left"/>
            </w:pPr>
            <w:r>
              <w:rPr>
                <w:b/>
                <w:color w:val="FFFFFF"/>
                <w:sz w:val="17"/>
              </w:rPr>
              <w:t>Stock</w:t>
            </w:r>
          </w:p>
        </w:tc>
        <w:tc>
          <w:tcPr>
            <w:tcW w:type="dxa" w:w="1952"/>
            <w:vAlign w:val="center"/>
            <w:tcMar>
              <w:top w:w="90" w:type="dxa"/>
              <w:start w:w="110" w:type="dxa"/>
              <w:bottom w:w="90" w:type="dxa"/>
              <w:end w:w="110" w:type="dxa"/>
            </w:tcMar>
            <w:shd w:fill="16324F"/>
          </w:tcPr>
          <w:p>
            <w:pPr>
              <w:spacing w:after="0" w:line="252" w:lineRule="auto"/>
              <w:jc w:val="left"/>
            </w:pPr>
            <w:r>
              <w:rPr>
                <w:b/>
                <w:color w:val="FFFFFF"/>
                <w:sz w:val="17"/>
              </w:rPr>
              <w:t>Effective rate used</w:t>
            </w:r>
          </w:p>
        </w:tc>
        <w:tc>
          <w:tcPr>
            <w:tcW w:type="dxa" w:w="2569"/>
            <w:vAlign w:val="center"/>
            <w:tcMar>
              <w:top w:w="90" w:type="dxa"/>
              <w:start w:w="110" w:type="dxa"/>
              <w:bottom w:w="90" w:type="dxa"/>
              <w:end w:w="110" w:type="dxa"/>
            </w:tcMar>
            <w:shd w:fill="16324F"/>
          </w:tcPr>
          <w:p>
            <w:pPr>
              <w:spacing w:after="0" w:line="252" w:lineRule="auto"/>
              <w:jc w:val="left"/>
            </w:pPr>
            <w:r>
              <w:rPr>
                <w:b/>
                <w:color w:val="FFFFFF"/>
                <w:sz w:val="17"/>
              </w:rPr>
              <w:t>Approximate annual return</w:t>
            </w:r>
          </w:p>
        </w:tc>
      </w:tr>
      <w:tr>
        <w:trPr>
          <w:cantSplit/>
        </w:trPr>
        <w:tc>
          <w:tcPr>
            <w:tcW w:type="dxa" w:w="3390"/>
            <w:vAlign w:val="center"/>
            <w:tcMar>
              <w:top w:w="90" w:type="dxa"/>
              <w:start w:w="110" w:type="dxa"/>
              <w:bottom w:w="90" w:type="dxa"/>
              <w:end w:w="110" w:type="dxa"/>
            </w:tcMar>
          </w:tcPr>
          <w:p>
            <w:pPr>
              <w:spacing w:after="0" w:line="252" w:lineRule="auto"/>
              <w:jc w:val="left"/>
            </w:pPr>
            <w:r>
              <w:rPr>
                <w:color w:val="1E2933"/>
                <w:sz w:val="17"/>
              </w:rPr>
              <w:t>Interest-bearing sight deposits</w:t>
            </w:r>
          </w:p>
        </w:tc>
        <w:tc>
          <w:tcPr>
            <w:tcW w:type="dxa" w:w="1233"/>
            <w:vAlign w:val="center"/>
            <w:tcMar>
              <w:top w:w="90" w:type="dxa"/>
              <w:start w:w="110" w:type="dxa"/>
              <w:bottom w:w="90" w:type="dxa"/>
              <w:end w:w="110" w:type="dxa"/>
            </w:tcMar>
          </w:tcPr>
          <w:p>
            <w:pPr>
              <w:spacing w:after="0" w:line="252" w:lineRule="auto"/>
              <w:jc w:val="left"/>
            </w:pPr>
            <w:r>
              <w:rPr>
                <w:color w:val="1E2933"/>
                <w:sz w:val="17"/>
              </w:rPr>
              <w:t>£910.809bn</w:t>
            </w:r>
          </w:p>
        </w:tc>
        <w:tc>
          <w:tcPr>
            <w:tcW w:type="dxa" w:w="1952"/>
            <w:vAlign w:val="center"/>
            <w:tcMar>
              <w:top w:w="90" w:type="dxa"/>
              <w:start w:w="110" w:type="dxa"/>
              <w:bottom w:w="90" w:type="dxa"/>
              <w:end w:w="110" w:type="dxa"/>
            </w:tcMar>
          </w:tcPr>
          <w:p>
            <w:pPr>
              <w:spacing w:after="0" w:line="252" w:lineRule="auto"/>
              <w:jc w:val="left"/>
            </w:pPr>
            <w:r>
              <w:rPr>
                <w:color w:val="1E2933"/>
                <w:sz w:val="17"/>
              </w:rPr>
              <w:t>1.64%</w:t>
            </w:r>
          </w:p>
        </w:tc>
        <w:tc>
          <w:tcPr>
            <w:tcW w:type="dxa" w:w="2569"/>
            <w:vAlign w:val="center"/>
            <w:tcMar>
              <w:top w:w="90" w:type="dxa"/>
              <w:start w:w="110" w:type="dxa"/>
              <w:bottom w:w="90" w:type="dxa"/>
              <w:end w:w="110" w:type="dxa"/>
            </w:tcMar>
          </w:tcPr>
          <w:p>
            <w:pPr>
              <w:spacing w:after="0" w:line="252" w:lineRule="auto"/>
              <w:jc w:val="left"/>
            </w:pPr>
            <w:r>
              <w:rPr>
                <w:color w:val="1E2933"/>
                <w:sz w:val="17"/>
              </w:rPr>
              <w:t>£14.94bn</w:t>
            </w:r>
          </w:p>
        </w:tc>
      </w:tr>
      <w:tr>
        <w:trPr>
          <w:cantSplit/>
        </w:trPr>
        <w:tc>
          <w:tcPr>
            <w:tcW w:type="dxa" w:w="3390"/>
            <w:vAlign w:val="center"/>
            <w:tcMar>
              <w:top w:w="90" w:type="dxa"/>
              <w:start w:w="110" w:type="dxa"/>
              <w:bottom w:w="90" w:type="dxa"/>
              <w:end w:w="110" w:type="dxa"/>
            </w:tcMar>
            <w:shd w:fill="F7F9FA"/>
          </w:tcPr>
          <w:p>
            <w:pPr>
              <w:spacing w:after="0" w:line="252" w:lineRule="auto"/>
              <w:jc w:val="left"/>
            </w:pPr>
            <w:r>
              <w:rPr>
                <w:color w:val="1E2933"/>
                <w:sz w:val="17"/>
              </w:rPr>
              <w:t>Time deposits excluding cash ISAs</w:t>
            </w:r>
          </w:p>
        </w:tc>
        <w:tc>
          <w:tcPr>
            <w:tcW w:type="dxa" w:w="1233"/>
            <w:vAlign w:val="center"/>
            <w:tcMar>
              <w:top w:w="90" w:type="dxa"/>
              <w:start w:w="110" w:type="dxa"/>
              <w:bottom w:w="90" w:type="dxa"/>
              <w:end w:w="110" w:type="dxa"/>
            </w:tcMar>
            <w:shd w:fill="F7F9FA"/>
          </w:tcPr>
          <w:p>
            <w:pPr>
              <w:spacing w:after="0" w:line="252" w:lineRule="auto"/>
              <w:jc w:val="left"/>
            </w:pPr>
            <w:r>
              <w:rPr>
                <w:color w:val="1E2933"/>
                <w:sz w:val="17"/>
              </w:rPr>
              <w:t>£259.275bn</w:t>
            </w:r>
          </w:p>
        </w:tc>
        <w:tc>
          <w:tcPr>
            <w:tcW w:type="dxa" w:w="1952"/>
            <w:vAlign w:val="center"/>
            <w:tcMar>
              <w:top w:w="90" w:type="dxa"/>
              <w:start w:w="110" w:type="dxa"/>
              <w:bottom w:w="90" w:type="dxa"/>
              <w:end w:w="110" w:type="dxa"/>
            </w:tcMar>
            <w:shd w:fill="F7F9FA"/>
          </w:tcPr>
          <w:p>
            <w:pPr>
              <w:spacing w:after="0" w:line="252" w:lineRule="auto"/>
              <w:jc w:val="left"/>
            </w:pPr>
            <w:r>
              <w:rPr>
                <w:color w:val="1E2933"/>
                <w:sz w:val="17"/>
              </w:rPr>
              <w:t>3.39%</w:t>
            </w:r>
          </w:p>
        </w:tc>
        <w:tc>
          <w:tcPr>
            <w:tcW w:type="dxa" w:w="2569"/>
            <w:vAlign w:val="center"/>
            <w:tcMar>
              <w:top w:w="90" w:type="dxa"/>
              <w:start w:w="110" w:type="dxa"/>
              <w:bottom w:w="90" w:type="dxa"/>
              <w:end w:w="110" w:type="dxa"/>
            </w:tcMar>
            <w:shd w:fill="F7F9FA"/>
          </w:tcPr>
          <w:p>
            <w:pPr>
              <w:spacing w:after="0" w:line="252" w:lineRule="auto"/>
              <w:jc w:val="left"/>
            </w:pPr>
            <w:r>
              <w:rPr>
                <w:color w:val="1E2933"/>
                <w:sz w:val="17"/>
              </w:rPr>
              <w:t>£8.79bn</w:t>
            </w:r>
          </w:p>
        </w:tc>
      </w:tr>
      <w:tr>
        <w:trPr>
          <w:cantSplit/>
        </w:trPr>
        <w:tc>
          <w:tcPr>
            <w:tcW w:type="dxa" w:w="3390"/>
            <w:vAlign w:val="center"/>
            <w:tcMar>
              <w:top w:w="90" w:type="dxa"/>
              <w:start w:w="110" w:type="dxa"/>
              <w:bottom w:w="90" w:type="dxa"/>
              <w:end w:w="110" w:type="dxa"/>
            </w:tcMar>
          </w:tcPr>
          <w:p>
            <w:pPr>
              <w:spacing w:after="0" w:line="252" w:lineRule="auto"/>
              <w:jc w:val="left"/>
            </w:pPr>
            <w:r>
              <w:rPr>
                <w:color w:val="1E2933"/>
                <w:sz w:val="17"/>
              </w:rPr>
              <w:t>Cash ISAs</w:t>
            </w:r>
          </w:p>
        </w:tc>
        <w:tc>
          <w:tcPr>
            <w:tcW w:type="dxa" w:w="1233"/>
            <w:vAlign w:val="center"/>
            <w:tcMar>
              <w:top w:w="90" w:type="dxa"/>
              <w:start w:w="110" w:type="dxa"/>
              <w:bottom w:w="90" w:type="dxa"/>
              <w:end w:w="110" w:type="dxa"/>
            </w:tcMar>
          </w:tcPr>
          <w:p>
            <w:pPr>
              <w:spacing w:after="0" w:line="252" w:lineRule="auto"/>
              <w:jc w:val="left"/>
            </w:pPr>
            <w:r>
              <w:rPr>
                <w:color w:val="1E2933"/>
                <w:sz w:val="17"/>
              </w:rPr>
              <w:t>£483.470bn</w:t>
            </w:r>
          </w:p>
        </w:tc>
        <w:tc>
          <w:tcPr>
            <w:tcW w:type="dxa" w:w="1952"/>
            <w:vAlign w:val="center"/>
            <w:tcMar>
              <w:top w:w="90" w:type="dxa"/>
              <w:start w:w="110" w:type="dxa"/>
              <w:bottom w:w="90" w:type="dxa"/>
              <w:end w:w="110" w:type="dxa"/>
            </w:tcMar>
          </w:tcPr>
          <w:p>
            <w:pPr>
              <w:spacing w:after="0" w:line="252" w:lineRule="auto"/>
              <w:jc w:val="left"/>
            </w:pPr>
            <w:r>
              <w:rPr>
                <w:color w:val="1E2933"/>
                <w:sz w:val="17"/>
              </w:rPr>
              <w:t>3.29%</w:t>
            </w:r>
          </w:p>
        </w:tc>
        <w:tc>
          <w:tcPr>
            <w:tcW w:type="dxa" w:w="2569"/>
            <w:vAlign w:val="center"/>
            <w:tcMar>
              <w:top w:w="90" w:type="dxa"/>
              <w:start w:w="110" w:type="dxa"/>
              <w:bottom w:w="90" w:type="dxa"/>
              <w:end w:w="110" w:type="dxa"/>
            </w:tcMar>
          </w:tcPr>
          <w:p>
            <w:pPr>
              <w:spacing w:after="0" w:line="252" w:lineRule="auto"/>
              <w:jc w:val="left"/>
            </w:pPr>
            <w:r>
              <w:rPr>
                <w:color w:val="1E2933"/>
                <w:sz w:val="17"/>
              </w:rPr>
              <w:t>£15.91bn</w:t>
            </w:r>
          </w:p>
        </w:tc>
      </w:tr>
      <w:tr>
        <w:trPr>
          <w:cantSplit/>
        </w:trPr>
        <w:tc>
          <w:tcPr>
            <w:tcW w:type="dxa" w:w="3390"/>
            <w:vAlign w:val="center"/>
            <w:tcMar>
              <w:top w:w="90" w:type="dxa"/>
              <w:start w:w="110" w:type="dxa"/>
              <w:bottom w:w="90" w:type="dxa"/>
              <w:end w:w="110" w:type="dxa"/>
            </w:tcMar>
            <w:shd w:fill="F7F9FA"/>
          </w:tcPr>
          <w:p>
            <w:pPr>
              <w:spacing w:after="0" w:line="252" w:lineRule="auto"/>
              <w:jc w:val="left"/>
            </w:pPr>
            <w:r>
              <w:rPr>
                <w:b/>
                <w:sz w:val="17"/>
              </w:rPr>
              <w:t>Approximate interest pool</w:t>
            </w:r>
          </w:p>
        </w:tc>
        <w:tc>
          <w:tcPr>
            <w:tcW w:type="dxa" w:w="1233"/>
            <w:vAlign w:val="center"/>
            <w:tcMar>
              <w:top w:w="90" w:type="dxa"/>
              <w:start w:w="110" w:type="dxa"/>
              <w:bottom w:w="90" w:type="dxa"/>
              <w:end w:w="110" w:type="dxa"/>
            </w:tcMar>
            <w:shd w:fill="F7F9FA"/>
          </w:tcPr>
          <w:p>
            <w:pPr>
              <w:spacing w:after="0" w:line="252" w:lineRule="auto"/>
              <w:jc w:val="left"/>
            </w:pPr>
          </w:p>
        </w:tc>
        <w:tc>
          <w:tcPr>
            <w:tcW w:type="dxa" w:w="1952"/>
            <w:vAlign w:val="center"/>
            <w:tcMar>
              <w:top w:w="90" w:type="dxa"/>
              <w:start w:w="110" w:type="dxa"/>
              <w:bottom w:w="90" w:type="dxa"/>
              <w:end w:w="110" w:type="dxa"/>
            </w:tcMar>
            <w:shd w:fill="F7F9FA"/>
          </w:tcPr>
          <w:p>
            <w:pPr>
              <w:spacing w:after="0" w:line="252" w:lineRule="auto"/>
              <w:jc w:val="left"/>
            </w:pPr>
          </w:p>
        </w:tc>
        <w:tc>
          <w:tcPr>
            <w:tcW w:type="dxa" w:w="2569"/>
            <w:vAlign w:val="center"/>
            <w:tcMar>
              <w:top w:w="90" w:type="dxa"/>
              <w:start w:w="110" w:type="dxa"/>
              <w:bottom w:w="90" w:type="dxa"/>
              <w:end w:w="110" w:type="dxa"/>
            </w:tcMar>
            <w:shd w:fill="F7F9FA"/>
          </w:tcPr>
          <w:p>
            <w:pPr>
              <w:spacing w:after="0" w:line="252" w:lineRule="auto"/>
              <w:jc w:val="left"/>
            </w:pPr>
            <w:r>
              <w:rPr>
                <w:b/>
                <w:sz w:val="17"/>
              </w:rPr>
              <w:t>£39.64bn</w:t>
            </w:r>
          </w:p>
        </w:tc>
      </w:tr>
    </w:tbl>
    <w:p>
      <w:pPr>
        <w:spacing w:after="20"/>
      </w:pPr>
    </w:p>
    <w:p>
      <w:r>
        <w:t>Non-interest-bearing deposits and notes and coin do not create a capturable interest flow. Applying one headline interest rate to the full deposit stock would therefore overstate revenue.</w:t>
      </w:r>
    </w:p>
    <w:p>
      <w:r>
        <w:t xml:space="preserve">An ONS cross-check records </w:t>
      </w:r>
      <w:r>
        <w:rPr>
          <w:b/>
        </w:rPr>
        <w:t>£51.763 billion</w:t>
      </w:r>
      <w:r>
        <w:t xml:space="preserve"> of household interest before the allocation of financial intermediation services indirectly measured in 2025. That measure is broader than retail-bank deposits and can include interest on other instruments. It is useful as an upper benchmark, not as an immediately collectible cash pot. The much larger FISIM-adjusted national-accounts series must not be treated as cash interest available to government.</w:t>
      </w:r>
    </w:p>
    <w:p>
      <w:r>
        <w:t xml:space="preserve">Sources: </w:t>
      </w:r>
      <w:r>
        <w:t xml:space="preserve"> </w:t>
      </w:r>
      <w:hyperlink r:id="rId56">
        <w:r>
          <w:rPr>
            <w:color w:val="006D77"/>
            <w:u w:val="single"/>
          </w:rPr>
          <w:t>[40]</w:t>
        </w:r>
      </w:hyperlink>
      <w:r>
        <w:t xml:space="preserve">, </w:t>
      </w:r>
      <w:r>
        <w:t xml:space="preserve"> </w:t>
      </w:r>
      <w:hyperlink r:id="rId57">
        <w:r>
          <w:rPr>
            <w:color w:val="006D77"/>
            <w:u w:val="single"/>
          </w:rPr>
          <w:t>[41]</w:t>
        </w:r>
      </w:hyperlink>
      <w:r>
        <w:t xml:space="preserve">, </w:t>
      </w:r>
      <w:r>
        <w:t xml:space="preserve"> </w:t>
      </w:r>
      <w:hyperlink r:id="rId58">
        <w:r>
          <w:rPr>
            <w:color w:val="006D77"/>
            <w:u w:val="single"/>
          </w:rPr>
          <w:t>[42]</w:t>
        </w:r>
      </w:hyperlink>
      <w:r>
        <w:t>.</w:t>
      </w:r>
    </w:p>
    <w:p>
      <w:r>
        <w:t xml:space="preserve">This £39.64 billion uses observed outstanding retail rates because no statutory reference schedule yet exists. It is a transparent </w:t>
      </w:r>
      <w:r>
        <w:rPr>
          <w:b/>
        </w:rPr>
        <w:t>proxy</w:t>
      </w:r>
      <w:r>
        <w:t>, not the final regulatory EGSR. A SONIA/OIS-based funding-benefit schedule could be materially higher or lower for a given product, so the 12-month shadow return must recalculate every figure before legislation starts collecting money.</w:t>
      </w:r>
    </w:p>
    <w:p>
      <w:pPr>
        <w:pStyle w:val="Heading2"/>
      </w:pPr>
      <w:r>
        <w:t>A3.3 Tax overlap</w:t>
      </w:r>
    </w:p>
    <w:p>
      <w:r>
        <w:t xml:space="preserve">HMRC's rounded forecast implies approximately </w:t>
      </w:r>
      <w:r>
        <w:rPr>
          <w:b/>
        </w:rPr>
        <w:t>£6.1 billion of Income Tax liabilities on savings interest in 2025-26</w:t>
      </w:r>
      <w:r>
        <w:t>. If interest is assigned to the public fund before it belongs to the saver, that existing tax receipt disappears and must be subtracted from CIC revenue.</w:t>
      </w:r>
    </w:p>
    <w:p>
      <w:r>
        <w:t>The Personal Savings Allowance and ISA tax-relief estimates must not then be added as separate savings. HMRC expressly cautions that the estimated cost of a relief is not necessarily the amount the Exchequer would obtain if the relief were removed.</w:t>
      </w:r>
    </w:p>
    <w:p>
      <w:r>
        <w:t xml:space="preserve">Sources: </w:t>
      </w:r>
      <w:r>
        <w:t xml:space="preserve"> </w:t>
      </w:r>
      <w:hyperlink r:id="rId59">
        <w:r>
          <w:rPr>
            <w:color w:val="006D77"/>
            <w:u w:val="single"/>
          </w:rPr>
          <w:t>[43]</w:t>
        </w:r>
      </w:hyperlink>
      <w:r>
        <w:t xml:space="preserve">, </w:t>
      </w:r>
      <w:r>
        <w:t xml:space="preserve"> </w:t>
      </w:r>
      <w:hyperlink r:id="rId60">
        <w:r>
          <w:rPr>
            <w:color w:val="006D77"/>
            <w:u w:val="single"/>
          </w:rPr>
          <w:t>[44]</w:t>
        </w:r>
      </w:hyperlink>
      <w:r>
        <w:t xml:space="preserve">, </w:t>
      </w:r>
      <w:r>
        <w:t xml:space="preserve"> </w:t>
      </w:r>
      <w:hyperlink r:id="rId61">
        <w:r>
          <w:rPr>
            <w:color w:val="006D77"/>
            <w:u w:val="single"/>
          </w:rPr>
          <w:t>[45]</w:t>
        </w:r>
      </w:hyperlink>
      <w:r>
        <w:t>.</w:t>
      </w:r>
    </w:p>
    <w:p>
      <w:pPr>
        <w:pStyle w:val="Heading2"/>
      </w:pPr>
      <w:r>
        <w:t>A3.4 The 75% floor: static and behavioural cases</w:t>
      </w:r>
    </w:p>
    <w:tbl>
      <w:tblPr>
        <w:tblW w:type="dxa" w:w="9144"/>
        <w:jc w:val="center"/>
        <w:tblLayout w:type="fixed"/>
        <w:tblLook w:firstColumn="1" w:firstRow="1" w:lastColumn="0" w:lastRow="0" w:noHBand="0" w:noVBand="1" w:val="04A0"/>
        <w:tblInd w:type="dxa" w:w="110"/>
      </w:tblPr>
      <w:tblGrid>
        <w:gridCol w:w="3302"/>
        <w:gridCol w:w="1016"/>
        <w:gridCol w:w="2455"/>
        <w:gridCol w:w="2371"/>
      </w:tblGrid>
      <w:tr>
        <w:trPr>
          <w:cantSplit/>
          <w:tblHeader w:val="true"/>
        </w:trPr>
        <w:tc>
          <w:tcPr>
            <w:tcW w:type="dxa" w:w="3302"/>
            <w:vAlign w:val="center"/>
            <w:tcMar>
              <w:top w:w="90" w:type="dxa"/>
              <w:start w:w="110" w:type="dxa"/>
              <w:bottom w:w="90" w:type="dxa"/>
              <w:end w:w="110" w:type="dxa"/>
            </w:tcMar>
            <w:shd w:fill="16324F"/>
          </w:tcPr>
          <w:p>
            <w:pPr>
              <w:spacing w:after="0" w:line="252" w:lineRule="auto"/>
              <w:jc w:val="left"/>
            </w:pPr>
            <w:r>
              <w:rPr>
                <w:b/>
                <w:color w:val="FFFFFF"/>
                <w:sz w:val="17"/>
              </w:rPr>
              <w:t>Effective eligible-return base retained</w:t>
            </w:r>
          </w:p>
        </w:tc>
        <w:tc>
          <w:tcPr>
            <w:tcW w:type="dxa" w:w="1016"/>
            <w:vAlign w:val="center"/>
            <w:tcMar>
              <w:top w:w="90" w:type="dxa"/>
              <w:start w:w="110" w:type="dxa"/>
              <w:bottom w:w="90" w:type="dxa"/>
              <w:end w:w="110" w:type="dxa"/>
            </w:tcMar>
            <w:shd w:fill="16324F"/>
          </w:tcPr>
          <w:p>
            <w:pPr>
              <w:spacing w:after="0" w:line="252" w:lineRule="auto"/>
              <w:jc w:val="left"/>
            </w:pPr>
            <w:r>
              <w:rPr>
                <w:b/>
                <w:color w:val="FFFFFF"/>
                <w:sz w:val="17"/>
              </w:rPr>
              <w:t>EGSR proxy</w:t>
            </w:r>
          </w:p>
        </w:tc>
        <w:tc>
          <w:tcPr>
            <w:tcW w:type="dxa" w:w="2455"/>
            <w:vAlign w:val="center"/>
            <w:tcMar>
              <w:top w:w="90" w:type="dxa"/>
              <w:start w:w="110" w:type="dxa"/>
              <w:bottom w:w="90" w:type="dxa"/>
              <w:end w:w="110" w:type="dxa"/>
            </w:tcMar>
            <w:shd w:fill="16324F"/>
          </w:tcPr>
          <w:p>
            <w:pPr>
              <w:spacing w:after="0" w:line="252" w:lineRule="auto"/>
              <w:jc w:val="left"/>
            </w:pPr>
            <w:r>
              <w:rPr>
                <w:b/>
                <w:color w:val="FFFFFF"/>
                <w:sz w:val="17"/>
              </w:rPr>
              <w:t>Minimum Fund remittance (75%)</w:t>
            </w:r>
          </w:p>
        </w:tc>
        <w:tc>
          <w:tcPr>
            <w:tcW w:type="dxa" w:w="2371"/>
            <w:vAlign w:val="center"/>
            <w:tcMar>
              <w:top w:w="90" w:type="dxa"/>
              <w:start w:w="110" w:type="dxa"/>
              <w:bottom w:w="90" w:type="dxa"/>
              <w:end w:w="110" w:type="dxa"/>
            </w:tcMar>
            <w:shd w:fill="16324F"/>
          </w:tcPr>
          <w:p>
            <w:pPr>
              <w:spacing w:after="0" w:line="252" w:lineRule="auto"/>
              <w:jc w:val="left"/>
            </w:pPr>
            <w:r>
              <w:rPr>
                <w:b/>
                <w:color w:val="FFFFFF"/>
                <w:sz w:val="17"/>
              </w:rPr>
              <w:t>Maximum bank allowance (25%)</w:t>
            </w:r>
          </w:p>
        </w:tc>
      </w:tr>
      <w:tr>
        <w:trPr>
          <w:cantSplit/>
        </w:trPr>
        <w:tc>
          <w:tcPr>
            <w:tcW w:type="dxa" w:w="3302"/>
            <w:vAlign w:val="center"/>
            <w:tcMar>
              <w:top w:w="90" w:type="dxa"/>
              <w:start w:w="110" w:type="dxa"/>
              <w:bottom w:w="90" w:type="dxa"/>
              <w:end w:w="110" w:type="dxa"/>
            </w:tcMar>
          </w:tcPr>
          <w:p>
            <w:pPr>
              <w:spacing w:after="0" w:line="252" w:lineRule="auto"/>
              <w:jc w:val="left"/>
            </w:pPr>
            <w:r>
              <w:rPr>
                <w:color w:val="1E2933"/>
                <w:sz w:val="17"/>
              </w:rPr>
              <w:t>100% - static case</w:t>
            </w:r>
          </w:p>
        </w:tc>
        <w:tc>
          <w:tcPr>
            <w:tcW w:type="dxa" w:w="1016"/>
            <w:vAlign w:val="center"/>
            <w:tcMar>
              <w:top w:w="90" w:type="dxa"/>
              <w:start w:w="110" w:type="dxa"/>
              <w:bottom w:w="90" w:type="dxa"/>
              <w:end w:w="110" w:type="dxa"/>
            </w:tcMar>
          </w:tcPr>
          <w:p>
            <w:pPr>
              <w:spacing w:after="0" w:line="252" w:lineRule="auto"/>
              <w:jc w:val="left"/>
            </w:pPr>
            <w:r>
              <w:rPr>
                <w:color w:val="1E2933"/>
                <w:sz w:val="17"/>
              </w:rPr>
              <w:t>£39.64bn</w:t>
            </w:r>
          </w:p>
        </w:tc>
        <w:tc>
          <w:tcPr>
            <w:tcW w:type="dxa" w:w="2455"/>
            <w:vAlign w:val="center"/>
            <w:tcMar>
              <w:top w:w="90" w:type="dxa"/>
              <w:start w:w="110" w:type="dxa"/>
              <w:bottom w:w="90" w:type="dxa"/>
              <w:end w:w="110" w:type="dxa"/>
            </w:tcMar>
          </w:tcPr>
          <w:p>
            <w:pPr>
              <w:spacing w:after="0" w:line="252" w:lineRule="auto"/>
              <w:jc w:val="left"/>
            </w:pPr>
            <w:r>
              <w:rPr>
                <w:color w:val="1E2933"/>
                <w:sz w:val="17"/>
              </w:rPr>
              <w:t>£29.73bn</w:t>
            </w:r>
          </w:p>
        </w:tc>
        <w:tc>
          <w:tcPr>
            <w:tcW w:type="dxa" w:w="2371"/>
            <w:vAlign w:val="center"/>
            <w:tcMar>
              <w:top w:w="90" w:type="dxa"/>
              <w:start w:w="110" w:type="dxa"/>
              <w:bottom w:w="90" w:type="dxa"/>
              <w:end w:w="110" w:type="dxa"/>
            </w:tcMar>
          </w:tcPr>
          <w:p>
            <w:pPr>
              <w:spacing w:after="0" w:line="252" w:lineRule="auto"/>
              <w:jc w:val="left"/>
            </w:pPr>
            <w:r>
              <w:rPr>
                <w:color w:val="1E2933"/>
                <w:sz w:val="17"/>
              </w:rPr>
              <w:t>£9.91bn</w:t>
            </w:r>
          </w:p>
        </w:tc>
      </w:tr>
      <w:tr>
        <w:trPr>
          <w:cantSplit/>
        </w:trPr>
        <w:tc>
          <w:tcPr>
            <w:tcW w:type="dxa" w:w="3302"/>
            <w:vAlign w:val="center"/>
            <w:tcMar>
              <w:top w:w="90" w:type="dxa"/>
              <w:start w:w="110" w:type="dxa"/>
              <w:bottom w:w="90" w:type="dxa"/>
              <w:end w:w="110" w:type="dxa"/>
            </w:tcMar>
            <w:shd w:fill="F7F9FA"/>
          </w:tcPr>
          <w:p>
            <w:pPr>
              <w:spacing w:after="0" w:line="252" w:lineRule="auto"/>
              <w:jc w:val="left"/>
            </w:pPr>
            <w:r>
              <w:rPr>
                <w:color w:val="1E2933"/>
                <w:sz w:val="17"/>
              </w:rPr>
              <w:t>90% - mild switching or repricing</w:t>
            </w:r>
          </w:p>
        </w:tc>
        <w:tc>
          <w:tcPr>
            <w:tcW w:type="dxa" w:w="1016"/>
            <w:vAlign w:val="center"/>
            <w:tcMar>
              <w:top w:w="90" w:type="dxa"/>
              <w:start w:w="110" w:type="dxa"/>
              <w:bottom w:w="90" w:type="dxa"/>
              <w:end w:w="110" w:type="dxa"/>
            </w:tcMar>
            <w:shd w:fill="F7F9FA"/>
          </w:tcPr>
          <w:p>
            <w:pPr>
              <w:spacing w:after="0" w:line="252" w:lineRule="auto"/>
              <w:jc w:val="left"/>
            </w:pPr>
            <w:r>
              <w:rPr>
                <w:color w:val="1E2933"/>
                <w:sz w:val="17"/>
              </w:rPr>
              <w:t>£35.68bn</w:t>
            </w:r>
          </w:p>
        </w:tc>
        <w:tc>
          <w:tcPr>
            <w:tcW w:type="dxa" w:w="2455"/>
            <w:vAlign w:val="center"/>
            <w:tcMar>
              <w:top w:w="90" w:type="dxa"/>
              <w:start w:w="110" w:type="dxa"/>
              <w:bottom w:w="90" w:type="dxa"/>
              <w:end w:w="110" w:type="dxa"/>
            </w:tcMar>
            <w:shd w:fill="F7F9FA"/>
          </w:tcPr>
          <w:p>
            <w:pPr>
              <w:spacing w:after="0" w:line="252" w:lineRule="auto"/>
              <w:jc w:val="left"/>
            </w:pPr>
            <w:r>
              <w:rPr>
                <w:color w:val="1E2933"/>
                <w:sz w:val="17"/>
              </w:rPr>
              <w:t>£26.76bn</w:t>
            </w:r>
          </w:p>
        </w:tc>
        <w:tc>
          <w:tcPr>
            <w:tcW w:type="dxa" w:w="2371"/>
            <w:vAlign w:val="center"/>
            <w:tcMar>
              <w:top w:w="90" w:type="dxa"/>
              <w:start w:w="110" w:type="dxa"/>
              <w:bottom w:w="90" w:type="dxa"/>
              <w:end w:w="110" w:type="dxa"/>
            </w:tcMar>
            <w:shd w:fill="F7F9FA"/>
          </w:tcPr>
          <w:p>
            <w:pPr>
              <w:spacing w:after="0" w:line="252" w:lineRule="auto"/>
              <w:jc w:val="left"/>
            </w:pPr>
            <w:r>
              <w:rPr>
                <w:color w:val="1E2933"/>
                <w:sz w:val="17"/>
              </w:rPr>
              <w:t>£8.92bn</w:t>
            </w:r>
          </w:p>
        </w:tc>
      </w:tr>
      <w:tr>
        <w:trPr>
          <w:cantSplit/>
        </w:trPr>
        <w:tc>
          <w:tcPr>
            <w:tcW w:type="dxa" w:w="3302"/>
            <w:vAlign w:val="center"/>
            <w:tcMar>
              <w:top w:w="90" w:type="dxa"/>
              <w:start w:w="110" w:type="dxa"/>
              <w:bottom w:w="90" w:type="dxa"/>
              <w:end w:w="110" w:type="dxa"/>
            </w:tcMar>
          </w:tcPr>
          <w:p>
            <w:pPr>
              <w:spacing w:after="0" w:line="252" w:lineRule="auto"/>
              <w:jc w:val="left"/>
            </w:pPr>
            <w:r>
              <w:rPr>
                <w:color w:val="1E2933"/>
                <w:sz w:val="17"/>
              </w:rPr>
              <w:t>65% - material switching</w:t>
            </w:r>
          </w:p>
        </w:tc>
        <w:tc>
          <w:tcPr>
            <w:tcW w:type="dxa" w:w="1016"/>
            <w:vAlign w:val="center"/>
            <w:tcMar>
              <w:top w:w="90" w:type="dxa"/>
              <w:start w:w="110" w:type="dxa"/>
              <w:bottom w:w="90" w:type="dxa"/>
              <w:end w:w="110" w:type="dxa"/>
            </w:tcMar>
          </w:tcPr>
          <w:p>
            <w:pPr>
              <w:spacing w:after="0" w:line="252" w:lineRule="auto"/>
              <w:jc w:val="left"/>
            </w:pPr>
            <w:r>
              <w:rPr>
                <w:color w:val="1E2933"/>
                <w:sz w:val="17"/>
              </w:rPr>
              <w:t>£25.77bn</w:t>
            </w:r>
          </w:p>
        </w:tc>
        <w:tc>
          <w:tcPr>
            <w:tcW w:type="dxa" w:w="2455"/>
            <w:vAlign w:val="center"/>
            <w:tcMar>
              <w:top w:w="90" w:type="dxa"/>
              <w:start w:w="110" w:type="dxa"/>
              <w:bottom w:w="90" w:type="dxa"/>
              <w:end w:w="110" w:type="dxa"/>
            </w:tcMar>
          </w:tcPr>
          <w:p>
            <w:pPr>
              <w:spacing w:after="0" w:line="252" w:lineRule="auto"/>
              <w:jc w:val="left"/>
            </w:pPr>
            <w:r>
              <w:rPr>
                <w:color w:val="1E2933"/>
                <w:sz w:val="17"/>
              </w:rPr>
              <w:t>£19.32bn</w:t>
            </w:r>
          </w:p>
        </w:tc>
        <w:tc>
          <w:tcPr>
            <w:tcW w:type="dxa" w:w="2371"/>
            <w:vAlign w:val="center"/>
            <w:tcMar>
              <w:top w:w="90" w:type="dxa"/>
              <w:start w:w="110" w:type="dxa"/>
              <w:bottom w:w="90" w:type="dxa"/>
              <w:end w:w="110" w:type="dxa"/>
            </w:tcMar>
          </w:tcPr>
          <w:p>
            <w:pPr>
              <w:spacing w:after="0" w:line="252" w:lineRule="auto"/>
              <w:jc w:val="left"/>
            </w:pPr>
            <w:r>
              <w:rPr>
                <w:color w:val="1E2933"/>
                <w:sz w:val="17"/>
              </w:rPr>
              <w:t>£6.44bn</w:t>
            </w:r>
          </w:p>
        </w:tc>
      </w:tr>
      <w:tr>
        <w:trPr>
          <w:cantSplit/>
        </w:trPr>
        <w:tc>
          <w:tcPr>
            <w:tcW w:type="dxa" w:w="3302"/>
            <w:vAlign w:val="center"/>
            <w:tcMar>
              <w:top w:w="90" w:type="dxa"/>
              <w:start w:w="110" w:type="dxa"/>
              <w:bottom w:w="90" w:type="dxa"/>
              <w:end w:w="110" w:type="dxa"/>
            </w:tcMar>
            <w:shd w:fill="F7F9FA"/>
          </w:tcPr>
          <w:p>
            <w:pPr>
              <w:spacing w:after="0" w:line="252" w:lineRule="auto"/>
              <w:jc w:val="left"/>
            </w:pPr>
            <w:r>
              <w:rPr>
                <w:color w:val="1E2933"/>
                <w:sz w:val="17"/>
              </w:rPr>
              <w:t>40% - severe avoidance or flight</w:t>
            </w:r>
          </w:p>
        </w:tc>
        <w:tc>
          <w:tcPr>
            <w:tcW w:type="dxa" w:w="1016"/>
            <w:vAlign w:val="center"/>
            <w:tcMar>
              <w:top w:w="90" w:type="dxa"/>
              <w:start w:w="110" w:type="dxa"/>
              <w:bottom w:w="90" w:type="dxa"/>
              <w:end w:w="110" w:type="dxa"/>
            </w:tcMar>
            <w:shd w:fill="F7F9FA"/>
          </w:tcPr>
          <w:p>
            <w:pPr>
              <w:spacing w:after="0" w:line="252" w:lineRule="auto"/>
              <w:jc w:val="left"/>
            </w:pPr>
            <w:r>
              <w:rPr>
                <w:color w:val="1E2933"/>
                <w:sz w:val="17"/>
              </w:rPr>
              <w:t>£15.86bn</w:t>
            </w:r>
          </w:p>
        </w:tc>
        <w:tc>
          <w:tcPr>
            <w:tcW w:type="dxa" w:w="2455"/>
            <w:vAlign w:val="center"/>
            <w:tcMar>
              <w:top w:w="90" w:type="dxa"/>
              <w:start w:w="110" w:type="dxa"/>
              <w:bottom w:w="90" w:type="dxa"/>
              <w:end w:w="110" w:type="dxa"/>
            </w:tcMar>
            <w:shd w:fill="F7F9FA"/>
          </w:tcPr>
          <w:p>
            <w:pPr>
              <w:spacing w:after="0" w:line="252" w:lineRule="auto"/>
              <w:jc w:val="left"/>
            </w:pPr>
            <w:r>
              <w:rPr>
                <w:color w:val="1E2933"/>
                <w:sz w:val="17"/>
              </w:rPr>
              <w:t>£11.89bn</w:t>
            </w:r>
          </w:p>
        </w:tc>
        <w:tc>
          <w:tcPr>
            <w:tcW w:type="dxa" w:w="2371"/>
            <w:vAlign w:val="center"/>
            <w:tcMar>
              <w:top w:w="90" w:type="dxa"/>
              <w:start w:w="110" w:type="dxa"/>
              <w:bottom w:w="90" w:type="dxa"/>
              <w:end w:w="110" w:type="dxa"/>
            </w:tcMar>
            <w:shd w:fill="F7F9FA"/>
          </w:tcPr>
          <w:p>
            <w:pPr>
              <w:spacing w:after="0" w:line="252" w:lineRule="auto"/>
              <w:jc w:val="left"/>
            </w:pPr>
            <w:r>
              <w:rPr>
                <w:color w:val="1E2933"/>
                <w:sz w:val="17"/>
              </w:rPr>
              <w:t>£3.96bn</w:t>
            </w:r>
          </w:p>
        </w:tc>
      </w:tr>
    </w:tbl>
    <w:p>
      <w:pPr>
        <w:spacing w:after="20"/>
      </w:pPr>
    </w:p>
    <w:p>
      <w:r>
        <w:t>These are sensitivity tests, not forecasts. The Fund column is a statutory minimum before public costs; the bank column is a maximum and may be lower under the standard-cost test. Interest rates, balances and asset switching must be allowed to change every year.</w:t>
      </w:r>
    </w:p>
    <w:p>
      <w:r>
        <w:t xml:space="preserve">In the static case, subtracting the approximate </w:t>
      </w:r>
      <w:r>
        <w:rPr>
          <w:b/>
        </w:rPr>
        <w:t>£6.1 billion</w:t>
      </w:r>
      <w:r>
        <w:t xml:space="preserve"> displaced savings-tax baseline from the </w:t>
      </w:r>
      <w:r>
        <w:rPr>
          <w:b/>
        </w:rPr>
        <w:t>£29.73 billion</w:t>
      </w:r>
      <w:r>
        <w:t xml:space="preserve"> Fund remittance leaves a preliminary </w:t>
      </w:r>
      <w:r>
        <w:rPr>
          <w:b/>
        </w:rPr>
        <w:t>£23.63 billion</w:t>
      </w:r>
      <w:r>
        <w:t xml:space="preserve"> annual public inflow before administration, guarantees, litigation, transition and behaviour. That would equal only about </w:t>
      </w:r>
      <w:r>
        <w:rPr>
          <w:b/>
        </w:rPr>
        <w:t>1.42%</w:t>
      </w:r>
      <w:r>
        <w:t xml:space="preserve"> of the £1.6655 trillion reference Universal Payment gap if spent on the payment. If it is invested by the Growth Fund, it cannot also be booked as current payment finance.</w:t>
      </w:r>
    </w:p>
    <w:p>
      <w:r>
        <w:t xml:space="preserve">The ten-year reference scenario does not assume the static base survives unchanged. It retains 65% of the eligible-return base, yielding approximately </w:t>
      </w:r>
      <w:r>
        <w:rPr>
          <w:b/>
        </w:rPr>
        <w:t>£15.36 billion before a 5% operating and loss reserve</w:t>
      </w:r>
      <w:r>
        <w:t xml:space="preserve">, or </w:t>
      </w:r>
      <w:r>
        <w:rPr>
          <w:b/>
        </w:rPr>
        <w:t>£14.59 billion available to the Fund each mature year</w:t>
      </w:r>
      <w:r>
        <w:t>. The corresponding preliminary net amounts are about £21.27 billion at 90% base retention and £9.45 billion at 40%, before their scenario-specific costs.</w:t>
      </w:r>
    </w:p>
    <w:p>
      <w:r>
        <w:t xml:space="preserve">The broader ONS-interest cross-check would produce a minimum 75% remittance of </w:t>
      </w:r>
      <w:r>
        <w:rPr>
          <w:b/>
        </w:rPr>
        <w:t>£38.82 billion</w:t>
      </w:r>
      <w:r>
        <w:t xml:space="preserve">, or </w:t>
      </w:r>
      <w:r>
        <w:rPr>
          <w:b/>
        </w:rPr>
        <w:t>£32.72 billion after the same tax-overlap adjustment</w:t>
      </w:r>
      <w:r>
        <w:t>, before other costs. Because that series includes more than readily identifiable retail deposits, it remains an upper benchmark rather than the core cash estimate.</w:t>
      </w:r>
    </w:p>
    <w:p>
      <w:pPr>
        <w:pStyle w:val="Heading2"/>
      </w:pPr>
      <w:r>
        <w:t>A3.5 Who currently receives the interest</w:t>
      </w:r>
    </w:p>
    <w:p>
      <w:r>
        <w:t>The distribution evidence supports the proposition that cash interest is small for many people, but it also shows why safeguards are necessary.</w:t>
      </w:r>
    </w:p>
    <w:p>
      <w:pPr>
        <w:pStyle w:val="ListBullet"/>
      </w:pPr>
      <w:r>
        <w:t>FCA Financial Lives 2024 found that 90% of adults had some broadly defined cash savings.</w:t>
      </w:r>
    </w:p>
    <w:p>
      <w:pPr>
        <w:pStyle w:val="ListBullet"/>
      </w:pPr>
      <w:r>
        <w:t xml:space="preserve">The median band among people with savings was only </w:t>
      </w:r>
      <w:r>
        <w:rPr>
          <w:b/>
        </w:rPr>
        <w:t>£5,000 to £5,999</w:t>
      </w:r>
      <w:r>
        <w:t>.</w:t>
      </w:r>
    </w:p>
    <w:p>
      <w:pPr>
        <w:pStyle w:val="ListBullet"/>
      </w:pPr>
      <w:r>
        <w:rPr>
          <w:b/>
        </w:rPr>
        <w:t>29%</w:t>
      </w:r>
      <w:r>
        <w:t xml:space="preserve"> of adults had no investible assets or less than £1,000; the proportion was higher for low-income and unemployed adults.</w:t>
      </w:r>
    </w:p>
    <w:p>
      <w:pPr>
        <w:pStyle w:val="ListBullet"/>
      </w:pPr>
      <w:r>
        <w:t xml:space="preserve">At a 1.65% sight-deposit rate, £5,000 produces only </w:t>
      </w:r>
      <w:r>
        <w:rPr>
          <w:b/>
        </w:rPr>
        <w:t>£82.50 a year</w:t>
      </w:r>
      <w:r>
        <w:t>.</w:t>
      </w:r>
    </w:p>
    <w:p>
      <w:pPr>
        <w:pStyle w:val="ListBullet"/>
      </w:pPr>
      <w:r>
        <w:t>At the same time, cautious older or disabled savers and people building a housing deposit may depend more heavily on safe cash than wealthier investors able to switch asset class.</w:t>
      </w:r>
    </w:p>
    <w:p>
      <w:r>
        <w:t xml:space="preserve">Source: </w:t>
      </w:r>
      <w:r>
        <w:t xml:space="preserve"> </w:t>
      </w:r>
      <w:hyperlink r:id="rId62">
        <w:r>
          <w:rPr>
            <w:color w:val="006D77"/>
            <w:u w:val="single"/>
          </w:rPr>
          <w:t>[46]</w:t>
        </w:r>
      </w:hyperlink>
      <w:r>
        <w:t>.</w:t>
      </w:r>
    </w:p>
    <w:p>
      <w:pPr>
        <w:pStyle w:val="Heading2"/>
      </w:pPr>
      <w:r>
        <w:t>A3.6 Bank-model concentration risk</w:t>
      </w:r>
    </w:p>
    <w:p>
      <w:r>
        <w:t xml:space="preserve">A maximum 25% allowance is a democratic policy choice, not evidence that every deposit-taker can absorb the change safely. In the FCA's analysed sample, savings funded about </w:t>
      </w:r>
      <w:r>
        <w:rPr>
          <w:b/>
        </w:rPr>
        <w:t>74% of building-society liabilities</w:t>
      </w:r>
      <w:r>
        <w:t xml:space="preserve">, compared with </w:t>
      </w:r>
      <w:r>
        <w:rPr>
          <w:b/>
        </w:rPr>
        <w:t>29% for the big four banks</w:t>
      </w:r>
      <w:r>
        <w:t xml:space="preserve"> and </w:t>
      </w:r>
      <w:r>
        <w:rPr>
          <w:b/>
        </w:rPr>
        <w:t>42% for scale challengers</w:t>
      </w:r>
      <w:r>
        <w:t>. Savings profit-before-tax margins were also much narrower than headline net-interest margins. A uniform rule can therefore hit mutuals and specialist lenders very differently.</w:t>
      </w:r>
    </w:p>
    <w:p>
      <w:r>
        <w:t xml:space="preserve">The answer should not be a private waiver that reduces the public below 75%. It should be a 12-month shadow calculation, firm-type stress tests, gradual inclusion of product classes, grandfathering of fixed terms, and equal access for qualifying lenders to a priced and transparent public liquidity or refinancing facility. Unpaid remittances should rank behind protected depositors in insolvency. Source: </w:t>
      </w:r>
      <w:r>
        <w:t xml:space="preserve"> </w:t>
      </w:r>
      <w:hyperlink r:id="rId46">
        <w:r>
          <w:rPr>
            <w:color w:val="006D77"/>
            <w:u w:val="single"/>
          </w:rPr>
          <w:t>[30]</w:t>
        </w:r>
      </w:hyperlink>
      <w:r>
        <w:t>.</w:t>
      </w:r>
    </w:p>
    <w:p>
      <w:pPr>
        <w:pStyle w:val="Heading1"/>
      </w:pPr>
      <w:r>
        <w:t>A4. Inflation and real ownership</w:t>
      </w:r>
    </w:p>
    <w:p>
      <w:r>
        <w:t xml:space="preserve">Keeping the same number of pounds is not the same as preserving purchasing power. At the Bank of England's 2% inflation target, £10,000 receiving no return has purchasing power equivalent to about </w:t>
      </w:r>
      <w:r>
        <w:rPr>
          <w:b/>
        </w:rPr>
        <w:t>£8,203</w:t>
      </w:r>
      <w:r>
        <w:t xml:space="preserve"> after ten years.</w:t>
      </w:r>
    </w:p>
    <w:p>
      <w:r>
        <w:t>This produces two policy versions that must be shown separately.</w:t>
      </w:r>
    </w:p>
    <w:p>
      <w:pPr>
        <w:pStyle w:val="Heading2"/>
      </w:pPr>
      <w:r>
        <w:t>Version A - literal 75% floor</w:t>
      </w:r>
    </w:p>
    <w:p>
      <w:pPr>
        <w:pStyle w:val="ListBullet"/>
      </w:pPr>
      <w:r>
        <w:t>The Growth Fund receives at least 75% of EGSR and the bank receives no more than its 25% regulated allowance.</w:t>
      </w:r>
    </w:p>
    <w:p>
      <w:pPr>
        <w:pStyle w:val="ListBullet"/>
      </w:pPr>
      <w:r>
        <w:t>The saver keeps nominal principal but receives none of EGSR and bears all inflation erosion.</w:t>
      </w:r>
    </w:p>
    <w:p>
      <w:pPr>
        <w:pStyle w:val="ListBullet"/>
      </w:pPr>
      <w:r>
        <w:t>The provider's unused allowance returns to the Fund; it is not private windfall capacity.</w:t>
      </w:r>
    </w:p>
    <w:p>
      <w:pPr>
        <w:pStyle w:val="ListBullet"/>
      </w:pPr>
      <w:r>
        <w:t>This creates the greatest switching, legal proportionality, equality, bank-funding and monetary-transmission risks.</w:t>
      </w:r>
    </w:p>
    <w:p>
      <w:pPr>
        <w:pStyle w:val="Heading2"/>
      </w:pPr>
      <w:r>
        <w:t>Version B - capital-preservation safeguard</w:t>
      </w:r>
    </w:p>
    <w:p>
      <w:pPr>
        <w:pStyle w:val="ListBullet"/>
      </w:pPr>
      <w:r>
        <w:t>A defined emergency tier retains either CPI indexation or a protected return.</w:t>
      </w:r>
    </w:p>
    <w:p>
      <w:pPr>
        <w:pStyle w:val="ListBullet"/>
      </w:pPr>
      <w:r>
        <w:t>The 75/25 allocation applies only to the return remaining after that statutory protection.</w:t>
      </w:r>
    </w:p>
    <w:p>
      <w:pPr>
        <w:pStyle w:val="ListBullet"/>
      </w:pPr>
      <w:r>
        <w:t>This produces lower public receipts but makes the claim that people's savings are preserved economically more defensible.</w:t>
      </w:r>
    </w:p>
    <w:p>
      <w:r>
        <w:t xml:space="preserve">A third route is an initially voluntary </w:t>
      </w:r>
      <w:r>
        <w:rPr>
          <w:b/>
        </w:rPr>
        <w:t>UK Common Growth Account</w:t>
      </w:r>
      <w:r>
        <w:t xml:space="preserve"> with sovereign security and full disclosure. It would reveal how much support exists without forcing an immediate migration across the whole banking system.</w:t>
      </w:r>
    </w:p>
    <w:p>
      <w:r>
        <w:t xml:space="preserve">No accrued interest should be taken retrospectively and no existing fixed-term contract should be rewritten after the event. A compulsory scheme should apply prospectively, include a transition, and receive an Equality Act and human-rights proportionality assessment. Article 1 of Protocol No. 1 permits taxation in the public interest but still requires a fair and lawful balance. Sources: </w:t>
      </w:r>
      <w:r>
        <w:t xml:space="preserve"> </w:t>
      </w:r>
      <w:hyperlink r:id="rId63">
        <w:r>
          <w:rPr>
            <w:color w:val="006D77"/>
            <w:u w:val="single"/>
          </w:rPr>
          <w:t>[47]</w:t>
        </w:r>
      </w:hyperlink>
      <w:r>
        <w:t xml:space="preserve">, </w:t>
      </w:r>
      <w:r>
        <w:t xml:space="preserve"> </w:t>
      </w:r>
      <w:hyperlink r:id="rId64">
        <w:r>
          <w:rPr>
            <w:color w:val="006D77"/>
            <w:u w:val="single"/>
          </w:rPr>
          <w:t>[48]</w:t>
        </w:r>
      </w:hyperlink>
      <w:r>
        <w:t>.</w:t>
      </w:r>
    </w:p>
    <w:p>
      <w:pPr>
        <w:pStyle w:val="Heading1"/>
      </w:pPr>
      <w:r>
        <w:t>A5. Banking architecture</w:t>
      </w:r>
    </w:p>
    <w:p>
      <w:pPr>
        <w:pStyle w:val="Heading2"/>
      </w:pPr>
      <w:r>
        <w:t>A5.1 Recommended modular structure</w:t>
      </w:r>
    </w:p>
    <w:tbl>
      <w:tblPr>
        <w:tblW w:type="dxa" w:w="9144"/>
        <w:jc w:val="center"/>
        <w:tblLayout w:type="fixed"/>
        <w:tblLook w:firstColumn="1" w:firstRow="1" w:lastColumn="0" w:lastRow="0" w:noHBand="0" w:noVBand="1" w:val="04A0"/>
        <w:tblInd w:type="dxa" w:w="110"/>
      </w:tblPr>
      <w:tblGrid>
        <w:gridCol w:w="1972"/>
        <w:gridCol w:w="3586"/>
        <w:gridCol w:w="3586"/>
      </w:tblGrid>
      <w:tr>
        <w:trPr>
          <w:cantSplit/>
          <w:tblHeader w:val="true"/>
        </w:trPr>
        <w:tc>
          <w:tcPr>
            <w:tcW w:type="dxa" w:w="1972"/>
            <w:vAlign w:val="center"/>
            <w:tcMar>
              <w:top w:w="90" w:type="dxa"/>
              <w:start w:w="110" w:type="dxa"/>
              <w:bottom w:w="90" w:type="dxa"/>
              <w:end w:w="110" w:type="dxa"/>
            </w:tcMar>
            <w:shd w:fill="16324F"/>
          </w:tcPr>
          <w:p>
            <w:pPr>
              <w:spacing w:after="0" w:line="252" w:lineRule="auto"/>
              <w:jc w:val="left"/>
            </w:pPr>
            <w:r>
              <w:rPr>
                <w:b/>
                <w:color w:val="FFFFFF"/>
                <w:sz w:val="17"/>
              </w:rPr>
              <w:t>Function</w:t>
            </w:r>
          </w:p>
        </w:tc>
        <w:tc>
          <w:tcPr>
            <w:tcW w:type="dxa" w:w="3586"/>
            <w:vAlign w:val="center"/>
            <w:tcMar>
              <w:top w:w="90" w:type="dxa"/>
              <w:start w:w="110" w:type="dxa"/>
              <w:bottom w:w="90" w:type="dxa"/>
              <w:end w:w="110" w:type="dxa"/>
            </w:tcMar>
            <w:shd w:fill="16324F"/>
          </w:tcPr>
          <w:p>
            <w:pPr>
              <w:spacing w:after="0" w:line="252" w:lineRule="auto"/>
              <w:jc w:val="left"/>
            </w:pPr>
            <w:r>
              <w:rPr>
                <w:b/>
                <w:color w:val="FFFFFF"/>
                <w:sz w:val="17"/>
              </w:rPr>
              <w:t>Proposed institution or route</w:t>
            </w:r>
          </w:p>
        </w:tc>
        <w:tc>
          <w:tcPr>
            <w:tcW w:type="dxa" w:w="3586"/>
            <w:vAlign w:val="center"/>
            <w:tcMar>
              <w:top w:w="90" w:type="dxa"/>
              <w:start w:w="110" w:type="dxa"/>
              <w:bottom w:w="90" w:type="dxa"/>
              <w:end w:w="110" w:type="dxa"/>
            </w:tcMar>
            <w:shd w:fill="16324F"/>
          </w:tcPr>
          <w:p>
            <w:pPr>
              <w:spacing w:after="0" w:line="252" w:lineRule="auto"/>
              <w:jc w:val="left"/>
            </w:pPr>
            <w:r>
              <w:rPr>
                <w:b/>
                <w:color w:val="FFFFFF"/>
                <w:sz w:val="17"/>
              </w:rPr>
              <w:t>Boundary</w:t>
            </w:r>
          </w:p>
        </w:tc>
      </w:tr>
      <w:tr>
        <w:trPr>
          <w:cantSplit/>
        </w:trPr>
        <w:tc>
          <w:tcPr>
            <w:tcW w:type="dxa" w:w="1972"/>
            <w:vAlign w:val="center"/>
            <w:tcMar>
              <w:top w:w="90" w:type="dxa"/>
              <w:start w:w="110" w:type="dxa"/>
              <w:bottom w:w="90" w:type="dxa"/>
              <w:end w:w="110" w:type="dxa"/>
            </w:tcMar>
          </w:tcPr>
          <w:p>
            <w:pPr>
              <w:spacing w:after="0" w:line="252" w:lineRule="auto"/>
              <w:jc w:val="left"/>
            </w:pPr>
            <w:r>
              <w:rPr>
                <w:color w:val="1E2933"/>
                <w:sz w:val="17"/>
              </w:rPr>
              <w:t>Universal Payment and tax</w:t>
            </w:r>
          </w:p>
        </w:tc>
        <w:tc>
          <w:tcPr>
            <w:tcW w:type="dxa" w:w="3586"/>
            <w:vAlign w:val="center"/>
            <w:tcMar>
              <w:top w:w="90" w:type="dxa"/>
              <w:start w:w="110" w:type="dxa"/>
              <w:bottom w:w="90" w:type="dxa"/>
              <w:end w:w="110" w:type="dxa"/>
            </w:tcMar>
          </w:tcPr>
          <w:p>
            <w:pPr>
              <w:spacing w:after="0" w:line="252" w:lineRule="auto"/>
              <w:jc w:val="left"/>
            </w:pPr>
            <w:r>
              <w:rPr>
                <w:color w:val="1E2933"/>
                <w:sz w:val="17"/>
              </w:rPr>
              <w:t>A simplified public payment and tax service</w:t>
            </w:r>
          </w:p>
        </w:tc>
        <w:tc>
          <w:tcPr>
            <w:tcW w:type="dxa" w:w="3586"/>
            <w:vAlign w:val="center"/>
            <w:tcMar>
              <w:top w:w="90" w:type="dxa"/>
              <w:start w:w="110" w:type="dxa"/>
              <w:bottom w:w="90" w:type="dxa"/>
              <w:end w:w="110" w:type="dxa"/>
            </w:tcMar>
          </w:tcPr>
          <w:p>
            <w:pPr>
              <w:spacing w:after="0" w:line="252" w:lineRule="auto"/>
              <w:jc w:val="left"/>
            </w:pPr>
            <w:r>
              <w:rPr>
                <w:color w:val="1E2933"/>
                <w:sz w:val="17"/>
              </w:rPr>
              <w:t>Additional-needs decisions remain separately reviewable</w:t>
            </w:r>
          </w:p>
        </w:tc>
      </w:tr>
      <w:tr>
        <w:trPr>
          <w:cantSplit/>
        </w:trPr>
        <w:tc>
          <w:tcPr>
            <w:tcW w:type="dxa" w:w="1972"/>
            <w:vAlign w:val="center"/>
            <w:tcMar>
              <w:top w:w="90" w:type="dxa"/>
              <w:start w:w="110" w:type="dxa"/>
              <w:bottom w:w="90" w:type="dxa"/>
              <w:end w:w="110" w:type="dxa"/>
            </w:tcMar>
            <w:shd w:fill="F7F9FA"/>
          </w:tcPr>
          <w:p>
            <w:pPr>
              <w:spacing w:after="0" w:line="252" w:lineRule="auto"/>
              <w:jc w:val="left"/>
            </w:pPr>
            <w:r>
              <w:rPr>
                <w:color w:val="1E2933"/>
                <w:sz w:val="17"/>
              </w:rPr>
              <w:t>CIC assessment and collection</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HMRC specialist Shared Return unit</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Applies the statutory formula; cannot set investment policy</w:t>
            </w:r>
          </w:p>
        </w:tc>
      </w:tr>
      <w:tr>
        <w:trPr>
          <w:cantSplit/>
        </w:trPr>
        <w:tc>
          <w:tcPr>
            <w:tcW w:type="dxa" w:w="1972"/>
            <w:vAlign w:val="center"/>
            <w:tcMar>
              <w:top w:w="90" w:type="dxa"/>
              <w:start w:w="110" w:type="dxa"/>
              <w:bottom w:w="90" w:type="dxa"/>
              <w:end w:w="110" w:type="dxa"/>
            </w:tcMar>
          </w:tcPr>
          <w:p>
            <w:pPr>
              <w:spacing w:after="0" w:line="252" w:lineRule="auto"/>
              <w:jc w:val="left"/>
            </w:pPr>
            <w:r>
              <w:rPr>
                <w:color w:val="1E2933"/>
                <w:sz w:val="17"/>
              </w:rPr>
              <w:t>Everyday accounts</w:t>
            </w:r>
          </w:p>
        </w:tc>
        <w:tc>
          <w:tcPr>
            <w:tcW w:type="dxa" w:w="3586"/>
            <w:vAlign w:val="center"/>
            <w:tcMar>
              <w:top w:w="90" w:type="dxa"/>
              <w:start w:w="110" w:type="dxa"/>
              <w:bottom w:w="90" w:type="dxa"/>
              <w:end w:w="110" w:type="dxa"/>
            </w:tcMar>
          </w:tcPr>
          <w:p>
            <w:pPr>
              <w:spacing w:after="0" w:line="252" w:lineRule="auto"/>
              <w:jc w:val="left"/>
            </w:pPr>
            <w:r>
              <w:rPr>
                <w:color w:val="1E2933"/>
                <w:sz w:val="17"/>
              </w:rPr>
              <w:t>Existing regulated banks, building societies and credit unions</w:t>
            </w:r>
          </w:p>
        </w:tc>
        <w:tc>
          <w:tcPr>
            <w:tcW w:type="dxa" w:w="3586"/>
            <w:vAlign w:val="center"/>
            <w:tcMar>
              <w:top w:w="90" w:type="dxa"/>
              <w:start w:w="110" w:type="dxa"/>
              <w:bottom w:w="90" w:type="dxa"/>
              <w:end w:w="110" w:type="dxa"/>
            </w:tcMar>
          </w:tcPr>
          <w:p>
            <w:pPr>
              <w:spacing w:after="0" w:line="252" w:lineRule="auto"/>
              <w:jc w:val="left"/>
            </w:pPr>
            <w:r>
              <w:rPr>
                <w:color w:val="1E2933"/>
                <w:sz w:val="17"/>
              </w:rPr>
              <w:t>Banks act as custodians and service providers, not owners of the public contribution</w:t>
            </w:r>
          </w:p>
        </w:tc>
      </w:tr>
      <w:tr>
        <w:trPr>
          <w:cantSplit/>
        </w:trPr>
        <w:tc>
          <w:tcPr>
            <w:tcW w:type="dxa" w:w="1972"/>
            <w:vAlign w:val="center"/>
            <w:tcMar>
              <w:top w:w="90" w:type="dxa"/>
              <w:start w:w="110" w:type="dxa"/>
              <w:bottom w:w="90" w:type="dxa"/>
              <w:end w:w="110" w:type="dxa"/>
            </w:tcMar>
            <w:shd w:fill="F7F9FA"/>
          </w:tcPr>
          <w:p>
            <w:pPr>
              <w:spacing w:after="0" w:line="252" w:lineRule="auto"/>
              <w:jc w:val="left"/>
            </w:pPr>
            <w:r>
              <w:rPr>
                <w:color w:val="1E2933"/>
                <w:sz w:val="17"/>
              </w:rPr>
              <w:t>Public savings option</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Expanded NS&amp;I Common Growth Account</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Not automatically a current account or mortgage bank</w:t>
            </w:r>
          </w:p>
        </w:tc>
      </w:tr>
      <w:tr>
        <w:trPr>
          <w:cantSplit/>
        </w:trPr>
        <w:tc>
          <w:tcPr>
            <w:tcW w:type="dxa" w:w="1972"/>
            <w:vAlign w:val="center"/>
            <w:tcMar>
              <w:top w:w="90" w:type="dxa"/>
              <w:start w:w="110" w:type="dxa"/>
              <w:bottom w:w="90" w:type="dxa"/>
              <w:end w:w="110" w:type="dxa"/>
            </w:tcMar>
          </w:tcPr>
          <w:p>
            <w:pPr>
              <w:spacing w:after="0" w:line="252" w:lineRule="auto"/>
              <w:jc w:val="left"/>
            </w:pPr>
            <w:r>
              <w:rPr>
                <w:color w:val="1E2933"/>
                <w:sz w:val="17"/>
              </w:rPr>
              <w:t>Productive investment</w:t>
            </w:r>
          </w:p>
        </w:tc>
        <w:tc>
          <w:tcPr>
            <w:tcW w:type="dxa" w:w="3586"/>
            <w:vAlign w:val="center"/>
            <w:tcMar>
              <w:top w:w="90" w:type="dxa"/>
              <w:start w:w="110" w:type="dxa"/>
              <w:bottom w:w="90" w:type="dxa"/>
              <w:end w:w="110" w:type="dxa"/>
            </w:tcMar>
          </w:tcPr>
          <w:p>
            <w:pPr>
              <w:spacing w:after="0" w:line="252" w:lineRule="auto"/>
              <w:jc w:val="left"/>
            </w:pPr>
            <w:r>
              <w:rPr>
                <w:color w:val="1E2933"/>
                <w:sz w:val="17"/>
              </w:rPr>
              <w:t>Statutory UK Shared Growth Fund, managed through an expanded National Wealth Fund mandate</w:t>
            </w:r>
          </w:p>
        </w:tc>
        <w:tc>
          <w:tcPr>
            <w:tcW w:type="dxa" w:w="3586"/>
            <w:vAlign w:val="center"/>
            <w:tcMar>
              <w:top w:w="90" w:type="dxa"/>
              <w:start w:w="110" w:type="dxa"/>
              <w:bottom w:w="90" w:type="dxa"/>
              <w:end w:w="110" w:type="dxa"/>
            </w:tcMar>
          </w:tcPr>
          <w:p>
            <w:pPr>
              <w:spacing w:after="0" w:line="252" w:lineRule="auto"/>
              <w:jc w:val="left"/>
            </w:pPr>
            <w:r>
              <w:rPr>
                <w:color w:val="1E2933"/>
                <w:sz w:val="17"/>
              </w:rPr>
              <w:t>Operationally independent; no ministerial direction of individual investments</w:t>
            </w:r>
          </w:p>
        </w:tc>
      </w:tr>
      <w:tr>
        <w:trPr>
          <w:cantSplit/>
        </w:trPr>
        <w:tc>
          <w:tcPr>
            <w:tcW w:type="dxa" w:w="1972"/>
            <w:vAlign w:val="center"/>
            <w:tcMar>
              <w:top w:w="90" w:type="dxa"/>
              <w:start w:w="110" w:type="dxa"/>
              <w:bottom w:w="90" w:type="dxa"/>
              <w:end w:w="110" w:type="dxa"/>
            </w:tcMar>
            <w:shd w:fill="F7F9FA"/>
          </w:tcPr>
          <w:p>
            <w:pPr>
              <w:spacing w:after="0" w:line="252" w:lineRule="auto"/>
              <w:jc w:val="left"/>
            </w:pPr>
            <w:r>
              <w:rPr>
                <w:color w:val="1E2933"/>
                <w:sz w:val="17"/>
              </w:rPr>
              <w:t>Housing supply</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National Housing Bank/Homes England and devolved counterparts</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Finance additional homes and infrastructure, not simply existing-house demand</w:t>
            </w:r>
          </w:p>
        </w:tc>
      </w:tr>
      <w:tr>
        <w:trPr>
          <w:cantSplit/>
        </w:trPr>
        <w:tc>
          <w:tcPr>
            <w:tcW w:type="dxa" w:w="1972"/>
            <w:vAlign w:val="center"/>
            <w:tcMar>
              <w:top w:w="90" w:type="dxa"/>
              <w:start w:w="110" w:type="dxa"/>
              <w:bottom w:w="90" w:type="dxa"/>
              <w:end w:w="110" w:type="dxa"/>
            </w:tcMar>
          </w:tcPr>
          <w:p>
            <w:pPr>
              <w:spacing w:after="0" w:line="252" w:lineRule="auto"/>
              <w:jc w:val="left"/>
            </w:pPr>
            <w:r>
              <w:rPr>
                <w:color w:val="1E2933"/>
                <w:sz w:val="17"/>
              </w:rPr>
              <w:t>Mortgage benchmark</w:t>
            </w:r>
          </w:p>
        </w:tc>
        <w:tc>
          <w:tcPr>
            <w:tcW w:type="dxa" w:w="3586"/>
            <w:vAlign w:val="center"/>
            <w:tcMar>
              <w:top w:w="90" w:type="dxa"/>
              <w:start w:w="110" w:type="dxa"/>
              <w:bottom w:w="90" w:type="dxa"/>
              <w:end w:w="110" w:type="dxa"/>
            </w:tcMar>
          </w:tcPr>
          <w:p>
            <w:pPr>
              <w:spacing w:after="0" w:line="252" w:lineRule="auto"/>
              <w:jc w:val="left"/>
            </w:pPr>
            <w:r>
              <w:rPr>
                <w:color w:val="1E2933"/>
                <w:sz w:val="17"/>
              </w:rPr>
              <w:t>Separately capitalised UK Home Finance Corporation</w:t>
            </w:r>
          </w:p>
        </w:tc>
        <w:tc>
          <w:tcPr>
            <w:tcW w:type="dxa" w:w="3586"/>
            <w:vAlign w:val="center"/>
            <w:tcMar>
              <w:top w:w="90" w:type="dxa"/>
              <w:start w:w="110" w:type="dxa"/>
              <w:bottom w:w="90" w:type="dxa"/>
              <w:end w:w="110" w:type="dxa"/>
            </w:tcMar>
          </w:tcPr>
          <w:p>
            <w:pPr>
              <w:spacing w:after="0" w:line="252" w:lineRule="auto"/>
              <w:jc w:val="left"/>
            </w:pPr>
            <w:r>
              <w:rPr>
                <w:color w:val="1E2933"/>
                <w:sz w:val="17"/>
              </w:rPr>
              <w:t>Wholesale funding/guarantees first; direct origination only if evidence shows a gap</w:t>
            </w:r>
          </w:p>
        </w:tc>
      </w:tr>
      <w:tr>
        <w:trPr>
          <w:cantSplit/>
        </w:trPr>
        <w:tc>
          <w:tcPr>
            <w:tcW w:type="dxa" w:w="1972"/>
            <w:vAlign w:val="center"/>
            <w:tcMar>
              <w:top w:w="90" w:type="dxa"/>
              <w:start w:w="110" w:type="dxa"/>
              <w:bottom w:w="90" w:type="dxa"/>
              <w:end w:w="110" w:type="dxa"/>
            </w:tcMar>
            <w:shd w:fill="F7F9FA"/>
          </w:tcPr>
          <w:p>
            <w:pPr>
              <w:spacing w:after="0" w:line="252" w:lineRule="auto"/>
              <w:jc w:val="left"/>
            </w:pPr>
            <w:r>
              <w:rPr>
                <w:color w:val="1E2933"/>
                <w:sz w:val="17"/>
              </w:rPr>
              <w:t>Monetary and prudential stability</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Bank of England, PRA, FCA and FPC under ordinary mandates</w:t>
            </w:r>
          </w:p>
        </w:tc>
        <w:tc>
          <w:tcPr>
            <w:tcW w:type="dxa" w:w="3586"/>
            <w:vAlign w:val="center"/>
            <w:tcMar>
              <w:top w:w="90" w:type="dxa"/>
              <w:start w:w="110" w:type="dxa"/>
              <w:bottom w:w="90" w:type="dxa"/>
              <w:end w:w="110" w:type="dxa"/>
            </w:tcMar>
            <w:shd w:fill="F7F9FA"/>
          </w:tcPr>
          <w:p>
            <w:pPr>
              <w:spacing w:after="0" w:line="252" w:lineRule="auto"/>
              <w:jc w:val="left"/>
            </w:pPr>
            <w:r>
              <w:rPr>
                <w:color w:val="1E2933"/>
                <w:sz w:val="17"/>
              </w:rPr>
              <w:t>No exemption for a publicly owned lender</w:t>
            </w:r>
          </w:p>
        </w:tc>
      </w:tr>
      <w:tr>
        <w:trPr>
          <w:cantSplit/>
        </w:trPr>
        <w:tc>
          <w:tcPr>
            <w:tcW w:type="dxa" w:w="1972"/>
            <w:vAlign w:val="center"/>
            <w:tcMar>
              <w:top w:w="90" w:type="dxa"/>
              <w:start w:w="110" w:type="dxa"/>
              <w:bottom w:w="90" w:type="dxa"/>
              <w:end w:w="110" w:type="dxa"/>
            </w:tcMar>
          </w:tcPr>
          <w:p>
            <w:pPr>
              <w:spacing w:after="0" w:line="252" w:lineRule="auto"/>
              <w:jc w:val="left"/>
            </w:pPr>
            <w:r>
              <w:rPr>
                <w:color w:val="1E2933"/>
                <w:sz w:val="17"/>
              </w:rPr>
              <w:t>Independent verification</w:t>
            </w:r>
          </w:p>
        </w:tc>
        <w:tc>
          <w:tcPr>
            <w:tcW w:type="dxa" w:w="3586"/>
            <w:vAlign w:val="center"/>
            <w:tcMar>
              <w:top w:w="90" w:type="dxa"/>
              <w:start w:w="110" w:type="dxa"/>
              <w:bottom w:w="90" w:type="dxa"/>
              <w:end w:w="110" w:type="dxa"/>
            </w:tcMar>
          </w:tcPr>
          <w:p>
            <w:pPr>
              <w:spacing w:after="0" w:line="252" w:lineRule="auto"/>
              <w:jc w:val="left"/>
            </w:pPr>
            <w:r>
              <w:rPr>
                <w:color w:val="1E2933"/>
                <w:sz w:val="17"/>
              </w:rPr>
              <w:t>Shared Growth Commission, accountable to Parliament</w:t>
            </w:r>
          </w:p>
        </w:tc>
        <w:tc>
          <w:tcPr>
            <w:tcW w:type="dxa" w:w="3586"/>
            <w:vAlign w:val="center"/>
            <w:tcMar>
              <w:top w:w="90" w:type="dxa"/>
              <w:start w:w="110" w:type="dxa"/>
              <w:bottom w:w="90" w:type="dxa"/>
              <w:end w:w="110" w:type="dxa"/>
            </w:tcMar>
          </w:tcPr>
          <w:p>
            <w:pPr>
              <w:spacing w:after="0" w:line="252" w:lineRule="auto"/>
              <w:jc w:val="left"/>
            </w:pPr>
            <w:r>
              <w:rPr>
                <w:color w:val="1E2933"/>
                <w:sz w:val="17"/>
              </w:rPr>
              <w:t>Audits the collection trail and public ledger; does not choose investments or individual tax cases</w:t>
            </w:r>
          </w:p>
        </w:tc>
      </w:tr>
    </w:tbl>
    <w:p>
      <w:pPr>
        <w:spacing w:after="20"/>
      </w:pPr>
    </w:p>
    <w:p>
      <w:r>
        <w:t>This structure uses public options and benchmark competition without assuming that public ownership eliminates misconduct. Public bodies can also fail; independence, audit, transparency and appeal remain essential.</w:t>
      </w:r>
    </w:p>
    <w:p>
      <w:pPr>
        <w:pStyle w:val="Heading2"/>
      </w:pPr>
      <w:r>
        <w:t>A5.2 Existing UK foundations</w:t>
      </w:r>
    </w:p>
    <w:p>
      <w:pPr>
        <w:pStyle w:val="ListBullet"/>
      </w:pPr>
      <w:r>
        <w:rPr>
          <w:b/>
        </w:rPr>
        <w:t>NS&amp;I</w:t>
      </w:r>
      <w:r>
        <w:t xml:space="preserve"> already operates a sovereign retail-savings platform. Its 2024-25 accounts show approximately </w:t>
      </w:r>
      <w:r>
        <w:rPr>
          <w:b/>
        </w:rPr>
        <w:t>£240.1 billion</w:t>
      </w:r>
      <w:r>
        <w:t xml:space="preserve"> of balances, passed to the National Loans Fund, with a 100% Treasury guarantee. The 2026-27 financing remit targets £15 billion, plus or minus £4 billion, of net finance. It is not presently a public current-account or mortgage bank.</w:t>
      </w:r>
    </w:p>
    <w:p>
      <w:pPr>
        <w:pStyle w:val="ListBullet"/>
      </w:pPr>
      <w:r>
        <w:t xml:space="preserve">The </w:t>
      </w:r>
      <w:r>
        <w:rPr>
          <w:b/>
        </w:rPr>
        <w:t>National Wealth Fund</w:t>
      </w:r>
      <w:r>
        <w:t xml:space="preserve"> has </w:t>
      </w:r>
      <w:r>
        <w:rPr>
          <w:b/>
        </w:rPr>
        <w:t>£27.8 billion</w:t>
      </w:r>
      <w:r>
        <w:t xml:space="preserve"> of capacity and a mandate for infrastructure, supply chains and businesses, with additionality, positive taxpayer return and operational independence. It is not a retail deposit bank.</w:t>
      </w:r>
    </w:p>
    <w:p>
      <w:pPr>
        <w:pStyle w:val="ListBullet"/>
      </w:pPr>
      <w:r>
        <w:t xml:space="preserve">The </w:t>
      </w:r>
      <w:r>
        <w:rPr>
          <w:b/>
        </w:rPr>
        <w:t>National Housing Bank</w:t>
      </w:r>
      <w:r>
        <w:t xml:space="preserve">, launched in March 2026, has up to </w:t>
      </w:r>
      <w:r>
        <w:rPr>
          <w:b/>
        </w:rPr>
        <w:t>£16 billion</w:t>
      </w:r>
      <w:r>
        <w:t xml:space="preserve"> of debt, equity and guarantee capacity and seeks to attract more than £50 billion of private capital. It finances housing supply in England; it is not a regulated bank and does not provide household mortgages.</w:t>
      </w:r>
    </w:p>
    <w:p>
      <w:pPr>
        <w:pStyle w:val="ListBullet"/>
      </w:pPr>
      <w:r>
        <w:t xml:space="preserve">The </w:t>
      </w:r>
      <w:r>
        <w:rPr>
          <w:b/>
        </w:rPr>
        <w:t>Scottish National Investment Bank</w:t>
      </w:r>
      <w:r>
        <w:t xml:space="preserve"> provides a useful warning: the Shared Growth Fund statute must expressly permit returns to be retained and reinvested across years rather than surrendered annually.</w:t>
      </w:r>
    </w:p>
    <w:p>
      <w:r>
        <w:t xml:space="preserve">Sources: </w:t>
      </w:r>
      <w:r>
        <w:t xml:space="preserve"> </w:t>
      </w:r>
      <w:hyperlink r:id="rId65">
        <w:r>
          <w:rPr>
            <w:color w:val="006D77"/>
            <w:u w:val="single"/>
          </w:rPr>
          <w:t>[49]</w:t>
        </w:r>
      </w:hyperlink>
      <w:r>
        <w:t xml:space="preserve">, </w:t>
      </w:r>
      <w:r>
        <w:t xml:space="preserve"> </w:t>
      </w:r>
      <w:hyperlink r:id="rId66">
        <w:r>
          <w:rPr>
            <w:color w:val="006D77"/>
            <w:u w:val="single"/>
          </w:rPr>
          <w:t>[50]</w:t>
        </w:r>
      </w:hyperlink>
      <w:r>
        <w:t xml:space="preserve">, </w:t>
      </w:r>
      <w:r>
        <w:t xml:space="preserve"> </w:t>
      </w:r>
      <w:hyperlink r:id="rId67">
        <w:r>
          <w:rPr>
            <w:color w:val="006D77"/>
            <w:u w:val="single"/>
          </w:rPr>
          <w:t>[51]</w:t>
        </w:r>
      </w:hyperlink>
      <w:r>
        <w:t xml:space="preserve">, </w:t>
      </w:r>
      <w:r>
        <w:t xml:space="preserve"> </w:t>
      </w:r>
      <w:hyperlink r:id="rId68">
        <w:r>
          <w:rPr>
            <w:color w:val="006D77"/>
            <w:u w:val="single"/>
          </w:rPr>
          <w:t>[52]</w:t>
        </w:r>
      </w:hyperlink>
      <w:r>
        <w:t xml:space="preserve">, </w:t>
      </w:r>
      <w:r>
        <w:t xml:space="preserve"> </w:t>
      </w:r>
      <w:hyperlink r:id="rId69">
        <w:r>
          <w:rPr>
            <w:color w:val="006D77"/>
            <w:u w:val="single"/>
          </w:rPr>
          <w:t>[53]</w:t>
        </w:r>
      </w:hyperlink>
      <w:r>
        <w:t>.</w:t>
      </w:r>
    </w:p>
    <w:p>
      <w:pPr>
        <w:pStyle w:val="Heading2"/>
      </w:pPr>
      <w:r>
        <w:t>A5.3 Deposit protection</w:t>
      </w:r>
    </w:p>
    <w:p>
      <w:r>
        <w:t xml:space="preserve">Since 1 December 2025, eligible deposits at UK-authorised firms are protected by the FSCS up to </w:t>
      </w:r>
      <w:r>
        <w:rPr>
          <w:b/>
        </w:rPr>
        <w:t>£120,000 per person per authorised firm</w:t>
      </w:r>
      <w:r>
        <w:t>, with qualifying temporary high balances protected up to £1.4 million for six months. A public account must specify either normal FSCS/resolution treatment or an NS&amp;I-style sovereign guarantee. It should not promise both ambiguously.</w:t>
      </w:r>
    </w:p>
    <w:p>
      <w:r>
        <w:t xml:space="preserve">Source: </w:t>
      </w:r>
      <w:r>
        <w:t xml:space="preserve"> </w:t>
      </w:r>
      <w:hyperlink r:id="rId70">
        <w:r>
          <w:rPr>
            <w:color w:val="006D77"/>
            <w:u w:val="single"/>
          </w:rPr>
          <w:t>[54]</w:t>
        </w:r>
      </w:hyperlink>
      <w:r>
        <w:t>.</w:t>
      </w:r>
    </w:p>
    <w:p>
      <w:pPr>
        <w:pStyle w:val="Heading1"/>
      </w:pPr>
      <w:r>
        <w:t>A6. Fair public mortgages</w:t>
      </w:r>
    </w:p>
    <w:p>
      <w:r>
        <w:t>A public mortgage benchmark can discipline prices and widen access, but a deliberately underpriced mortgage without more housing supply is likely to increase house prices. The public option must therefore finance construction and infrastructure before or alongside buyer credit.</w:t>
      </w:r>
    </w:p>
    <w:p>
      <w:r>
        <w:t>The benchmark rate should be published as:</w:t>
      </w:r>
    </w:p>
    <w:p>
      <w:r>
        <w:rPr>
          <w:b/>
        </w:rPr>
        <w:t>Matched-term public funding or SONIA cost + expected credit loss + operations + capital and liquidity cost + capped service margin - any explicit parliamentary subsidy.</w:t>
      </w:r>
    </w:p>
    <w:p>
      <w:r>
        <w:t>The standard public product should include:</w:t>
      </w:r>
    </w:p>
    <w:p>
      <w:pPr>
        <w:pStyle w:val="ListBullet"/>
      </w:pPr>
      <w:r>
        <w:t>one primary residence only;</w:t>
      </w:r>
    </w:p>
    <w:p>
      <w:pPr>
        <w:pStyle w:val="ListBullet"/>
      </w:pPr>
      <w:r>
        <w:t>no buy-to-let, holiday-home or nominee use;</w:t>
      </w:r>
    </w:p>
    <w:p>
      <w:pPr>
        <w:pStyle w:val="ListBullet"/>
      </w:pPr>
      <w:r>
        <w:t>objective loan-to-value and property-risk bands;</w:t>
      </w:r>
    </w:p>
    <w:p>
      <w:pPr>
        <w:pStyle w:val="ListBullet"/>
      </w:pPr>
      <w:r>
        <w:t>ordinary affordability stress tests, with the Universal Payment recognised as durable income;</w:t>
      </w:r>
    </w:p>
    <w:p>
      <w:pPr>
        <w:pStyle w:val="ListBullet"/>
      </w:pPr>
      <w:r>
        <w:t>clear fixed-rate choices and a published APRC including all fees;</w:t>
      </w:r>
    </w:p>
    <w:p>
      <w:pPr>
        <w:pStyle w:val="ListBullet"/>
      </w:pPr>
      <w:r>
        <w:t>fair overpayment and portability terms;</w:t>
      </w:r>
    </w:p>
    <w:p>
      <w:pPr>
        <w:pStyle w:val="ListBullet"/>
      </w:pPr>
      <w:r>
        <w:t>arrears forbearance, human review and Financial Ombudsman access;</w:t>
      </w:r>
    </w:p>
    <w:p>
      <w:pPr>
        <w:pStyle w:val="ListBullet"/>
      </w:pPr>
      <w:r>
        <w:t>written decisions and appeal routes, with an accessible offline option;</w:t>
      </w:r>
    </w:p>
    <w:p>
      <w:pPr>
        <w:pStyle w:val="ListBullet"/>
      </w:pPr>
      <w:r>
        <w:t>beneficial-owner checks and related-party controls;</w:t>
      </w:r>
    </w:p>
    <w:p>
      <w:pPr>
        <w:pStyle w:val="ListBullet"/>
      </w:pPr>
      <w:r>
        <w:t>no ministerial decision about a named person, property or loan.</w:t>
      </w:r>
    </w:p>
    <w:p>
      <w:r>
        <w:t>The permanent 2025 Mortgage Guarantee Scheme provides a workable institutional precedent: accredited regulated lenders originate loans under ordinary conduct and affordability rules, government shares a defined portion of loss, lenders pay a commercial fee, and Treasury retains audit, suspension and fraud-clawback powers. The public comparator should begin with wholesale funding or priced guarantees and originate directly only if evidence shows persistent exclusion.</w:t>
      </w:r>
    </w:p>
    <w:p>
      <w:r>
        <w:t xml:space="preserve">Sources: </w:t>
      </w:r>
      <w:r>
        <w:t xml:space="preserve"> </w:t>
      </w:r>
      <w:hyperlink r:id="rId71">
        <w:r>
          <w:rPr>
            <w:color w:val="006D77"/>
            <w:u w:val="single"/>
          </w:rPr>
          <w:t>[55]</w:t>
        </w:r>
      </w:hyperlink>
      <w:r>
        <w:t xml:space="preserve">, </w:t>
      </w:r>
      <w:r>
        <w:t xml:space="preserve"> </w:t>
      </w:r>
      <w:hyperlink r:id="rId72">
        <w:r>
          <w:rPr>
            <w:color w:val="006D77"/>
            <w:u w:val="single"/>
          </w:rPr>
          <w:t>[56]</w:t>
        </w:r>
      </w:hyperlink>
      <w:r>
        <w:t xml:space="preserve">, </w:t>
      </w:r>
      <w:r>
        <w:t xml:space="preserve"> </w:t>
      </w:r>
      <w:hyperlink r:id="rId73">
        <w:r>
          <w:rPr>
            <w:color w:val="006D77"/>
            <w:u w:val="single"/>
          </w:rPr>
          <w:t>[57]</w:t>
        </w:r>
      </w:hyperlink>
      <w:r>
        <w:t>.</w:t>
      </w:r>
    </w:p>
    <w:p>
      <w:pPr>
        <w:pStyle w:val="Heading1"/>
      </w:pPr>
      <w:r>
        <w:t>A7. Use of the UK Shared Growth Fund</w:t>
      </w:r>
    </w:p>
    <w:p>
      <w:r>
        <w:t>The fund should be statutory, perpetual and separately accounted for. Depositor principal remains a liability to the saver; CIC receipts and investment assets belong to the public fund.</w:t>
      </w:r>
    </w:p>
    <w:p>
      <w:pPr>
        <w:pStyle w:val="Heading2"/>
      </w:pPr>
      <w:r>
        <w:t>A7.1 Investment objective</w:t>
      </w:r>
    </w:p>
    <w:p>
      <w:r>
        <w:t>Priority uses should expand real capacity:</w:t>
      </w:r>
    </w:p>
    <w:p>
      <w:pPr>
        <w:pStyle w:val="ListBullet"/>
      </w:pPr>
      <w:r>
        <w:t>additional social, affordable and owner-occupied housing;</w:t>
      </w:r>
    </w:p>
    <w:p>
      <w:pPr>
        <w:pStyle w:val="ListBullet"/>
      </w:pPr>
      <w:r>
        <w:t>energy generation, storage, grids and home efficiency;</w:t>
      </w:r>
    </w:p>
    <w:p>
      <w:pPr>
        <w:pStyle w:val="ListBullet"/>
      </w:pPr>
      <w:r>
        <w:t>water, transport and digital infrastructure;</w:t>
      </w:r>
    </w:p>
    <w:p>
      <w:pPr>
        <w:pStyle w:val="ListBullet"/>
      </w:pPr>
      <w:r>
        <w:t>health, care and disability-support capital;</w:t>
      </w:r>
    </w:p>
    <w:p>
      <w:pPr>
        <w:pStyle w:val="ListBullet"/>
      </w:pPr>
      <w:r>
        <w:t>research, advanced manufacturing and resilient domestic supply chains;</w:t>
      </w:r>
    </w:p>
    <w:p>
      <w:pPr>
        <w:pStyle w:val="ListBullet"/>
      </w:pPr>
      <w:r>
        <w:t>SME, worker-cooperative and regional development finance where additionality is demonstrated.</w:t>
      </w:r>
    </w:p>
    <w:p>
      <w:r>
        <w:t xml:space="preserve">Mortgage principal repayments and recovered development finance should revolve into new lending, construction, retrofit, infrastructure and prudential reserves. Investment income should first cover expected losses, administration and liquidity. Any distribution to citizens should be a separately itemised variable </w:t>
      </w:r>
      <w:r>
        <w:rPr>
          <w:b/>
        </w:rPr>
        <w:t>National Growth Dividend</w:t>
      </w:r>
      <w:r>
        <w:t>, not a promise used to support the fixed £36,000 entitlement.</w:t>
      </w:r>
    </w:p>
    <w:p>
      <w:r>
        <w:t>Captured interest is volatile with Bank Rate and household behaviour. It is unsuitable as the sole or essential funding source for a permanent fixed payment.</w:t>
      </w:r>
    </w:p>
    <w:p>
      <w:r>
        <w:t xml:space="preserve">The investment mandate should optimise </w:t>
      </w:r>
      <w:r>
        <w:rPr>
          <w:b/>
        </w:rPr>
        <w:t>whole-UK public value</w:t>
      </w:r>
      <w:r>
        <w:t>, not the cash return of an individual private firm. That does not mean accepting unpriced losses. Each investment should publish:</w:t>
      </w:r>
    </w:p>
    <w:p>
      <w:pPr>
        <w:pStyle w:val="ListBullet"/>
      </w:pPr>
      <w:r>
        <w:t>its risk-adjusted financial return and matched-market benchmark;</w:t>
      </w:r>
    </w:p>
    <w:p>
      <w:pPr>
        <w:pStyle w:val="ListBullet"/>
      </w:pPr>
      <w:r>
        <w:t>whether it adds capacity that would not otherwise be financed;</w:t>
      </w:r>
    </w:p>
    <w:p>
      <w:pPr>
        <w:pStyle w:val="ListBullet"/>
      </w:pPr>
      <w:r>
        <w:t>expected effects on productivity, housing, energy security, resilience and regional opportunity;</w:t>
      </w:r>
    </w:p>
    <w:p>
      <w:pPr>
        <w:pStyle w:val="ListBullet"/>
      </w:pPr>
      <w:r>
        <w:t>subsidy, guarantee exposure and worst-case public loss;</w:t>
      </w:r>
    </w:p>
    <w:p>
      <w:pPr>
        <w:pStyle w:val="ListBullet"/>
      </w:pPr>
      <w:r>
        <w:t>delivery milestones and an independently evaluable counterfactual.</w:t>
      </w:r>
    </w:p>
    <w:p>
      <w:r>
        <w:t xml:space="preserve">The current National Wealth Fund provides a useful starting discipline: its strategic priorities seek a portfolio return at least equal to government borrowing cost plus institutional overhead and an overall private-capital mobilisation ambition of 1:3. Those should be reported as portfolio benchmarks, not excuses to reject high-social-value projects. Any project expected to fall below the financial hurdle should carry an explicit parliamentary subsidy and still pass the wider social-cost-benefit and additionality tests. Source: </w:t>
      </w:r>
      <w:r>
        <w:t xml:space="preserve"> </w:t>
      </w:r>
      <w:hyperlink r:id="rId31">
        <w:r>
          <w:rPr>
            <w:color w:val="006D77"/>
            <w:u w:val="single"/>
          </w:rPr>
          <w:t>[18]</w:t>
        </w:r>
      </w:hyperlink>
      <w:r>
        <w:t>.</w:t>
      </w:r>
    </w:p>
    <w:p>
      <w:pPr>
        <w:pStyle w:val="Heading2"/>
      </w:pPr>
      <w:r>
        <w:t>A7.2 What to do with the Fund's own return</w:t>
      </w:r>
    </w:p>
    <w:p>
      <w:r>
        <w:t>All net external return earned by the Fund should remain public and be retained or reinvested after administration, expected loss, liquidity and statutory reserves. Banks have no claim on it beyond their original capped CIC allowance.</w:t>
      </w:r>
    </w:p>
    <w:p>
      <w:r>
        <w:rPr>
          <w:b/>
        </w:rPr>
        <w:t>Net external Fund return = external interest + dividends + rents + fees + realised gains - funding cost - losses - administration - inflation.</w:t>
      </w:r>
    </w:p>
    <w:p>
      <w:r>
        <w:t>External income must be separated from interest paid by one UK public body to another. This prevents an internal Treasury coupon from being presented as new national wealth.</w:t>
      </w:r>
    </w:p>
    <w:p>
      <w:pPr>
        <w:pStyle w:val="Heading2"/>
      </w:pPr>
      <w:r>
        <w:t>A7.3 Gilts and a possible growth-bond market</w:t>
      </w:r>
    </w:p>
    <w:p>
      <w:r>
        <w:t>A gilt is a sterling liability of HM Treasury. If the public Fund buys a gilt, it gains a safe, tradable asset and Treasury gains financing, but the coupon is principally a transfer within the public sector once accounts are consolidated. The purchase does not itself create GDP or an external return for the country.</w:t>
      </w:r>
    </w:p>
    <w:tbl>
      <w:tblPr>
        <w:tblW w:type="dxa" w:w="9143"/>
        <w:jc w:val="center"/>
        <w:tblLayout w:type="fixed"/>
        <w:tblLook w:firstColumn="1" w:firstRow="1" w:lastColumn="0" w:lastRow="0" w:noHBand="0" w:noVBand="1" w:val="04A0"/>
        <w:tblInd w:type="dxa" w:w="110"/>
      </w:tblPr>
      <w:tblGrid>
        <w:gridCol w:w="2228"/>
        <w:gridCol w:w="2305"/>
        <w:gridCol w:w="2305"/>
        <w:gridCol w:w="2305"/>
      </w:tblGrid>
      <w:tr>
        <w:trPr>
          <w:cantSplit/>
          <w:tblHeader w:val="true"/>
        </w:trPr>
        <w:tc>
          <w:tcPr>
            <w:tcW w:type="dxa" w:w="2228"/>
            <w:vAlign w:val="center"/>
            <w:tcMar>
              <w:top w:w="90" w:type="dxa"/>
              <w:start w:w="110" w:type="dxa"/>
              <w:bottom w:w="90" w:type="dxa"/>
              <w:end w:w="110" w:type="dxa"/>
            </w:tcMar>
            <w:shd w:fill="16324F"/>
          </w:tcPr>
          <w:p>
            <w:pPr>
              <w:spacing w:after="0" w:line="252" w:lineRule="auto"/>
              <w:jc w:val="left"/>
            </w:pPr>
            <w:r>
              <w:rPr>
                <w:b/>
                <w:color w:val="FFFFFF"/>
                <w:sz w:val="17"/>
              </w:rPr>
              <w:t>Route</w:t>
            </w:r>
          </w:p>
        </w:tc>
        <w:tc>
          <w:tcPr>
            <w:tcW w:type="dxa" w:w="2305"/>
            <w:vAlign w:val="center"/>
            <w:tcMar>
              <w:top w:w="90" w:type="dxa"/>
              <w:start w:w="110" w:type="dxa"/>
              <w:bottom w:w="90" w:type="dxa"/>
              <w:end w:w="110" w:type="dxa"/>
            </w:tcMar>
            <w:shd w:fill="16324F"/>
          </w:tcPr>
          <w:p>
            <w:pPr>
              <w:spacing w:after="0" w:line="252" w:lineRule="auto"/>
              <w:jc w:val="left"/>
            </w:pPr>
            <w:r>
              <w:rPr>
                <w:b/>
                <w:color w:val="FFFFFF"/>
                <w:sz w:val="17"/>
              </w:rPr>
              <w:t>Whole-public-sector value</w:t>
            </w:r>
          </w:p>
        </w:tc>
        <w:tc>
          <w:tcPr>
            <w:tcW w:type="dxa" w:w="2305"/>
            <w:vAlign w:val="center"/>
            <w:tcMar>
              <w:top w:w="90" w:type="dxa"/>
              <w:start w:w="110" w:type="dxa"/>
              <w:bottom w:w="90" w:type="dxa"/>
              <w:end w:w="110" w:type="dxa"/>
            </w:tcMar>
            <w:shd w:fill="16324F"/>
          </w:tcPr>
          <w:p>
            <w:pPr>
              <w:spacing w:after="0" w:line="252" w:lineRule="auto"/>
              <w:jc w:val="left"/>
            </w:pPr>
            <w:r>
              <w:rPr>
                <w:b/>
                <w:color w:val="FFFFFF"/>
                <w:sz w:val="17"/>
              </w:rPr>
              <w:t>Principal risk</w:t>
            </w:r>
          </w:p>
        </w:tc>
        <w:tc>
          <w:tcPr>
            <w:tcW w:type="dxa" w:w="2305"/>
            <w:vAlign w:val="center"/>
            <w:tcMar>
              <w:top w:w="90" w:type="dxa"/>
              <w:start w:w="110" w:type="dxa"/>
              <w:bottom w:w="90" w:type="dxa"/>
              <w:end w:w="110" w:type="dxa"/>
            </w:tcMar>
            <w:shd w:fill="16324F"/>
          </w:tcPr>
          <w:p>
            <w:pPr>
              <w:spacing w:after="0" w:line="252" w:lineRule="auto"/>
              <w:jc w:val="left"/>
            </w:pPr>
            <w:r>
              <w:rPr>
                <w:b/>
                <w:color w:val="FFFFFF"/>
                <w:sz w:val="17"/>
              </w:rPr>
              <w:t>Decision</w:t>
            </w:r>
          </w:p>
        </w:tc>
      </w:tr>
      <w:tr>
        <w:trPr>
          <w:cantSplit/>
        </w:trPr>
        <w:tc>
          <w:tcPr>
            <w:tcW w:type="dxa" w:w="2228"/>
            <w:vAlign w:val="center"/>
            <w:tcMar>
              <w:top w:w="90" w:type="dxa"/>
              <w:start w:w="110" w:type="dxa"/>
              <w:bottom w:w="90" w:type="dxa"/>
              <w:end w:w="110" w:type="dxa"/>
            </w:tcMar>
          </w:tcPr>
          <w:p>
            <w:pPr>
              <w:spacing w:after="0" w:line="252" w:lineRule="auto"/>
              <w:jc w:val="left"/>
            </w:pPr>
            <w:r>
              <w:rPr>
                <w:color w:val="1E2933"/>
                <w:sz w:val="17"/>
              </w:rPr>
              <w:t>Fund invests mainly in gilts</w:t>
            </w:r>
          </w:p>
        </w:tc>
        <w:tc>
          <w:tcPr>
            <w:tcW w:type="dxa" w:w="2305"/>
            <w:vAlign w:val="center"/>
            <w:tcMar>
              <w:top w:w="90" w:type="dxa"/>
              <w:start w:w="110" w:type="dxa"/>
              <w:bottom w:w="90" w:type="dxa"/>
              <w:end w:w="110" w:type="dxa"/>
            </w:tcMar>
          </w:tcPr>
          <w:p>
            <w:pPr>
              <w:spacing w:after="0" w:line="252" w:lineRule="auto"/>
              <w:jc w:val="left"/>
            </w:pPr>
            <w:r>
              <w:rPr>
                <w:color w:val="1E2933"/>
                <w:sz w:val="17"/>
              </w:rPr>
              <w:t>Liquid asset and useful benchmark; gilt asset/liability and coupon largely eliminate on consolidation</w:t>
            </w:r>
          </w:p>
        </w:tc>
        <w:tc>
          <w:tcPr>
            <w:tcW w:type="dxa" w:w="2305"/>
            <w:vAlign w:val="center"/>
            <w:tcMar>
              <w:top w:w="90" w:type="dxa"/>
              <w:start w:w="110" w:type="dxa"/>
              <w:bottom w:w="90" w:type="dxa"/>
              <w:end w:w="110" w:type="dxa"/>
            </w:tcMar>
          </w:tcPr>
          <w:p>
            <w:pPr>
              <w:spacing w:after="0" w:line="252" w:lineRule="auto"/>
              <w:jc w:val="left"/>
            </w:pPr>
            <w:r>
              <w:rPr>
                <w:color w:val="1E2933"/>
                <w:sz w:val="17"/>
              </w:rPr>
              <w:t>Circular return claim, opportunity cost, duration and inflation loss</w:t>
            </w:r>
          </w:p>
        </w:tc>
        <w:tc>
          <w:tcPr>
            <w:tcW w:type="dxa" w:w="2305"/>
            <w:vAlign w:val="center"/>
            <w:tcMar>
              <w:top w:w="90" w:type="dxa"/>
              <w:start w:w="110" w:type="dxa"/>
              <w:bottom w:w="90" w:type="dxa"/>
              <w:end w:w="110" w:type="dxa"/>
            </w:tcMar>
          </w:tcPr>
          <w:p>
            <w:pPr>
              <w:spacing w:after="0" w:line="252" w:lineRule="auto"/>
              <w:jc w:val="left"/>
            </w:pPr>
            <w:r>
              <w:rPr>
                <w:b/>
                <w:sz w:val="17"/>
              </w:rPr>
              <w:t>No</w:t>
            </w:r>
            <w:r>
              <w:rPr>
                <w:color w:val="1E2933"/>
                <w:sz w:val="17"/>
              </w:rPr>
              <w:t xml:space="preserve"> as core portfolio; </w:t>
            </w:r>
            <w:r>
              <w:rPr>
                <w:b/>
                <w:sz w:val="17"/>
              </w:rPr>
              <w:t>yes</w:t>
            </w:r>
            <w:r>
              <w:rPr>
                <w:color w:val="1E2933"/>
                <w:sz w:val="17"/>
              </w:rPr>
              <w:t xml:space="preserve"> as a tightly sized reserve</w:t>
            </w:r>
          </w:p>
        </w:tc>
      </w:tr>
      <w:tr>
        <w:trPr>
          <w:cantSplit/>
        </w:trPr>
        <w:tc>
          <w:tcPr>
            <w:tcW w:type="dxa" w:w="2228"/>
            <w:vAlign w:val="center"/>
            <w:tcMar>
              <w:top w:w="90" w:type="dxa"/>
              <w:start w:w="110" w:type="dxa"/>
              <w:bottom w:w="90" w:type="dxa"/>
              <w:end w:w="110" w:type="dxa"/>
            </w:tcMar>
            <w:shd w:fill="F7F9FA"/>
          </w:tcPr>
          <w:p>
            <w:pPr>
              <w:spacing w:after="0" w:line="252" w:lineRule="auto"/>
              <w:jc w:val="left"/>
            </w:pPr>
            <w:r>
              <w:rPr>
                <w:color w:val="1E2933"/>
                <w:sz w:val="17"/>
              </w:rPr>
              <w:t>Fund issues general unsecured bonds</w:t>
            </w:r>
          </w:p>
        </w:tc>
        <w:tc>
          <w:tcPr>
            <w:tcW w:type="dxa" w:w="2305"/>
            <w:vAlign w:val="center"/>
            <w:tcMar>
              <w:top w:w="90" w:type="dxa"/>
              <w:start w:w="110" w:type="dxa"/>
              <w:bottom w:w="90" w:type="dxa"/>
              <w:end w:w="110" w:type="dxa"/>
            </w:tcMar>
            <w:shd w:fill="F7F9FA"/>
          </w:tcPr>
          <w:p>
            <w:pPr>
              <w:spacing w:after="0" w:line="252" w:lineRule="auto"/>
              <w:jc w:val="left"/>
            </w:pPr>
            <w:r>
              <w:rPr>
                <w:color w:val="1E2933"/>
                <w:sz w:val="17"/>
              </w:rPr>
              <w:t>Adds external public liabilities if the Fund is classified inside government</w:t>
            </w:r>
          </w:p>
        </w:tc>
        <w:tc>
          <w:tcPr>
            <w:tcW w:type="dxa" w:w="2305"/>
            <w:vAlign w:val="center"/>
            <w:tcMar>
              <w:top w:w="90" w:type="dxa"/>
              <w:start w:w="110" w:type="dxa"/>
              <w:bottom w:w="90" w:type="dxa"/>
              <w:end w:w="110" w:type="dxa"/>
            </w:tcMar>
            <w:shd w:fill="F7F9FA"/>
          </w:tcPr>
          <w:p>
            <w:pPr>
              <w:spacing w:after="0" w:line="252" w:lineRule="auto"/>
              <w:jc w:val="left"/>
            </w:pPr>
            <w:r>
              <w:rPr>
                <w:color w:val="1E2933"/>
                <w:sz w:val="17"/>
              </w:rPr>
              <w:t>Higher liquidity/credit premium than gilts, refinancing risk, fragmented sovereign curve and implicit guarantee</w:t>
            </w:r>
          </w:p>
        </w:tc>
        <w:tc>
          <w:tcPr>
            <w:tcW w:type="dxa" w:w="2305"/>
            <w:vAlign w:val="center"/>
            <w:tcMar>
              <w:top w:w="90" w:type="dxa"/>
              <w:start w:w="110" w:type="dxa"/>
              <w:bottom w:w="90" w:type="dxa"/>
              <w:end w:w="110" w:type="dxa"/>
            </w:tcMar>
            <w:shd w:fill="F7F9FA"/>
          </w:tcPr>
          <w:p>
            <w:pPr>
              <w:spacing w:after="0" w:line="252" w:lineRule="auto"/>
              <w:jc w:val="left"/>
            </w:pPr>
            <w:r>
              <w:rPr>
                <w:b/>
                <w:sz w:val="17"/>
              </w:rPr>
              <w:t>No</w:t>
            </w:r>
            <w:r>
              <w:rPr>
                <w:color w:val="1E2933"/>
                <w:sz w:val="17"/>
              </w:rPr>
              <w:t xml:space="preserve"> standing programme</w:t>
            </w:r>
          </w:p>
        </w:tc>
      </w:tr>
      <w:tr>
        <w:trPr>
          <w:cantSplit/>
        </w:trPr>
        <w:tc>
          <w:tcPr>
            <w:tcW w:type="dxa" w:w="2228"/>
            <w:vAlign w:val="center"/>
            <w:tcMar>
              <w:top w:w="90" w:type="dxa"/>
              <w:start w:w="110" w:type="dxa"/>
              <w:bottom w:w="90" w:type="dxa"/>
              <w:end w:w="110" w:type="dxa"/>
            </w:tcMar>
          </w:tcPr>
          <w:p>
            <w:pPr>
              <w:spacing w:after="0" w:line="252" w:lineRule="auto"/>
              <w:jc w:val="left"/>
            </w:pPr>
            <w:r>
              <w:rPr>
                <w:color w:val="1E2933"/>
                <w:sz w:val="17"/>
              </w:rPr>
              <w:t>Fund makes direct loans, equity investments and guarantees</w:t>
            </w:r>
          </w:p>
        </w:tc>
        <w:tc>
          <w:tcPr>
            <w:tcW w:type="dxa" w:w="2305"/>
            <w:vAlign w:val="center"/>
            <w:tcMar>
              <w:top w:w="90" w:type="dxa"/>
              <w:start w:w="110" w:type="dxa"/>
              <w:bottom w:w="90" w:type="dxa"/>
              <w:end w:w="110" w:type="dxa"/>
            </w:tcMar>
          </w:tcPr>
          <w:p>
            <w:pPr>
              <w:spacing w:after="0" w:line="252" w:lineRule="auto"/>
              <w:jc w:val="left"/>
            </w:pPr>
            <w:r>
              <w:rPr>
                <w:color w:val="1E2933"/>
                <w:sz w:val="17"/>
              </w:rPr>
              <w:t>Can add productive capacity and generate third-party return</w:t>
            </w:r>
          </w:p>
        </w:tc>
        <w:tc>
          <w:tcPr>
            <w:tcW w:type="dxa" w:w="2305"/>
            <w:vAlign w:val="center"/>
            <w:tcMar>
              <w:top w:w="90" w:type="dxa"/>
              <w:start w:w="110" w:type="dxa"/>
              <w:bottom w:w="90" w:type="dxa"/>
              <w:end w:w="110" w:type="dxa"/>
            </w:tcMar>
          </w:tcPr>
          <w:p>
            <w:pPr>
              <w:spacing w:after="0" w:line="252" w:lineRule="auto"/>
              <w:jc w:val="left"/>
            </w:pPr>
            <w:r>
              <w:rPr>
                <w:color w:val="1E2933"/>
                <w:sz w:val="17"/>
              </w:rPr>
              <w:t>Credit, construction, governance, supply-bottleneck and displacement risk</w:t>
            </w:r>
          </w:p>
        </w:tc>
        <w:tc>
          <w:tcPr>
            <w:tcW w:type="dxa" w:w="2305"/>
            <w:vAlign w:val="center"/>
            <w:tcMar>
              <w:top w:w="90" w:type="dxa"/>
              <w:start w:w="110" w:type="dxa"/>
              <w:bottom w:w="90" w:type="dxa"/>
              <w:end w:w="110" w:type="dxa"/>
            </w:tcMar>
          </w:tcPr>
          <w:p>
            <w:pPr>
              <w:spacing w:after="0" w:line="252" w:lineRule="auto"/>
              <w:jc w:val="left"/>
            </w:pPr>
            <w:r>
              <w:rPr>
                <w:b/>
                <w:sz w:val="17"/>
              </w:rPr>
              <w:t>Yes</w:t>
            </w:r>
            <w:r>
              <w:rPr>
                <w:color w:val="1E2933"/>
                <w:sz w:val="17"/>
              </w:rPr>
              <w:t>, subject to additionality and loss limits</w:t>
            </w:r>
          </w:p>
        </w:tc>
      </w:tr>
      <w:tr>
        <w:trPr>
          <w:cantSplit/>
        </w:trPr>
        <w:tc>
          <w:tcPr>
            <w:tcW w:type="dxa" w:w="2228"/>
            <w:vAlign w:val="center"/>
            <w:tcMar>
              <w:top w:w="90" w:type="dxa"/>
              <w:start w:w="110" w:type="dxa"/>
              <w:bottom w:w="90" w:type="dxa"/>
              <w:end w:w="110" w:type="dxa"/>
            </w:tcMar>
            <w:shd w:fill="F7F9FA"/>
          </w:tcPr>
          <w:p>
            <w:pPr>
              <w:spacing w:after="0" w:line="252" w:lineRule="auto"/>
              <w:jc w:val="left"/>
            </w:pPr>
            <w:r>
              <w:rPr>
                <w:color w:val="1E2933"/>
                <w:sz w:val="17"/>
              </w:rPr>
              <w:t>DMO/NS&amp;I offers a labelled UK Growth Bond</w:t>
            </w:r>
          </w:p>
        </w:tc>
        <w:tc>
          <w:tcPr>
            <w:tcW w:type="dxa" w:w="2305"/>
            <w:vAlign w:val="center"/>
            <w:tcMar>
              <w:top w:w="90" w:type="dxa"/>
              <w:start w:w="110" w:type="dxa"/>
              <w:bottom w:w="90" w:type="dxa"/>
              <w:end w:w="110" w:type="dxa"/>
            </w:tcMar>
            <w:shd w:fill="F7F9FA"/>
          </w:tcPr>
          <w:p>
            <w:pPr>
              <w:spacing w:after="0" w:line="252" w:lineRule="auto"/>
              <w:jc w:val="left"/>
            </w:pPr>
            <w:r>
              <w:rPr>
                <w:color w:val="1E2933"/>
                <w:sz w:val="17"/>
              </w:rPr>
              <w:t>Uses established sovereign or retail distribution and keeps liabilities visible</w:t>
            </w:r>
          </w:p>
        </w:tc>
        <w:tc>
          <w:tcPr>
            <w:tcW w:type="dxa" w:w="2305"/>
            <w:vAlign w:val="center"/>
            <w:tcMar>
              <w:top w:w="90" w:type="dxa"/>
              <w:start w:w="110" w:type="dxa"/>
              <w:bottom w:w="90" w:type="dxa"/>
              <w:end w:w="110" w:type="dxa"/>
            </w:tcMar>
            <w:shd w:fill="F7F9FA"/>
          </w:tcPr>
          <w:p>
            <w:pPr>
              <w:spacing w:after="0" w:line="252" w:lineRule="auto"/>
              <w:jc w:val="left"/>
            </w:pPr>
            <w:r>
              <w:rPr>
                <w:color w:val="1E2933"/>
                <w:sz w:val="17"/>
              </w:rPr>
              <w:t>Still public borrowing; label creates no extra fiscal space</w:t>
            </w:r>
          </w:p>
        </w:tc>
        <w:tc>
          <w:tcPr>
            <w:tcW w:type="dxa" w:w="2305"/>
            <w:vAlign w:val="center"/>
            <w:tcMar>
              <w:top w:w="90" w:type="dxa"/>
              <w:start w:w="110" w:type="dxa"/>
              <w:bottom w:w="90" w:type="dxa"/>
              <w:end w:w="110" w:type="dxa"/>
            </w:tcMar>
            <w:shd w:fill="F7F9FA"/>
          </w:tcPr>
          <w:p>
            <w:pPr>
              <w:spacing w:after="0" w:line="252" w:lineRule="auto"/>
              <w:jc w:val="left"/>
            </w:pPr>
            <w:r>
              <w:rPr>
                <w:b/>
                <w:sz w:val="17"/>
              </w:rPr>
              <w:t>Optional</w:t>
            </w:r>
            <w:r>
              <w:rPr>
                <w:color w:val="1E2933"/>
                <w:sz w:val="17"/>
              </w:rPr>
              <w:t xml:space="preserve"> public participation channel, not new money</w:t>
            </w:r>
          </w:p>
        </w:tc>
      </w:tr>
    </w:tbl>
    <w:p>
      <w:pPr>
        <w:spacing w:after="20"/>
      </w:pPr>
    </w:p>
    <w:p>
      <w:r>
        <w:t xml:space="preserve">Final statistical treatment depends on ONS classification of the Fund's control, risks and market behaviour; public ownership alone does not settle every aggregate. A formal classification decision and OBR scoring should precede launch. The National Wealth Fund's classification to central government is the nearest current precedent. Source: </w:t>
      </w:r>
      <w:r>
        <w:t xml:space="preserve"> </w:t>
      </w:r>
      <w:hyperlink r:id="rId74">
        <w:r>
          <w:rPr>
            <w:color w:val="006D77"/>
            <w:u w:val="single"/>
          </w:rPr>
          <w:t>[58]</w:t>
        </w:r>
      </w:hyperlink>
      <w:r>
        <w:t>.</w:t>
      </w:r>
    </w:p>
    <w:p>
      <w:r>
        <w:t>The recommended policy is therefore:</w:t>
      </w:r>
    </w:p>
    <w:p>
      <w:pPr>
        <w:pStyle w:val="ManualNumber"/>
      </w:pPr>
      <w:r>
        <w:rPr>
          <w:b/>
          <w:color w:val="006D77"/>
        </w:rPr>
        <w:t xml:space="preserve">1.  </w:t>
      </w:r>
      <w:r>
        <w:rPr>
          <w:b/>
        </w:rPr>
        <w:t>Hold short gilts and Treasury bills for liquidity, collateral and cash-flow matching.</w:t>
      </w:r>
      <w:r>
        <w:t xml:space="preserve"> Size the reserve through published stress tests rather than an arbitrary portfolio percentage.</w:t>
      </w:r>
    </w:p>
    <w:p>
      <w:pPr>
        <w:pStyle w:val="ManualNumber"/>
      </w:pPr>
      <w:r>
        <w:rPr>
          <w:b/>
          <w:color w:val="006D77"/>
        </w:rPr>
        <w:t xml:space="preserve">2.  </w:t>
      </w:r>
      <w:r>
        <w:rPr>
          <w:b/>
        </w:rPr>
        <w:t>Do not use gilts as the Fund's claimed growth engine.</w:t>
      </w:r>
      <w:r>
        <w:t xml:space="preserve"> Report their coupons on a separate line and exclude them from the headline measure of new public wealth.</w:t>
      </w:r>
    </w:p>
    <w:p>
      <w:pPr>
        <w:pStyle w:val="ManualNumber"/>
      </w:pPr>
      <w:r>
        <w:rPr>
          <w:b/>
          <w:color w:val="006D77"/>
        </w:rPr>
        <w:t xml:space="preserve">3.  </w:t>
      </w:r>
      <w:r>
        <w:rPr>
          <w:b/>
        </w:rPr>
        <w:t>Keep sovereign borrowing centralised through the Debt Management Office.</w:t>
      </w:r>
      <w:r>
        <w:t xml:space="preserve"> A standing separate issue of UK Shared Growth Fund bonds could fragment government borrowing, obscure liabilities and demand a higher yield. Where Parliament authorises borrowing, the normal Treasury/DMO remit is the cleaner default.</w:t>
      </w:r>
    </w:p>
    <w:p>
      <w:pPr>
        <w:pStyle w:val="ManualNumber"/>
      </w:pPr>
      <w:r>
        <w:rPr>
          <w:b/>
          <w:color w:val="006D77"/>
        </w:rPr>
        <w:t xml:space="preserve">4.  </w:t>
      </w:r>
      <w:r>
        <w:rPr>
          <w:b/>
        </w:rPr>
        <w:t>Permit tightly ring-fenced project finance only by exception.</w:t>
      </w:r>
      <w:r>
        <w:t xml:space="preserve"> Revenue-backed housing, energy or infrastructure vehicles may issue project debt only with full consolidation tests, a leverage ceiling, published guarantees, OBR fiscal treatment, NAO value-for-money review and no suggestion that debt proceeds are income.</w:t>
      </w:r>
    </w:p>
    <w:p>
      <w:pPr>
        <w:pStyle w:val="ManualNumber"/>
      </w:pPr>
      <w:r>
        <w:rPr>
          <w:b/>
          <w:color w:val="006D77"/>
        </w:rPr>
        <w:t xml:space="preserve">5.  </w:t>
      </w:r>
      <w:r>
        <w:rPr>
          <w:b/>
        </w:rPr>
        <w:t>Put long-term capital into additional UK productive assets.</w:t>
      </w:r>
      <w:r>
        <w:t xml:space="preserve"> The core GDP channel should be completed homes, grids, generation, transport, water, care facilities, R&amp;D and productive firms—not the Fund lending mainly back to its own sovereign owner.</w:t>
      </w:r>
    </w:p>
    <w:p>
      <w:r>
        <w:t xml:space="preserve">ONS public-finance statistics consolidate government debt securities held within the public sector. Public borrowing used to acquire project loans or equity therefore generally increases </w:t>
      </w:r>
      <w:r>
        <w:rPr>
          <w:b/>
        </w:rPr>
        <w:t>public-sector net debt</w:t>
      </w:r>
      <w:r>
        <w:t xml:space="preserve">, which recognises only liquid financial assets as offsets; </w:t>
      </w:r>
      <w:r>
        <w:rPr>
          <w:b/>
        </w:rPr>
        <w:t>public-sector net financial liabilities</w:t>
      </w:r>
      <w:r>
        <w:t xml:space="preserve"> also recognise loans and equity at value. A sound asset can initially make the latter measure look better than the former, but default, subsidy or write-down worsens the public balance sheet. The bond issue, loan advance and coupon are financial transactions; GDP changes only through subsequent additional production. Sources: </w:t>
      </w:r>
      <w:r>
        <w:t xml:space="preserve"> </w:t>
      </w:r>
      <w:hyperlink r:id="rId75">
        <w:r>
          <w:rPr>
            <w:color w:val="006D77"/>
            <w:u w:val="single"/>
          </w:rPr>
          <w:t>[59]</w:t>
        </w:r>
      </w:hyperlink>
      <w:r>
        <w:t xml:space="preserve">, </w:t>
      </w:r>
      <w:r>
        <w:t xml:space="preserve"> </w:t>
      </w:r>
      <w:hyperlink r:id="rId45">
        <w:r>
          <w:rPr>
            <w:color w:val="006D77"/>
            <w:u w:val="single"/>
          </w:rPr>
          <w:t>[29]</w:t>
        </w:r>
      </w:hyperlink>
      <w:r>
        <w:t>.</w:t>
      </w:r>
    </w:p>
    <w:p>
      <w:r>
        <w:t xml:space="preserve">Nor should every project loan or equity subscription be assumed deficit-neutral at inception. If there is no effective claim or realistic expected repayment or return, ONS may record some or all of the transaction as capital expenditure rather than a financial asset. The Fund should price expected credit loss and subsidy before approval and show the effect on borrowing, net debt, net financial liabilities and wider public-sector net worth separately. Source: </w:t>
      </w:r>
      <w:r>
        <w:t xml:space="preserve"> </w:t>
      </w:r>
      <w:hyperlink r:id="rId76">
        <w:r>
          <w:rPr>
            <w:color w:val="006D77"/>
            <w:u w:val="single"/>
          </w:rPr>
          <w:t>[60]</w:t>
        </w:r>
      </w:hyperlink>
      <w:r>
        <w:t>.</w:t>
      </w:r>
    </w:p>
    <w:p>
      <w:r>
        <w:t xml:space="preserve">The DMO already manages central-government debt and cash under an annual Treasury financing remit, and states that debt management should minimise long-run cost subject to risk rather than pursue opportunistic short-term gains. Treasury guidance also says public-body private borrowing requires whole-Exchequer value for money and is usually more expensive than central borrowing. That existing single-issuer discipline should be preserved. If public participation is desired, a DMO-labelled gilt or NS&amp;I retail Growth Bond could follow the green-financing model, with allocation and impact reports, but its proceeds remain ordinary public borrowing. Sources: </w:t>
      </w:r>
      <w:r>
        <w:t xml:space="preserve"> </w:t>
      </w:r>
      <w:hyperlink r:id="rId77">
        <w:r>
          <w:rPr>
            <w:color w:val="006D77"/>
            <w:u w:val="single"/>
          </w:rPr>
          <w:t>[61]</w:t>
        </w:r>
      </w:hyperlink>
      <w:r>
        <w:t xml:space="preserve">, </w:t>
      </w:r>
      <w:r>
        <w:t xml:space="preserve"> </w:t>
      </w:r>
      <w:hyperlink r:id="rId78">
        <w:r>
          <w:rPr>
            <w:color w:val="006D77"/>
            <w:u w:val="single"/>
          </w:rPr>
          <w:t>[62]</w:t>
        </w:r>
      </w:hyperlink>
      <w:r>
        <w:t xml:space="preserve">, </w:t>
      </w:r>
      <w:r>
        <w:t xml:space="preserve"> </w:t>
      </w:r>
      <w:hyperlink r:id="rId79">
        <w:r>
          <w:rPr>
            <w:color w:val="006D77"/>
            <w:u w:val="single"/>
          </w:rPr>
          <w:t>[63]</w:t>
        </w:r>
      </w:hyperlink>
      <w:r>
        <w:t>.</w:t>
      </w:r>
    </w:p>
    <w:p>
      <w:r>
        <w:t>The liquidity policy should match cash, Treasury-bill or short-gilt maturities to forecast disbursements, operating costs and stressed collateral calls. Leveraged gilt or repo strategies, yield targeting and speculative derivatives should be prohibited; hedging should be limited to genuine project exposures. The Fund's dashboard should show duration, maturity ladder and stress loss.</w:t>
      </w:r>
    </w:p>
    <w:p>
      <w:pPr>
        <w:pStyle w:val="Heading2"/>
      </w:pPr>
      <w:r>
        <w:t>A7.4 Ten-year Fund-value illustration</w:t>
      </w:r>
    </w:p>
    <w:p>
      <w:r>
        <w:t xml:space="preserve">Using the preliminary retail-rate-proxy net inflow of </w:t>
      </w:r>
      <w:r>
        <w:rPr>
          <w:b/>
        </w:rPr>
        <w:t>£23.63 billion a year</w:t>
      </w:r>
      <w:r>
        <w:t>, paid at each year-end and held entirely in the Fund, produces the following purely mechanical illustration:</w:t>
      </w:r>
    </w:p>
    <w:tbl>
      <w:tblPr>
        <w:tblW w:type="dxa" w:w="9144"/>
        <w:jc w:val="center"/>
        <w:tblLayout w:type="fixed"/>
        <w:tblLook w:firstColumn="1" w:firstRow="1" w:lastColumn="0" w:lastRow="0" w:noHBand="0" w:noVBand="1" w:val="04A0"/>
        <w:tblInd w:type="dxa" w:w="110"/>
      </w:tblPr>
      <w:tblGrid>
        <w:gridCol w:w="2329"/>
        <w:gridCol w:w="1898"/>
        <w:gridCol w:w="2674"/>
        <w:gridCol w:w="2243"/>
      </w:tblGrid>
      <w:tr>
        <w:trPr>
          <w:cantSplit/>
          <w:tblHeader w:val="true"/>
        </w:trPr>
        <w:tc>
          <w:tcPr>
            <w:tcW w:type="dxa" w:w="2329"/>
            <w:vAlign w:val="center"/>
            <w:tcMar>
              <w:top w:w="90" w:type="dxa"/>
              <w:start w:w="110" w:type="dxa"/>
              <w:bottom w:w="90" w:type="dxa"/>
              <w:end w:w="110" w:type="dxa"/>
            </w:tcMar>
            <w:shd w:fill="16324F"/>
          </w:tcPr>
          <w:p>
            <w:pPr>
              <w:spacing w:after="0" w:line="252" w:lineRule="auto"/>
              <w:jc w:val="left"/>
            </w:pPr>
            <w:r>
              <w:rPr>
                <w:b/>
                <w:color w:val="FFFFFF"/>
                <w:sz w:val="17"/>
              </w:rPr>
              <w:t>Constant nominal net return</w:t>
            </w:r>
          </w:p>
        </w:tc>
        <w:tc>
          <w:tcPr>
            <w:tcW w:type="dxa" w:w="1898"/>
            <w:vAlign w:val="center"/>
            <w:tcMar>
              <w:top w:w="90" w:type="dxa"/>
              <w:start w:w="110" w:type="dxa"/>
              <w:bottom w:w="90" w:type="dxa"/>
              <w:end w:w="110" w:type="dxa"/>
            </w:tcMar>
            <w:shd w:fill="16324F"/>
          </w:tcPr>
          <w:p>
            <w:pPr>
              <w:spacing w:after="0" w:line="252" w:lineRule="auto"/>
              <w:jc w:val="left"/>
            </w:pPr>
            <w:r>
              <w:rPr>
                <w:b/>
                <w:color w:val="FFFFFF"/>
                <w:sz w:val="17"/>
              </w:rPr>
              <w:t>Ten-year contributions</w:t>
            </w:r>
          </w:p>
        </w:tc>
        <w:tc>
          <w:tcPr>
            <w:tcW w:type="dxa" w:w="2674"/>
            <w:vAlign w:val="center"/>
            <w:tcMar>
              <w:top w:w="90" w:type="dxa"/>
              <w:start w:w="110" w:type="dxa"/>
              <w:bottom w:w="90" w:type="dxa"/>
              <w:end w:w="110" w:type="dxa"/>
            </w:tcMar>
            <w:shd w:fill="16324F"/>
          </w:tcPr>
          <w:p>
            <w:pPr>
              <w:spacing w:after="0" w:line="252" w:lineRule="auto"/>
              <w:jc w:val="left"/>
            </w:pPr>
            <w:r>
              <w:rPr>
                <w:b/>
                <w:color w:val="FFFFFF"/>
                <w:sz w:val="17"/>
              </w:rPr>
              <w:t>Illustrative year-10 Fund value</w:t>
            </w:r>
          </w:p>
        </w:tc>
        <w:tc>
          <w:tcPr>
            <w:tcW w:type="dxa" w:w="2243"/>
            <w:vAlign w:val="center"/>
            <w:tcMar>
              <w:top w:w="90" w:type="dxa"/>
              <w:start w:w="110" w:type="dxa"/>
              <w:bottom w:w="90" w:type="dxa"/>
              <w:end w:w="110" w:type="dxa"/>
            </w:tcMar>
            <w:shd w:fill="16324F"/>
          </w:tcPr>
          <w:p>
            <w:pPr>
              <w:spacing w:after="0" w:line="252" w:lineRule="auto"/>
              <w:jc w:val="left"/>
            </w:pPr>
            <w:r>
              <w:rPr>
                <w:b/>
                <w:color w:val="FFFFFF"/>
                <w:sz w:val="17"/>
              </w:rPr>
              <w:t>Return above contributions</w:t>
            </w:r>
          </w:p>
        </w:tc>
      </w:tr>
      <w:tr>
        <w:trPr>
          <w:cantSplit/>
        </w:trPr>
        <w:tc>
          <w:tcPr>
            <w:tcW w:type="dxa" w:w="2329"/>
            <w:vAlign w:val="center"/>
            <w:tcMar>
              <w:top w:w="90" w:type="dxa"/>
              <w:start w:w="110" w:type="dxa"/>
              <w:bottom w:w="90" w:type="dxa"/>
              <w:end w:w="110" w:type="dxa"/>
            </w:tcMar>
          </w:tcPr>
          <w:p>
            <w:pPr>
              <w:spacing w:after="0" w:line="252" w:lineRule="auto"/>
              <w:jc w:val="left"/>
            </w:pPr>
            <w:r>
              <w:rPr>
                <w:color w:val="1E2933"/>
                <w:sz w:val="17"/>
              </w:rPr>
              <w:t>0%</w:t>
            </w:r>
          </w:p>
        </w:tc>
        <w:tc>
          <w:tcPr>
            <w:tcW w:type="dxa" w:w="1898"/>
            <w:vAlign w:val="center"/>
            <w:tcMar>
              <w:top w:w="90" w:type="dxa"/>
              <w:start w:w="110" w:type="dxa"/>
              <w:bottom w:w="90" w:type="dxa"/>
              <w:end w:w="110" w:type="dxa"/>
            </w:tcMar>
          </w:tcPr>
          <w:p>
            <w:pPr>
              <w:spacing w:after="0" w:line="252" w:lineRule="auto"/>
              <w:jc w:val="left"/>
            </w:pPr>
            <w:r>
              <w:rPr>
                <w:color w:val="1E2933"/>
                <w:sz w:val="17"/>
              </w:rPr>
              <w:t>£236.3bn</w:t>
            </w:r>
          </w:p>
        </w:tc>
        <w:tc>
          <w:tcPr>
            <w:tcW w:type="dxa" w:w="2674"/>
            <w:vAlign w:val="center"/>
            <w:tcMar>
              <w:top w:w="90" w:type="dxa"/>
              <w:start w:w="110" w:type="dxa"/>
              <w:bottom w:w="90" w:type="dxa"/>
              <w:end w:w="110" w:type="dxa"/>
            </w:tcMar>
          </w:tcPr>
          <w:p>
            <w:pPr>
              <w:spacing w:after="0" w:line="252" w:lineRule="auto"/>
              <w:jc w:val="left"/>
            </w:pPr>
            <w:r>
              <w:rPr>
                <w:color w:val="1E2933"/>
                <w:sz w:val="17"/>
              </w:rPr>
              <w:t>£236.3bn</w:t>
            </w:r>
          </w:p>
        </w:tc>
        <w:tc>
          <w:tcPr>
            <w:tcW w:type="dxa" w:w="2243"/>
            <w:vAlign w:val="center"/>
            <w:tcMar>
              <w:top w:w="90" w:type="dxa"/>
              <w:start w:w="110" w:type="dxa"/>
              <w:bottom w:w="90" w:type="dxa"/>
              <w:end w:w="110" w:type="dxa"/>
            </w:tcMar>
          </w:tcPr>
          <w:p>
            <w:pPr>
              <w:spacing w:after="0" w:line="252" w:lineRule="auto"/>
              <w:jc w:val="left"/>
            </w:pPr>
            <w:r>
              <w:rPr>
                <w:color w:val="1E2933"/>
                <w:sz w:val="17"/>
              </w:rPr>
              <w:t>£0.0bn</w:t>
            </w:r>
          </w:p>
        </w:tc>
      </w:tr>
      <w:tr>
        <w:trPr>
          <w:cantSplit/>
        </w:trPr>
        <w:tc>
          <w:tcPr>
            <w:tcW w:type="dxa" w:w="2329"/>
            <w:vAlign w:val="center"/>
            <w:tcMar>
              <w:top w:w="90" w:type="dxa"/>
              <w:start w:w="110" w:type="dxa"/>
              <w:bottom w:w="90" w:type="dxa"/>
              <w:end w:w="110" w:type="dxa"/>
            </w:tcMar>
            <w:shd w:fill="F7F9FA"/>
          </w:tcPr>
          <w:p>
            <w:pPr>
              <w:spacing w:after="0" w:line="252" w:lineRule="auto"/>
              <w:jc w:val="left"/>
            </w:pPr>
            <w:r>
              <w:rPr>
                <w:color w:val="1E2933"/>
                <w:sz w:val="17"/>
              </w:rPr>
              <w:t>2%</w:t>
            </w:r>
          </w:p>
        </w:tc>
        <w:tc>
          <w:tcPr>
            <w:tcW w:type="dxa" w:w="1898"/>
            <w:vAlign w:val="center"/>
            <w:tcMar>
              <w:top w:w="90" w:type="dxa"/>
              <w:start w:w="110" w:type="dxa"/>
              <w:bottom w:w="90" w:type="dxa"/>
              <w:end w:w="110" w:type="dxa"/>
            </w:tcMar>
            <w:shd w:fill="F7F9FA"/>
          </w:tcPr>
          <w:p>
            <w:pPr>
              <w:spacing w:after="0" w:line="252" w:lineRule="auto"/>
              <w:jc w:val="left"/>
            </w:pPr>
            <w:r>
              <w:rPr>
                <w:color w:val="1E2933"/>
                <w:sz w:val="17"/>
              </w:rPr>
              <w:t>£236.3bn</w:t>
            </w:r>
          </w:p>
        </w:tc>
        <w:tc>
          <w:tcPr>
            <w:tcW w:type="dxa" w:w="2674"/>
            <w:vAlign w:val="center"/>
            <w:tcMar>
              <w:top w:w="90" w:type="dxa"/>
              <w:start w:w="110" w:type="dxa"/>
              <w:bottom w:w="90" w:type="dxa"/>
              <w:end w:w="110" w:type="dxa"/>
            </w:tcMar>
            <w:shd w:fill="F7F9FA"/>
          </w:tcPr>
          <w:p>
            <w:pPr>
              <w:spacing w:after="0" w:line="252" w:lineRule="auto"/>
              <w:jc w:val="left"/>
            </w:pPr>
            <w:r>
              <w:rPr>
                <w:color w:val="1E2933"/>
                <w:sz w:val="17"/>
              </w:rPr>
              <w:t>£258.7bn</w:t>
            </w:r>
          </w:p>
        </w:tc>
        <w:tc>
          <w:tcPr>
            <w:tcW w:type="dxa" w:w="2243"/>
            <w:vAlign w:val="center"/>
            <w:tcMar>
              <w:top w:w="90" w:type="dxa"/>
              <w:start w:w="110" w:type="dxa"/>
              <w:bottom w:w="90" w:type="dxa"/>
              <w:end w:w="110" w:type="dxa"/>
            </w:tcMar>
            <w:shd w:fill="F7F9FA"/>
          </w:tcPr>
          <w:p>
            <w:pPr>
              <w:spacing w:after="0" w:line="252" w:lineRule="auto"/>
              <w:jc w:val="left"/>
            </w:pPr>
            <w:r>
              <w:rPr>
                <w:color w:val="1E2933"/>
                <w:sz w:val="17"/>
              </w:rPr>
              <w:t>£22.4bn</w:t>
            </w:r>
          </w:p>
        </w:tc>
      </w:tr>
      <w:tr>
        <w:trPr>
          <w:cantSplit/>
        </w:trPr>
        <w:tc>
          <w:tcPr>
            <w:tcW w:type="dxa" w:w="2329"/>
            <w:vAlign w:val="center"/>
            <w:tcMar>
              <w:top w:w="90" w:type="dxa"/>
              <w:start w:w="110" w:type="dxa"/>
              <w:bottom w:w="90" w:type="dxa"/>
              <w:end w:w="110" w:type="dxa"/>
            </w:tcMar>
          </w:tcPr>
          <w:p>
            <w:pPr>
              <w:spacing w:after="0" w:line="252" w:lineRule="auto"/>
              <w:jc w:val="left"/>
            </w:pPr>
            <w:r>
              <w:rPr>
                <w:color w:val="1E2933"/>
                <w:sz w:val="17"/>
              </w:rPr>
              <w:t>4%</w:t>
            </w:r>
          </w:p>
        </w:tc>
        <w:tc>
          <w:tcPr>
            <w:tcW w:type="dxa" w:w="1898"/>
            <w:vAlign w:val="center"/>
            <w:tcMar>
              <w:top w:w="90" w:type="dxa"/>
              <w:start w:w="110" w:type="dxa"/>
              <w:bottom w:w="90" w:type="dxa"/>
              <w:end w:w="110" w:type="dxa"/>
            </w:tcMar>
          </w:tcPr>
          <w:p>
            <w:pPr>
              <w:spacing w:after="0" w:line="252" w:lineRule="auto"/>
              <w:jc w:val="left"/>
            </w:pPr>
            <w:r>
              <w:rPr>
                <w:color w:val="1E2933"/>
                <w:sz w:val="17"/>
              </w:rPr>
              <w:t>£236.3bn</w:t>
            </w:r>
          </w:p>
        </w:tc>
        <w:tc>
          <w:tcPr>
            <w:tcW w:type="dxa" w:w="2674"/>
            <w:vAlign w:val="center"/>
            <w:tcMar>
              <w:top w:w="90" w:type="dxa"/>
              <w:start w:w="110" w:type="dxa"/>
              <w:bottom w:w="90" w:type="dxa"/>
              <w:end w:w="110" w:type="dxa"/>
            </w:tcMar>
          </w:tcPr>
          <w:p>
            <w:pPr>
              <w:spacing w:after="0" w:line="252" w:lineRule="auto"/>
              <w:jc w:val="left"/>
            </w:pPr>
            <w:r>
              <w:rPr>
                <w:color w:val="1E2933"/>
                <w:sz w:val="17"/>
              </w:rPr>
              <w:t>£283.7bn</w:t>
            </w:r>
          </w:p>
        </w:tc>
        <w:tc>
          <w:tcPr>
            <w:tcW w:type="dxa" w:w="2243"/>
            <w:vAlign w:val="center"/>
            <w:tcMar>
              <w:top w:w="90" w:type="dxa"/>
              <w:start w:w="110" w:type="dxa"/>
              <w:bottom w:w="90" w:type="dxa"/>
              <w:end w:w="110" w:type="dxa"/>
            </w:tcMar>
          </w:tcPr>
          <w:p>
            <w:pPr>
              <w:spacing w:after="0" w:line="252" w:lineRule="auto"/>
              <w:jc w:val="left"/>
            </w:pPr>
            <w:r>
              <w:rPr>
                <w:color w:val="1E2933"/>
                <w:sz w:val="17"/>
              </w:rPr>
              <w:t>£47.4bn</w:t>
            </w:r>
          </w:p>
        </w:tc>
      </w:tr>
      <w:tr>
        <w:trPr>
          <w:cantSplit/>
        </w:trPr>
        <w:tc>
          <w:tcPr>
            <w:tcW w:type="dxa" w:w="2329"/>
            <w:vAlign w:val="center"/>
            <w:tcMar>
              <w:top w:w="90" w:type="dxa"/>
              <w:start w:w="110" w:type="dxa"/>
              <w:bottom w:w="90" w:type="dxa"/>
              <w:end w:w="110" w:type="dxa"/>
            </w:tcMar>
            <w:shd w:fill="F7F9FA"/>
          </w:tcPr>
          <w:p>
            <w:pPr>
              <w:spacing w:after="0" w:line="252" w:lineRule="auto"/>
              <w:jc w:val="left"/>
            </w:pPr>
            <w:r>
              <w:rPr>
                <w:color w:val="1E2933"/>
                <w:sz w:val="17"/>
              </w:rPr>
              <w:t>6%</w:t>
            </w:r>
          </w:p>
        </w:tc>
        <w:tc>
          <w:tcPr>
            <w:tcW w:type="dxa" w:w="1898"/>
            <w:vAlign w:val="center"/>
            <w:tcMar>
              <w:top w:w="90" w:type="dxa"/>
              <w:start w:w="110" w:type="dxa"/>
              <w:bottom w:w="90" w:type="dxa"/>
              <w:end w:w="110" w:type="dxa"/>
            </w:tcMar>
            <w:shd w:fill="F7F9FA"/>
          </w:tcPr>
          <w:p>
            <w:pPr>
              <w:spacing w:after="0" w:line="252" w:lineRule="auto"/>
              <w:jc w:val="left"/>
            </w:pPr>
            <w:r>
              <w:rPr>
                <w:color w:val="1E2933"/>
                <w:sz w:val="17"/>
              </w:rPr>
              <w:t>£236.3bn</w:t>
            </w:r>
          </w:p>
        </w:tc>
        <w:tc>
          <w:tcPr>
            <w:tcW w:type="dxa" w:w="2674"/>
            <w:vAlign w:val="center"/>
            <w:tcMar>
              <w:top w:w="90" w:type="dxa"/>
              <w:start w:w="110" w:type="dxa"/>
              <w:bottom w:w="90" w:type="dxa"/>
              <w:end w:w="110" w:type="dxa"/>
            </w:tcMar>
            <w:shd w:fill="F7F9FA"/>
          </w:tcPr>
          <w:p>
            <w:pPr>
              <w:spacing w:after="0" w:line="252" w:lineRule="auto"/>
              <w:jc w:val="left"/>
            </w:pPr>
            <w:r>
              <w:rPr>
                <w:color w:val="1E2933"/>
                <w:sz w:val="17"/>
              </w:rPr>
              <w:t>£311.5bn</w:t>
            </w:r>
          </w:p>
        </w:tc>
        <w:tc>
          <w:tcPr>
            <w:tcW w:type="dxa" w:w="2243"/>
            <w:vAlign w:val="center"/>
            <w:tcMar>
              <w:top w:w="90" w:type="dxa"/>
              <w:start w:w="110" w:type="dxa"/>
              <w:bottom w:w="90" w:type="dxa"/>
              <w:end w:w="110" w:type="dxa"/>
            </w:tcMar>
            <w:shd w:fill="F7F9FA"/>
          </w:tcPr>
          <w:p>
            <w:pPr>
              <w:spacing w:after="0" w:line="252" w:lineRule="auto"/>
              <w:jc w:val="left"/>
            </w:pPr>
            <w:r>
              <w:rPr>
                <w:color w:val="1E2933"/>
                <w:sz w:val="17"/>
              </w:rPr>
              <w:t>£75.2bn</w:t>
            </w:r>
          </w:p>
        </w:tc>
      </w:tr>
    </w:tbl>
    <w:p>
      <w:pPr>
        <w:spacing w:after="20"/>
      </w:pPr>
    </w:p>
    <w:p>
      <w:r>
        <w:t xml:space="preserve">This is </w:t>
      </w:r>
      <w:r>
        <w:rPr>
          <w:b/>
        </w:rPr>
        <w:t>not a forecast</w:t>
      </w:r>
      <w:r>
        <w:t>. It assumes a constant annual contribution, no behavioural loss, no failed investment, no drawdown, no inflation adjustment and no additional administration. It shows the compounding mechanism only. The correct forecast must use stochastic returns, asset-specific losses, project-delivery lags and a baseline in which private savings and investment would also have earned something.</w:t>
      </w:r>
    </w:p>
    <w:p>
      <w:pPr>
        <w:pStyle w:val="Heading1"/>
      </w:pPr>
      <w:r>
        <w:t>A8. GDP, inflation and the rule against double counting</w:t>
      </w:r>
    </w:p>
    <w:p>
      <w:pPr>
        <w:pStyle w:val="Heading2"/>
      </w:pPr>
      <w:r>
        <w:t>A8.1 What does not increase GDP</w:t>
      </w:r>
    </w:p>
    <w:p>
      <w:pPr>
        <w:pStyle w:val="ListBullet"/>
      </w:pPr>
      <w:r>
        <w:t>Paying the Universal Payment is a transfer; the transfer itself is not production.</w:t>
      </w:r>
    </w:p>
    <w:p>
      <w:pPr>
        <w:pStyle w:val="ListBullet"/>
      </w:pPr>
      <w:r>
        <w:t>Assigning interest from a household to government is also a transfer.</w:t>
      </w:r>
    </w:p>
    <w:p>
      <w:pPr>
        <w:pStyle w:val="ListBullet"/>
      </w:pPr>
      <w:r>
        <w:t>Issuing a mortgage on an existing home is a financial transaction.</w:t>
      </w:r>
    </w:p>
    <w:p>
      <w:pPr>
        <w:pStyle w:val="ListBullet"/>
      </w:pPr>
      <w:r>
        <w:t>Receiving interest or repayment of loan principal is not automatically additional national output.</w:t>
      </w:r>
    </w:p>
    <w:p>
      <w:pPr>
        <w:pStyle w:val="Heading2"/>
      </w:pPr>
      <w:r>
        <w:t>A8.2 What can increase real GDP</w:t>
      </w:r>
    </w:p>
    <w:p>
      <w:r>
        <w:t>Real GDP can rise when the fund causes additional domestic consumption, construction, capital formation, labour participation, business formation or productivity that would not otherwise occur.</w:t>
      </w:r>
    </w:p>
    <w:p>
      <w:r>
        <w:t>The central identity for the interest module is:</w:t>
      </w:r>
    </w:p>
    <w:p>
      <w:r>
        <w:rPr>
          <w:b/>
        </w:rPr>
        <w:t>Change in real GDP = productive public-capital effect + private investment crowded in + useful demand effect - reduced household spending and investment - bank-credit contraction - imports - crowding out - transition failures.</w:t>
      </w:r>
    </w:p>
    <w:p>
      <w:r>
        <w:t xml:space="preserve">The OBR's October 2024 modelling provides a useful scale check. In that forecast, approximately </w:t>
      </w:r>
      <w:r>
        <w:rPr>
          <w:b/>
        </w:rPr>
        <w:t>£100 billion of additional cumulative capital spending by 2029-30</w:t>
      </w:r>
      <w:r>
        <w:t xml:space="preserve"> raised potential output by about </w:t>
      </w:r>
      <w:r>
        <w:rPr>
          <w:b/>
        </w:rPr>
        <w:t>0.14% in that year</w:t>
      </w:r>
      <w:r>
        <w:t>, with effects growing as projects completed and were used. That is a context-specific benchmark, not a transferable coefficient.</w:t>
      </w:r>
    </w:p>
    <w:p>
      <w:r>
        <w:t xml:space="preserve">The current 75% static calculation produces a preliminary £23.63 billion annual net inflow before public costs and behaviour. Five unchanged annual flows would total </w:t>
      </w:r>
      <w:r>
        <w:rPr>
          <w:b/>
        </w:rPr>
        <w:t>£118.15 billion</w:t>
      </w:r>
      <w:r>
        <w:t xml:space="preserve">. A deliberately crude proportional comparison with the OBR case gives about </w:t>
      </w:r>
      <w:r>
        <w:rPr>
          <w:b/>
        </w:rPr>
        <w:t>0.17% higher potential output around year five</w:t>
      </w:r>
      <w:r>
        <w:t xml:space="preserve"> before subtracting bank-funding effects, household responses, imports, crowding out, delays and failed projects. This is a scale sensitivity, not a forecast or a claim that all Fund spending is equivalent to public capital expenditure.</w:t>
      </w:r>
    </w:p>
    <w:p>
      <w:r>
        <w:t>The full five-to-ten-year model must instead build up GDP from the actual project mix and timing. It should compare at least a central, successful-delivery, banking-stress and avoidance case; show a fan of real-GDP and GDP-per-head outcomes against the same OBR baseline; and publish separate contributions from demand, labour supply, capital stock, productivity, imports and monetary-policy response.</w:t>
      </w:r>
    </w:p>
    <w:p>
      <w:r>
        <w:t xml:space="preserve">Before commencement, and at each fiscal event after commencement, the OBR should publish or certify five- and ten-year paths for real and nominal GDP, inflation, productivity, labour supply, consumption, deposit migration, bank funding and lending rates, receipts, borrowing, debt interest, public-sector net debt, net financial liabilities, Fund returns, losses and guarantees. It should evaluate the government's forecast, not inherit the Fund's preferred success case. Source: </w:t>
      </w:r>
      <w:r>
        <w:t xml:space="preserve"> </w:t>
      </w:r>
      <w:hyperlink r:id="rId80">
        <w:r>
          <w:rPr>
            <w:color w:val="006D77"/>
            <w:u w:val="single"/>
          </w:rPr>
          <w:t>[64]</w:t>
        </w:r>
      </w:hyperlink>
      <w:r>
        <w:t>.</w:t>
      </w:r>
    </w:p>
    <w:p>
      <w:r>
        <w:t xml:space="preserve">Source: </w:t>
      </w:r>
      <w:r>
        <w:t xml:space="preserve"> </w:t>
      </w:r>
      <w:hyperlink r:id="rId81">
        <w:r>
          <w:rPr>
            <w:color w:val="006D77"/>
            <w:u w:val="single"/>
          </w:rPr>
          <w:t>[65]</w:t>
        </w:r>
      </w:hyperlink>
      <w:r>
        <w:t>.</w:t>
      </w:r>
    </w:p>
    <w:p>
      <w:r>
        <w:t xml:space="preserve">The latest ONS release available for this draft estimated that real GDP grew 0.4% in Quarter 2 2026 and real GDP per head also grew 0.4%. The eventual Universal Payment forecast should be presented as a difference from an OBR/Bank of England baseline, not as a standalone invented GDP path. Source: </w:t>
      </w:r>
      <w:r>
        <w:t xml:space="preserve"> </w:t>
      </w:r>
      <w:hyperlink r:id="rId82">
        <w:r>
          <w:rPr>
            <w:color w:val="006D77"/>
            <w:u w:val="single"/>
          </w:rPr>
          <w:t>[66]</w:t>
        </w:r>
      </w:hyperlink>
      <w:r>
        <w:t>.</w:t>
      </w:r>
    </w:p>
    <w:p>
      <w:pPr>
        <w:pStyle w:val="Heading2"/>
      </w:pPr>
      <w:r>
        <w:t>A8.3 One pound cannot do two jobs</w:t>
      </w:r>
    </w:p>
    <w:p>
      <w:r>
        <w:t>There are three legitimate accounting choices:</w:t>
      </w:r>
    </w:p>
    <w:p>
      <w:pPr>
        <w:pStyle w:val="ManualNumber"/>
      </w:pPr>
      <w:r>
        <w:rPr>
          <w:b/>
          <w:color w:val="006D77"/>
        </w:rPr>
        <w:t xml:space="preserve">1.  </w:t>
      </w:r>
      <w:r>
        <w:t>Use CIC receipts to finance the Universal Payment. This reduces the annual cash gap but gives no separate Growth Fund investment of the same money.</w:t>
      </w:r>
    </w:p>
    <w:p>
      <w:pPr>
        <w:pStyle w:val="ManualNumber"/>
      </w:pPr>
      <w:r>
        <w:rPr>
          <w:b/>
          <w:color w:val="006D77"/>
        </w:rPr>
        <w:t xml:space="preserve">2.  </w:t>
      </w:r>
      <w:r>
        <w:t>Invest all CIC receipts in the UK Shared Growth Fund. This creates public assets and a possible GDP channel, but it does not reduce the current Universal Payment cash gap pound for pound.</w:t>
      </w:r>
    </w:p>
    <w:p>
      <w:pPr>
        <w:pStyle w:val="ManualNumber"/>
      </w:pPr>
      <w:r>
        <w:rPr>
          <w:b/>
          <w:color w:val="006D77"/>
        </w:rPr>
        <w:t xml:space="preserve">3.  </w:t>
      </w:r>
      <w:r>
        <w:t>Split the receipt transparently between the payment and investment.</w:t>
      </w:r>
    </w:p>
    <w:p>
      <w:r>
        <w:t>The model must never subtract the same £23.63 billion preliminary inflow from the funding gap and then also count £23.63 billion of new investment. Nor may it count government-bond proceeds as revenue, a public Fund's Treasury coupon as new whole-economy income, or a loan repayment as GDP.</w:t>
      </w:r>
    </w:p>
    <w:p>
      <w:pPr>
        <w:pStyle w:val="Heading2"/>
      </w:pPr>
      <w:r>
        <w:t>A8.4 Inflation risks</w:t>
      </w:r>
    </w:p>
    <w:p>
      <w:r>
        <w:t>An abrupt 75/25 redirection of the saver's entire return can raise inflation through several routes even if it later increases supply:</w:t>
      </w:r>
    </w:p>
    <w:p>
      <w:pPr>
        <w:pStyle w:val="ListBullet"/>
      </w:pPr>
      <w:r>
        <w:t>households may save less and consume more immediately;</w:t>
      </w:r>
    </w:p>
    <w:p>
      <w:pPr>
        <w:pStyle w:val="ListBullet"/>
      </w:pPr>
      <w:r>
        <w:t>money may move into existing houses and financial assets, increasing asset prices;</w:t>
      </w:r>
    </w:p>
    <w:p>
      <w:pPr>
        <w:pStyle w:val="ListBullet"/>
      </w:pPr>
      <w:r>
        <w:t>bank deposit funding may shrink, raising mortgage and business-credit rates;</w:t>
      </w:r>
    </w:p>
    <w:p>
      <w:pPr>
        <w:pStyle w:val="ListBullet"/>
      </w:pPr>
      <w:r>
        <w:t>overseas asset switching may weaken sterling and raise import prices;</w:t>
      </w:r>
    </w:p>
    <w:p>
      <w:pPr>
        <w:pStyle w:val="ListBullet"/>
      </w:pPr>
      <w:r>
        <w:t>the Universal Payment may increase demand before housing, energy, food, care and transport capacity expands.</w:t>
      </w:r>
    </w:p>
    <w:p>
      <w:r>
        <w:t>The Growth Fund should therefore front-load supply bottlenecks and phase payment expansion against observable real capacity. The Bank of England must retain independent control of monetary policy.</w:t>
      </w:r>
    </w:p>
    <w:p>
      <w:r>
        <w:t>The relevant inequality mechanism should be tested rather than assumed. Wealth concentration can lower broad consumption when additional income accrues to households with a lower propensity to spend, while scarcity of housing, land, energy or care can let asset owners capture new demand through higher prices. The model should therefore measure wealth deciles, marginal propensities to consume, market concentration, rents, mark-ups and capacity utilisation alongside consumer-price inflation. Consumption taxes and transaction taxes may recycle part of higher spending to government, but the model must record the imported content and cannot treat every pound of turnover as either GDP or net revenue.</w:t>
      </w:r>
    </w:p>
    <w:p>
      <w:pPr>
        <w:pStyle w:val="Heading2"/>
      </w:pPr>
      <w:r>
        <w:t>A8.5 Projection baseline and fiscal gate</w:t>
      </w:r>
    </w:p>
    <w:p>
      <w:r>
        <w:t xml:space="preserve">The projection uses </w:t>
      </w:r>
      <w:r>
        <w:rPr>
          <w:b/>
        </w:rPr>
        <w:t>real GDP</w:t>
      </w:r>
      <w:r>
        <w:t xml:space="preserve">, because a rise in nominal GDP caused only by higher prices does not mean that the country produces or can consume more. The OBR's March 2026 calendar-year forecast has real growth of </w:t>
      </w:r>
      <w:r>
        <w:rPr>
          <w:b/>
        </w:rPr>
        <w:t>1.6% in 2027, 1.6% in 2028, 1.5% in 2029 and 1.5% in 2030</w:t>
      </w:r>
      <w:r>
        <w:t xml:space="preserve">. Its published real-GDP level, originally indexed to 2019, is rebased here so that 2026 equals 100. From 2031 to 2036 this paper transparently extrapolates real growth at </w:t>
      </w:r>
      <w:r>
        <w:rPr>
          <w:b/>
        </w:rPr>
        <w:t>1.5%</w:t>
      </w:r>
      <w:r>
        <w:t xml:space="preserve">, the OBR's horizon potential-growth rate. Those later values are this paper's baseline assumption, not an OBR forecast. Sources: </w:t>
      </w:r>
      <w:r>
        <w:t xml:space="preserve"> </w:t>
      </w:r>
      <w:hyperlink r:id="rId83">
        <w:r>
          <w:rPr>
            <w:color w:val="006D77"/>
            <w:u w:val="single"/>
          </w:rPr>
          <w:t>[67]</w:t>
        </w:r>
      </w:hyperlink>
      <w:r>
        <w:t xml:space="preserve">, </w:t>
      </w:r>
      <w:r>
        <w:t xml:space="preserve"> </w:t>
      </w:r>
      <w:hyperlink r:id="rId84">
        <w:r>
          <w:rPr>
            <w:color w:val="006D77"/>
            <w:u w:val="single"/>
          </w:rPr>
          <w:t>[68]</w:t>
        </w:r>
      </w:hyperlink>
      <w:r>
        <w:t>.</w:t>
      </w:r>
    </w:p>
    <w:p>
      <w:r>
        <w:t xml:space="preserve">The full £3,000 payment enters the scenarios only as a </w:t>
      </w:r>
      <w:r>
        <w:rPr>
          <w:b/>
        </w:rPr>
        <w:t>staged, fiscally closed and capacity-gated reform</w:t>
      </w:r>
      <w:r>
        <w:t>. The illustrations assume abstractly that Parliament specifies the taxes, offsets and timing needed to close each year's gap and does not require monetary financing. No such complete financing schedule exists yet. Because the tax mix, eligibility, indexation and rollout timing determine labour, demand and inflation, none of the four paths is assigned a probability and the reference path is not a best estimate. They are hand-calibrated policy sensitivities, not an economically identified or officially scored forecast.</w:t>
      </w:r>
    </w:p>
    <w:p>
      <w:r>
        <w:t xml:space="preserve">An immediate unfunded national launch is deliberately marked </w:t>
      </w:r>
      <w:r>
        <w:rPr>
          <w:b/>
        </w:rPr>
        <w:t>not forecastable</w:t>
      </w:r>
      <w:r>
        <w:t xml:space="preserve">. Borrowing or creating money for the remaining annual gap—still more than half of the current GDP baseline in the rough static bridge—would change inflation expectations, monetary policy, interest rates, sterling, migration, asset prices and the tax base. The OBR's ordinary small-policy multipliers cannot responsibly be scaled linearly to that regime change. Source: </w:t>
      </w:r>
      <w:r>
        <w:t xml:space="preserve"> </w:t>
      </w:r>
      <w:hyperlink r:id="rId85">
        <w:r>
          <w:rPr>
            <w:color w:val="006D77"/>
            <w:u w:val="single"/>
          </w:rPr>
          <w:t>[69]</w:t>
        </w:r>
      </w:hyperlink>
      <w:r>
        <w:t>.</w:t>
      </w:r>
    </w:p>
    <w:p>
      <w:r>
        <w:t>The scenarios incorporate the policies as follows:</w:t>
      </w:r>
    </w:p>
    <w:p>
      <w:pPr>
        <w:pStyle w:val="ListBullet"/>
      </w:pPr>
      <w:r>
        <w:t>the Personal Allowance remains, the Universal Payment is taxable, and normal progressive tax applies to other earnings without payment withdrawal;</w:t>
      </w:r>
    </w:p>
    <w:p>
      <w:pPr>
        <w:pStyle w:val="ListBullet"/>
      </w:pPr>
      <w:r>
        <w:t>every unrestricted personal government payment is incorporated only as the Universal Payment starts, including State Pension, disability, housing, carer and child cash support;</w:t>
      </w:r>
    </w:p>
    <w:p>
      <w:pPr>
        <w:pStyle w:val="ListBullet"/>
      </w:pPr>
      <w:r>
        <w:t>professional services remain funded, including NHS care, commissioned social care and assessed direct-payment care; provider-linked childcare and workplace-support budgets are retained or rerouted rather than counted as savings;</w:t>
      </w:r>
    </w:p>
    <w:p>
      <w:pPr>
        <w:pStyle w:val="ListBullet"/>
      </w:pPr>
      <w:r>
        <w:t xml:space="preserve">transition, parallel running, contract exit, data migration, retraining and estate costs occur before the </w:t>
      </w:r>
      <w:r>
        <w:rPr>
          <w:b/>
        </w:rPr>
        <w:t>£4.5 billion central mature administrative saving</w:t>
      </w:r>
      <w:r>
        <w:t xml:space="preserve"> (sensitivity £2.5 billion to £7.0 billion);</w:t>
      </w:r>
    </w:p>
    <w:p>
      <w:pPr>
        <w:pStyle w:val="ListBullet"/>
      </w:pPr>
      <w:r>
        <w:t>no unevidenced charity-fraud recovery is booked, and care, advocacy and emergency activity remain; productive redeployment is tested separately;</w:t>
      </w:r>
    </w:p>
    <w:p>
      <w:pPr>
        <w:pStyle w:val="ListBullet"/>
      </w:pPr>
      <w:r>
        <w:t>the CIC is invested rather than used as current payment finance; household interest loss, displaced savings tax, deposit switching, bank funding and credit are all included;</w:t>
      </w:r>
    </w:p>
    <w:p>
      <w:pPr>
        <w:pStyle w:val="ListBullet"/>
      </w:pPr>
      <w:r>
        <w:t>the Fund counts only additional completed UK production and productive capacity; financial returns count only when reinvested, internal gilt coupons consolidate to zero, and mortgages on existing homes add no direct GDP;</w:t>
      </w:r>
    </w:p>
    <w:p>
      <w:pPr>
        <w:pStyle w:val="ListBullet"/>
      </w:pPr>
      <w:r>
        <w:t>housing benefits arise only through new building, renovation or enabling infrastructure, with supply, labour, materials, imports and monetary-policy constraints applied.</w:t>
      </w:r>
    </w:p>
    <w:p>
      <w:pPr>
        <w:pStyle w:val="Heading2"/>
      </w:pPr>
      <w:r>
        <w:t>A8.6 Ten-year real-GDP projection, 2027 to 2036</w:t>
      </w:r>
    </w:p>
    <w:p>
      <w:r>
        <w:t xml:space="preserve">The percentage figures in the last four columns are </w:t>
      </w:r>
      <w:r>
        <w:rPr>
          <w:b/>
        </w:rPr>
        <w:t>illustrative GDP-level differences from the same no-policy baseline in that year</w:t>
      </w:r>
      <w:r>
        <w:t>. They are not annual growth rates and must not be added together across years. The funded-reference index is calculated as baseline index × (1 + reference level difference). Its annual-growth column then compares each year's reference index with the previous year. Scenario effects are rounded to one decimal point to avoid false precision.</w:t>
      </w:r>
    </w:p>
    <w:tbl>
      <w:tblPr>
        <w:tblW w:type="dxa" w:w="9145"/>
        <w:jc w:val="center"/>
        <w:tblLayout w:type="fixed"/>
        <w:tblLook w:firstColumn="1" w:firstRow="1" w:lastColumn="0" w:lastRow="0" w:noHBand="0" w:noVBand="1" w:val="04A0"/>
        <w:tblInd w:type="dxa" w:w="110"/>
      </w:tblPr>
      <w:tblGrid>
        <w:gridCol w:w="878"/>
        <w:gridCol w:w="1220"/>
        <w:gridCol w:w="878"/>
        <w:gridCol w:w="976"/>
        <w:gridCol w:w="1324"/>
        <w:gridCol w:w="1220"/>
        <w:gridCol w:w="1150"/>
        <w:gridCol w:w="1499"/>
      </w:tblGrid>
      <w:tr>
        <w:trPr>
          <w:cantSplit/>
          <w:tblHeader w:val="true"/>
        </w:trPr>
        <w:tc>
          <w:tcPr>
            <w:tcW w:type="dxa" w:w="878"/>
            <w:vAlign w:val="center"/>
            <w:tcMar>
              <w:top w:w="90" w:type="dxa"/>
              <w:start w:w="110" w:type="dxa"/>
              <w:bottom w:w="90" w:type="dxa"/>
              <w:end w:w="110" w:type="dxa"/>
            </w:tcMar>
            <w:shd w:fill="16324F"/>
          </w:tcPr>
          <w:p>
            <w:pPr>
              <w:spacing w:after="0" w:line="252" w:lineRule="auto"/>
              <w:jc w:val="left"/>
            </w:pPr>
            <w:r>
              <w:rPr>
                <w:b/>
                <w:color w:val="FFFFFF"/>
                <w:sz w:val="16"/>
              </w:rPr>
              <w:t>Year</w:t>
            </w:r>
          </w:p>
        </w:tc>
        <w:tc>
          <w:tcPr>
            <w:tcW w:type="dxa" w:w="1220"/>
            <w:vAlign w:val="center"/>
            <w:tcMar>
              <w:top w:w="90" w:type="dxa"/>
              <w:start w:w="110" w:type="dxa"/>
              <w:bottom w:w="90" w:type="dxa"/>
              <w:end w:w="110" w:type="dxa"/>
            </w:tcMar>
            <w:shd w:fill="16324F"/>
          </w:tcPr>
          <w:p>
            <w:pPr>
              <w:spacing w:after="0" w:line="252" w:lineRule="auto"/>
              <w:jc w:val="left"/>
            </w:pPr>
            <w:r>
              <w:rPr>
                <w:b/>
                <w:color w:val="FFFFFF"/>
                <w:sz w:val="16"/>
              </w:rPr>
              <w:t>No-policy real-GDP index (2026=100)</w:t>
            </w:r>
          </w:p>
        </w:tc>
        <w:tc>
          <w:tcPr>
            <w:tcW w:type="dxa" w:w="878"/>
            <w:vAlign w:val="center"/>
            <w:tcMar>
              <w:top w:w="90" w:type="dxa"/>
              <w:start w:w="110" w:type="dxa"/>
              <w:bottom w:w="90" w:type="dxa"/>
              <w:end w:w="110" w:type="dxa"/>
            </w:tcMar>
            <w:shd w:fill="16324F"/>
          </w:tcPr>
          <w:p>
            <w:pPr>
              <w:spacing w:after="0" w:line="252" w:lineRule="auto"/>
              <w:jc w:val="left"/>
            </w:pPr>
            <w:r>
              <w:rPr>
                <w:b/>
                <w:color w:val="FFFFFF"/>
                <w:sz w:val="16"/>
              </w:rPr>
              <w:t>Funded-reference index</w:t>
            </w:r>
          </w:p>
        </w:tc>
        <w:tc>
          <w:tcPr>
            <w:tcW w:type="dxa" w:w="976"/>
            <w:vAlign w:val="center"/>
            <w:tcMar>
              <w:top w:w="90" w:type="dxa"/>
              <w:start w:w="110" w:type="dxa"/>
              <w:bottom w:w="90" w:type="dxa"/>
              <w:end w:w="110" w:type="dxa"/>
            </w:tcMar>
            <w:shd w:fill="16324F"/>
          </w:tcPr>
          <w:p>
            <w:pPr>
              <w:spacing w:after="0" w:line="252" w:lineRule="auto"/>
              <w:jc w:val="left"/>
            </w:pPr>
            <w:r>
              <w:rPr>
                <w:b/>
                <w:color w:val="FFFFFF"/>
                <w:sz w:val="16"/>
              </w:rPr>
              <w:t>Reference annual real growth</w:t>
            </w:r>
          </w:p>
        </w:tc>
        <w:tc>
          <w:tcPr>
            <w:tcW w:type="dxa" w:w="1324"/>
            <w:vAlign w:val="center"/>
            <w:tcMar>
              <w:top w:w="90" w:type="dxa"/>
              <w:start w:w="110" w:type="dxa"/>
              <w:bottom w:w="90" w:type="dxa"/>
              <w:end w:w="110" w:type="dxa"/>
            </w:tcMar>
            <w:shd w:fill="16324F"/>
          </w:tcPr>
          <w:p>
            <w:pPr>
              <w:spacing w:after="0" w:line="252" w:lineRule="auto"/>
              <w:jc w:val="left"/>
            </w:pPr>
            <w:r>
              <w:rPr>
                <w:b/>
                <w:color w:val="FFFFFF"/>
                <w:sz w:val="16"/>
              </w:rPr>
              <w:t>Successful delivery: level vs baseline</w:t>
            </w:r>
          </w:p>
        </w:tc>
        <w:tc>
          <w:tcPr>
            <w:tcW w:type="dxa" w:w="1220"/>
            <w:vAlign w:val="center"/>
            <w:tcMar>
              <w:top w:w="90" w:type="dxa"/>
              <w:start w:w="110" w:type="dxa"/>
              <w:bottom w:w="90" w:type="dxa"/>
              <w:end w:w="110" w:type="dxa"/>
            </w:tcMar>
            <w:shd w:fill="16324F"/>
          </w:tcPr>
          <w:p>
            <w:pPr>
              <w:spacing w:after="0" w:line="252" w:lineRule="auto"/>
              <w:jc w:val="left"/>
            </w:pPr>
            <w:r>
              <w:rPr>
                <w:b/>
                <w:color w:val="FFFFFF"/>
                <w:sz w:val="16"/>
              </w:rPr>
              <w:t>Funded reference: level vs baseline</w:t>
            </w:r>
          </w:p>
        </w:tc>
        <w:tc>
          <w:tcPr>
            <w:tcW w:type="dxa" w:w="1150"/>
            <w:vAlign w:val="center"/>
            <w:tcMar>
              <w:top w:w="90" w:type="dxa"/>
              <w:start w:w="110" w:type="dxa"/>
              <w:bottom w:w="90" w:type="dxa"/>
              <w:end w:w="110" w:type="dxa"/>
            </w:tcMar>
            <w:shd w:fill="16324F"/>
          </w:tcPr>
          <w:p>
            <w:pPr>
              <w:spacing w:after="0" w:line="252" w:lineRule="auto"/>
              <w:jc w:val="left"/>
            </w:pPr>
            <w:r>
              <w:rPr>
                <w:b/>
                <w:color w:val="FFFFFF"/>
                <w:sz w:val="16"/>
              </w:rPr>
              <w:t>Banking stress: level vs baseline</w:t>
            </w:r>
          </w:p>
        </w:tc>
        <w:tc>
          <w:tcPr>
            <w:tcW w:type="dxa" w:w="1499"/>
            <w:vAlign w:val="center"/>
            <w:tcMar>
              <w:top w:w="90" w:type="dxa"/>
              <w:start w:w="110" w:type="dxa"/>
              <w:bottom w:w="90" w:type="dxa"/>
              <w:end w:w="110" w:type="dxa"/>
            </w:tcMar>
            <w:shd w:fill="16324F"/>
          </w:tcPr>
          <w:p>
            <w:pPr>
              <w:spacing w:after="0" w:line="252" w:lineRule="auto"/>
              <w:jc w:val="left"/>
            </w:pPr>
            <w:r>
              <w:rPr>
                <w:b/>
                <w:color w:val="FFFFFF"/>
                <w:sz w:val="16"/>
              </w:rPr>
              <w:t>Avoidance/fiscal leakage: level vs baseline</w:t>
            </w:r>
          </w:p>
        </w:tc>
      </w:tr>
      <w:tr>
        <w:trPr>
          <w:cantSplit/>
        </w:trPr>
        <w:tc>
          <w:tcPr>
            <w:tcW w:type="dxa" w:w="878"/>
            <w:vAlign w:val="center"/>
            <w:tcMar>
              <w:top w:w="90" w:type="dxa"/>
              <w:start w:w="110" w:type="dxa"/>
              <w:bottom w:w="90" w:type="dxa"/>
              <w:end w:w="110" w:type="dxa"/>
            </w:tcMar>
          </w:tcPr>
          <w:p>
            <w:pPr>
              <w:spacing w:after="0" w:line="252" w:lineRule="auto"/>
              <w:jc w:val="left"/>
            </w:pPr>
            <w:r>
              <w:rPr>
                <w:color w:val="1E2933"/>
                <w:sz w:val="16"/>
              </w:rPr>
              <w:t>2027</w:t>
            </w:r>
          </w:p>
        </w:tc>
        <w:tc>
          <w:tcPr>
            <w:tcW w:type="dxa" w:w="1220"/>
            <w:vAlign w:val="center"/>
            <w:tcMar>
              <w:top w:w="90" w:type="dxa"/>
              <w:start w:w="110" w:type="dxa"/>
              <w:bottom w:w="90" w:type="dxa"/>
              <w:end w:w="110" w:type="dxa"/>
            </w:tcMar>
          </w:tcPr>
          <w:p>
            <w:pPr>
              <w:spacing w:after="0" w:line="252" w:lineRule="auto"/>
              <w:jc w:val="left"/>
            </w:pPr>
            <w:r>
              <w:rPr>
                <w:color w:val="1E2933"/>
                <w:sz w:val="16"/>
              </w:rPr>
              <w:t>101.59</w:t>
            </w:r>
          </w:p>
        </w:tc>
        <w:tc>
          <w:tcPr>
            <w:tcW w:type="dxa" w:w="878"/>
            <w:vAlign w:val="center"/>
            <w:tcMar>
              <w:top w:w="90" w:type="dxa"/>
              <w:start w:w="110" w:type="dxa"/>
              <w:bottom w:w="90" w:type="dxa"/>
              <w:end w:w="110" w:type="dxa"/>
            </w:tcMar>
          </w:tcPr>
          <w:p>
            <w:pPr>
              <w:spacing w:after="0" w:line="252" w:lineRule="auto"/>
              <w:jc w:val="left"/>
            </w:pPr>
            <w:r>
              <w:rPr>
                <w:color w:val="1E2933"/>
                <w:sz w:val="16"/>
              </w:rPr>
              <w:t>101.39</w:t>
            </w:r>
          </w:p>
        </w:tc>
        <w:tc>
          <w:tcPr>
            <w:tcW w:type="dxa" w:w="976"/>
            <w:vAlign w:val="center"/>
            <w:tcMar>
              <w:top w:w="90" w:type="dxa"/>
              <w:start w:w="110" w:type="dxa"/>
              <w:bottom w:w="90" w:type="dxa"/>
              <w:end w:w="110" w:type="dxa"/>
            </w:tcMar>
          </w:tcPr>
          <w:p>
            <w:pPr>
              <w:spacing w:after="0" w:line="252" w:lineRule="auto"/>
              <w:jc w:val="left"/>
            </w:pPr>
            <w:r>
              <w:rPr>
                <w:color w:val="1E2933"/>
                <w:sz w:val="16"/>
              </w:rPr>
              <w:t>1.39%</w:t>
            </w:r>
          </w:p>
        </w:tc>
        <w:tc>
          <w:tcPr>
            <w:tcW w:type="dxa" w:w="1324"/>
            <w:vAlign w:val="center"/>
            <w:tcMar>
              <w:top w:w="90" w:type="dxa"/>
              <w:start w:w="110" w:type="dxa"/>
              <w:bottom w:w="90" w:type="dxa"/>
              <w:end w:w="110" w:type="dxa"/>
            </w:tcMar>
          </w:tcPr>
          <w:p>
            <w:pPr>
              <w:spacing w:after="0" w:line="252" w:lineRule="auto"/>
              <w:jc w:val="left"/>
            </w:pPr>
            <w:r>
              <w:rPr>
                <w:color w:val="1E2933"/>
                <w:sz w:val="16"/>
              </w:rPr>
              <w:t>0.0%</w:t>
            </w:r>
          </w:p>
        </w:tc>
        <w:tc>
          <w:tcPr>
            <w:tcW w:type="dxa" w:w="1220"/>
            <w:vAlign w:val="center"/>
            <w:tcMar>
              <w:top w:w="90" w:type="dxa"/>
              <w:start w:w="110" w:type="dxa"/>
              <w:bottom w:w="90" w:type="dxa"/>
              <w:end w:w="110" w:type="dxa"/>
            </w:tcMar>
          </w:tcPr>
          <w:p>
            <w:pPr>
              <w:spacing w:after="0" w:line="252" w:lineRule="auto"/>
              <w:jc w:val="left"/>
            </w:pPr>
            <w:r>
              <w:rPr>
                <w:color w:val="1E2933"/>
                <w:sz w:val="16"/>
              </w:rPr>
              <w:t>−0.2%</w:t>
            </w:r>
          </w:p>
        </w:tc>
        <w:tc>
          <w:tcPr>
            <w:tcW w:type="dxa" w:w="1150"/>
            <w:vAlign w:val="center"/>
            <w:tcMar>
              <w:top w:w="90" w:type="dxa"/>
              <w:start w:w="110" w:type="dxa"/>
              <w:bottom w:w="90" w:type="dxa"/>
              <w:end w:w="110" w:type="dxa"/>
            </w:tcMar>
          </w:tcPr>
          <w:p>
            <w:pPr>
              <w:spacing w:after="0" w:line="252" w:lineRule="auto"/>
              <w:jc w:val="left"/>
            </w:pPr>
            <w:r>
              <w:rPr>
                <w:color w:val="1E2933"/>
                <w:sz w:val="16"/>
              </w:rPr>
              <w:t>−0.6%</w:t>
            </w:r>
          </w:p>
        </w:tc>
        <w:tc>
          <w:tcPr>
            <w:tcW w:type="dxa" w:w="1499"/>
            <w:vAlign w:val="center"/>
            <w:tcMar>
              <w:top w:w="90" w:type="dxa"/>
              <w:start w:w="110" w:type="dxa"/>
              <w:bottom w:w="90" w:type="dxa"/>
              <w:end w:w="110" w:type="dxa"/>
            </w:tcMar>
          </w:tcPr>
          <w:p>
            <w:pPr>
              <w:spacing w:after="0" w:line="252" w:lineRule="auto"/>
              <w:jc w:val="left"/>
            </w:pPr>
            <w:r>
              <w:rPr>
                <w:color w:val="1E2933"/>
                <w:sz w:val="16"/>
              </w:rPr>
              <w:t>−0.4%</w:t>
            </w:r>
          </w:p>
        </w:tc>
      </w:tr>
      <w:tr>
        <w:trPr>
          <w:cantSplit/>
        </w:trPr>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2028</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103.19</w:t>
            </w:r>
          </w:p>
        </w:tc>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102.78</w:t>
            </w:r>
          </w:p>
        </w:tc>
        <w:tc>
          <w:tcPr>
            <w:tcW w:type="dxa" w:w="976"/>
            <w:vAlign w:val="center"/>
            <w:tcMar>
              <w:top w:w="90" w:type="dxa"/>
              <w:start w:w="110" w:type="dxa"/>
              <w:bottom w:w="90" w:type="dxa"/>
              <w:end w:w="110" w:type="dxa"/>
            </w:tcMar>
            <w:shd w:fill="F7F9FA"/>
          </w:tcPr>
          <w:p>
            <w:pPr>
              <w:spacing w:after="0" w:line="252" w:lineRule="auto"/>
              <w:jc w:val="left"/>
            </w:pPr>
            <w:r>
              <w:rPr>
                <w:color w:val="1E2933"/>
                <w:sz w:val="16"/>
              </w:rPr>
              <w:t>1.37%</w:t>
            </w:r>
          </w:p>
        </w:tc>
        <w:tc>
          <w:tcPr>
            <w:tcW w:type="dxa" w:w="1324"/>
            <w:vAlign w:val="center"/>
            <w:tcMar>
              <w:top w:w="90" w:type="dxa"/>
              <w:start w:w="110" w:type="dxa"/>
              <w:bottom w:w="90" w:type="dxa"/>
              <w:end w:w="110" w:type="dxa"/>
            </w:tcMar>
            <w:shd w:fill="F7F9FA"/>
          </w:tcPr>
          <w:p>
            <w:pPr>
              <w:spacing w:after="0" w:line="252" w:lineRule="auto"/>
              <w:jc w:val="left"/>
            </w:pPr>
            <w:r>
              <w:rPr>
                <w:color w:val="1E2933"/>
                <w:sz w:val="16"/>
              </w:rPr>
              <w:t>0.0%</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−0.4%</w:t>
            </w:r>
          </w:p>
        </w:tc>
        <w:tc>
          <w:tcPr>
            <w:tcW w:type="dxa" w:w="1150"/>
            <w:vAlign w:val="center"/>
            <w:tcMar>
              <w:top w:w="90" w:type="dxa"/>
              <w:start w:w="110" w:type="dxa"/>
              <w:bottom w:w="90" w:type="dxa"/>
              <w:end w:w="110" w:type="dxa"/>
            </w:tcMar>
            <w:shd w:fill="F7F9FA"/>
          </w:tcPr>
          <w:p>
            <w:pPr>
              <w:spacing w:after="0" w:line="252" w:lineRule="auto"/>
              <w:jc w:val="left"/>
            </w:pPr>
            <w:r>
              <w:rPr>
                <w:color w:val="1E2933"/>
                <w:sz w:val="16"/>
              </w:rPr>
              <w:t>−1.4%</w:t>
            </w:r>
          </w:p>
        </w:tc>
        <w:tc>
          <w:tcPr>
            <w:tcW w:type="dxa" w:w="1499"/>
            <w:vAlign w:val="center"/>
            <w:tcMar>
              <w:top w:w="90" w:type="dxa"/>
              <w:start w:w="110" w:type="dxa"/>
              <w:bottom w:w="90" w:type="dxa"/>
              <w:end w:w="110" w:type="dxa"/>
            </w:tcMar>
            <w:shd w:fill="F7F9FA"/>
          </w:tcPr>
          <w:p>
            <w:pPr>
              <w:spacing w:after="0" w:line="252" w:lineRule="auto"/>
              <w:jc w:val="left"/>
            </w:pPr>
            <w:r>
              <w:rPr>
                <w:color w:val="1E2933"/>
                <w:sz w:val="16"/>
              </w:rPr>
              <w:t>−1.1%</w:t>
            </w:r>
          </w:p>
        </w:tc>
      </w:tr>
      <w:tr>
        <w:trPr>
          <w:cantSplit/>
        </w:trPr>
        <w:tc>
          <w:tcPr>
            <w:tcW w:type="dxa" w:w="878"/>
            <w:vAlign w:val="center"/>
            <w:tcMar>
              <w:top w:w="90" w:type="dxa"/>
              <w:start w:w="110" w:type="dxa"/>
              <w:bottom w:w="90" w:type="dxa"/>
              <w:end w:w="110" w:type="dxa"/>
            </w:tcMar>
          </w:tcPr>
          <w:p>
            <w:pPr>
              <w:spacing w:after="0" w:line="252" w:lineRule="auto"/>
              <w:jc w:val="left"/>
            </w:pPr>
            <w:r>
              <w:rPr>
                <w:color w:val="1E2933"/>
                <w:sz w:val="16"/>
              </w:rPr>
              <w:t>2029</w:t>
            </w:r>
          </w:p>
        </w:tc>
        <w:tc>
          <w:tcPr>
            <w:tcW w:type="dxa" w:w="1220"/>
            <w:vAlign w:val="center"/>
            <w:tcMar>
              <w:top w:w="90" w:type="dxa"/>
              <w:start w:w="110" w:type="dxa"/>
              <w:bottom w:w="90" w:type="dxa"/>
              <w:end w:w="110" w:type="dxa"/>
            </w:tcMar>
          </w:tcPr>
          <w:p>
            <w:pPr>
              <w:spacing w:after="0" w:line="252" w:lineRule="auto"/>
              <w:jc w:val="left"/>
            </w:pPr>
            <w:r>
              <w:rPr>
                <w:color w:val="1E2933"/>
                <w:sz w:val="16"/>
              </w:rPr>
              <w:t>104.78</w:t>
            </w:r>
          </w:p>
        </w:tc>
        <w:tc>
          <w:tcPr>
            <w:tcW w:type="dxa" w:w="878"/>
            <w:vAlign w:val="center"/>
            <w:tcMar>
              <w:top w:w="90" w:type="dxa"/>
              <w:start w:w="110" w:type="dxa"/>
              <w:bottom w:w="90" w:type="dxa"/>
              <w:end w:w="110" w:type="dxa"/>
            </w:tcMar>
          </w:tcPr>
          <w:p>
            <w:pPr>
              <w:spacing w:after="0" w:line="252" w:lineRule="auto"/>
              <w:jc w:val="left"/>
            </w:pPr>
            <w:r>
              <w:rPr>
                <w:color w:val="1E2933"/>
                <w:sz w:val="16"/>
              </w:rPr>
              <w:t>103.84</w:t>
            </w:r>
          </w:p>
        </w:tc>
        <w:tc>
          <w:tcPr>
            <w:tcW w:type="dxa" w:w="976"/>
            <w:vAlign w:val="center"/>
            <w:tcMar>
              <w:top w:w="90" w:type="dxa"/>
              <w:start w:w="110" w:type="dxa"/>
              <w:bottom w:w="90" w:type="dxa"/>
              <w:end w:w="110" w:type="dxa"/>
            </w:tcMar>
          </w:tcPr>
          <w:p>
            <w:pPr>
              <w:spacing w:after="0" w:line="252" w:lineRule="auto"/>
              <w:jc w:val="left"/>
            </w:pPr>
            <w:r>
              <w:rPr>
                <w:color w:val="1E2933"/>
                <w:sz w:val="16"/>
              </w:rPr>
              <w:t>1.03%</w:t>
            </w:r>
          </w:p>
        </w:tc>
        <w:tc>
          <w:tcPr>
            <w:tcW w:type="dxa" w:w="1324"/>
            <w:vAlign w:val="center"/>
            <w:tcMar>
              <w:top w:w="90" w:type="dxa"/>
              <w:start w:w="110" w:type="dxa"/>
              <w:bottom w:w="90" w:type="dxa"/>
              <w:end w:w="110" w:type="dxa"/>
            </w:tcMar>
          </w:tcPr>
          <w:p>
            <w:pPr>
              <w:spacing w:after="0" w:line="252" w:lineRule="auto"/>
              <w:jc w:val="left"/>
            </w:pPr>
            <w:r>
              <w:rPr>
                <w:color w:val="1E2933"/>
                <w:sz w:val="16"/>
              </w:rPr>
              <w:t>+0.2%</w:t>
            </w:r>
          </w:p>
        </w:tc>
        <w:tc>
          <w:tcPr>
            <w:tcW w:type="dxa" w:w="1220"/>
            <w:vAlign w:val="center"/>
            <w:tcMar>
              <w:top w:w="90" w:type="dxa"/>
              <w:start w:w="110" w:type="dxa"/>
              <w:bottom w:w="90" w:type="dxa"/>
              <w:end w:w="110" w:type="dxa"/>
            </w:tcMar>
          </w:tcPr>
          <w:p>
            <w:pPr>
              <w:spacing w:after="0" w:line="252" w:lineRule="auto"/>
              <w:jc w:val="left"/>
            </w:pPr>
            <w:r>
              <w:rPr>
                <w:color w:val="1E2933"/>
                <w:sz w:val="16"/>
              </w:rPr>
              <w:t>−0.9%</w:t>
            </w:r>
          </w:p>
        </w:tc>
        <w:tc>
          <w:tcPr>
            <w:tcW w:type="dxa" w:w="1150"/>
            <w:vAlign w:val="center"/>
            <w:tcMar>
              <w:top w:w="90" w:type="dxa"/>
              <w:start w:w="110" w:type="dxa"/>
              <w:bottom w:w="90" w:type="dxa"/>
              <w:end w:w="110" w:type="dxa"/>
            </w:tcMar>
          </w:tcPr>
          <w:p>
            <w:pPr>
              <w:spacing w:after="0" w:line="252" w:lineRule="auto"/>
              <w:jc w:val="left"/>
            </w:pPr>
            <w:r>
              <w:rPr>
                <w:color w:val="1E2933"/>
                <w:sz w:val="16"/>
              </w:rPr>
              <w:t>−3.0%</w:t>
            </w:r>
          </w:p>
        </w:tc>
        <w:tc>
          <w:tcPr>
            <w:tcW w:type="dxa" w:w="1499"/>
            <w:vAlign w:val="center"/>
            <w:tcMar>
              <w:top w:w="90" w:type="dxa"/>
              <w:start w:w="110" w:type="dxa"/>
              <w:bottom w:w="90" w:type="dxa"/>
              <w:end w:w="110" w:type="dxa"/>
            </w:tcMar>
          </w:tcPr>
          <w:p>
            <w:pPr>
              <w:spacing w:after="0" w:line="252" w:lineRule="auto"/>
              <w:jc w:val="left"/>
            </w:pPr>
            <w:r>
              <w:rPr>
                <w:color w:val="1E2933"/>
                <w:sz w:val="16"/>
              </w:rPr>
              <w:t>−2.2%</w:t>
            </w:r>
          </w:p>
        </w:tc>
      </w:tr>
      <w:tr>
        <w:trPr>
          <w:cantSplit/>
        </w:trPr>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2030</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106.37</w:t>
            </w:r>
          </w:p>
        </w:tc>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104.88</w:t>
            </w:r>
          </w:p>
        </w:tc>
        <w:tc>
          <w:tcPr>
            <w:tcW w:type="dxa" w:w="976"/>
            <w:vAlign w:val="center"/>
            <w:tcMar>
              <w:top w:w="90" w:type="dxa"/>
              <w:start w:w="110" w:type="dxa"/>
              <w:bottom w:w="90" w:type="dxa"/>
              <w:end w:w="110" w:type="dxa"/>
            </w:tcMar>
            <w:shd w:fill="F7F9FA"/>
          </w:tcPr>
          <w:p>
            <w:pPr>
              <w:spacing w:after="0" w:line="252" w:lineRule="auto"/>
              <w:jc w:val="left"/>
            </w:pPr>
            <w:r>
              <w:rPr>
                <w:color w:val="1E2933"/>
                <w:sz w:val="16"/>
              </w:rPr>
              <w:t>1.01%</w:t>
            </w:r>
          </w:p>
        </w:tc>
        <w:tc>
          <w:tcPr>
            <w:tcW w:type="dxa" w:w="1324"/>
            <w:vAlign w:val="center"/>
            <w:tcMar>
              <w:top w:w="90" w:type="dxa"/>
              <w:start w:w="110" w:type="dxa"/>
              <w:bottom w:w="90" w:type="dxa"/>
              <w:end w:w="110" w:type="dxa"/>
            </w:tcMar>
            <w:shd w:fill="F7F9FA"/>
          </w:tcPr>
          <w:p>
            <w:pPr>
              <w:spacing w:after="0" w:line="252" w:lineRule="auto"/>
              <w:jc w:val="left"/>
            </w:pPr>
            <w:r>
              <w:rPr>
                <w:color w:val="1E2933"/>
                <w:sz w:val="16"/>
              </w:rPr>
              <w:t>+0.6%</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−1.4%</w:t>
            </w:r>
          </w:p>
        </w:tc>
        <w:tc>
          <w:tcPr>
            <w:tcW w:type="dxa" w:w="1150"/>
            <w:vAlign w:val="center"/>
            <w:tcMar>
              <w:top w:w="90" w:type="dxa"/>
              <w:start w:w="110" w:type="dxa"/>
              <w:bottom w:w="90" w:type="dxa"/>
              <w:end w:w="110" w:type="dxa"/>
            </w:tcMar>
            <w:shd w:fill="F7F9FA"/>
          </w:tcPr>
          <w:p>
            <w:pPr>
              <w:spacing w:after="0" w:line="252" w:lineRule="auto"/>
              <w:jc w:val="left"/>
            </w:pPr>
            <w:r>
              <w:rPr>
                <w:color w:val="1E2933"/>
                <w:sz w:val="16"/>
              </w:rPr>
              <w:t>−4.5%</w:t>
            </w:r>
          </w:p>
        </w:tc>
        <w:tc>
          <w:tcPr>
            <w:tcW w:type="dxa" w:w="1499"/>
            <w:vAlign w:val="center"/>
            <w:tcMar>
              <w:top w:w="90" w:type="dxa"/>
              <w:start w:w="110" w:type="dxa"/>
              <w:bottom w:w="90" w:type="dxa"/>
              <w:end w:w="110" w:type="dxa"/>
            </w:tcMar>
            <w:shd w:fill="F7F9FA"/>
          </w:tcPr>
          <w:p>
            <w:pPr>
              <w:spacing w:after="0" w:line="252" w:lineRule="auto"/>
              <w:jc w:val="left"/>
            </w:pPr>
            <w:r>
              <w:rPr>
                <w:color w:val="1E2933"/>
                <w:sz w:val="16"/>
              </w:rPr>
              <w:t>−3.4%</w:t>
            </w:r>
          </w:p>
        </w:tc>
      </w:tr>
      <w:tr>
        <w:trPr>
          <w:cantSplit/>
        </w:trPr>
        <w:tc>
          <w:tcPr>
            <w:tcW w:type="dxa" w:w="878"/>
            <w:vAlign w:val="center"/>
            <w:tcMar>
              <w:top w:w="90" w:type="dxa"/>
              <w:start w:w="110" w:type="dxa"/>
              <w:bottom w:w="90" w:type="dxa"/>
              <w:end w:w="110" w:type="dxa"/>
            </w:tcMar>
          </w:tcPr>
          <w:p>
            <w:pPr>
              <w:spacing w:after="0" w:line="252" w:lineRule="auto"/>
              <w:jc w:val="left"/>
            </w:pPr>
            <w:r>
              <w:rPr>
                <w:color w:val="1E2933"/>
                <w:sz w:val="16"/>
              </w:rPr>
              <w:t>2031</w:t>
            </w:r>
          </w:p>
        </w:tc>
        <w:tc>
          <w:tcPr>
            <w:tcW w:type="dxa" w:w="1220"/>
            <w:vAlign w:val="center"/>
            <w:tcMar>
              <w:top w:w="90" w:type="dxa"/>
              <w:start w:w="110" w:type="dxa"/>
              <w:bottom w:w="90" w:type="dxa"/>
              <w:end w:w="110" w:type="dxa"/>
            </w:tcMar>
          </w:tcPr>
          <w:p>
            <w:pPr>
              <w:spacing w:after="0" w:line="252" w:lineRule="auto"/>
              <w:jc w:val="left"/>
            </w:pPr>
            <w:r>
              <w:rPr>
                <w:color w:val="1E2933"/>
                <w:sz w:val="16"/>
              </w:rPr>
              <w:t>107.97</w:t>
            </w:r>
          </w:p>
        </w:tc>
        <w:tc>
          <w:tcPr>
            <w:tcW w:type="dxa" w:w="878"/>
            <w:vAlign w:val="center"/>
            <w:tcMar>
              <w:top w:w="90" w:type="dxa"/>
              <w:start w:w="110" w:type="dxa"/>
              <w:bottom w:w="90" w:type="dxa"/>
              <w:end w:w="110" w:type="dxa"/>
            </w:tcMar>
          </w:tcPr>
          <w:p>
            <w:pPr>
              <w:spacing w:after="0" w:line="252" w:lineRule="auto"/>
              <w:jc w:val="left"/>
            </w:pPr>
            <w:r>
              <w:rPr>
                <w:color w:val="1E2933"/>
                <w:sz w:val="16"/>
              </w:rPr>
              <w:t>105.92</w:t>
            </w:r>
          </w:p>
        </w:tc>
        <w:tc>
          <w:tcPr>
            <w:tcW w:type="dxa" w:w="976"/>
            <w:vAlign w:val="center"/>
            <w:tcMar>
              <w:top w:w="90" w:type="dxa"/>
              <w:start w:w="110" w:type="dxa"/>
              <w:bottom w:w="90" w:type="dxa"/>
              <w:end w:w="110" w:type="dxa"/>
            </w:tcMar>
          </w:tcPr>
          <w:p>
            <w:pPr>
              <w:spacing w:after="0" w:line="252" w:lineRule="auto"/>
              <w:jc w:val="left"/>
            </w:pPr>
            <w:r>
              <w:rPr>
                <w:color w:val="1E2933"/>
                <w:sz w:val="16"/>
              </w:rPr>
              <w:t>0.99%</w:t>
            </w:r>
          </w:p>
        </w:tc>
        <w:tc>
          <w:tcPr>
            <w:tcW w:type="dxa" w:w="1324"/>
            <w:vAlign w:val="center"/>
            <w:tcMar>
              <w:top w:w="90" w:type="dxa"/>
              <w:start w:w="110" w:type="dxa"/>
              <w:bottom w:w="90" w:type="dxa"/>
              <w:end w:w="110" w:type="dxa"/>
            </w:tcMar>
          </w:tcPr>
          <w:p>
            <w:pPr>
              <w:spacing w:after="0" w:line="252" w:lineRule="auto"/>
              <w:jc w:val="left"/>
            </w:pPr>
            <w:r>
              <w:rPr>
                <w:color w:val="1E2933"/>
                <w:sz w:val="16"/>
              </w:rPr>
              <w:t>+1.1%</w:t>
            </w:r>
          </w:p>
        </w:tc>
        <w:tc>
          <w:tcPr>
            <w:tcW w:type="dxa" w:w="1220"/>
            <w:vAlign w:val="center"/>
            <w:tcMar>
              <w:top w:w="90" w:type="dxa"/>
              <w:start w:w="110" w:type="dxa"/>
              <w:bottom w:w="90" w:type="dxa"/>
              <w:end w:w="110" w:type="dxa"/>
            </w:tcMar>
          </w:tcPr>
          <w:p>
            <w:pPr>
              <w:spacing w:after="0" w:line="252" w:lineRule="auto"/>
              <w:jc w:val="left"/>
            </w:pPr>
            <w:r>
              <w:rPr>
                <w:color w:val="1E2933"/>
                <w:sz w:val="16"/>
              </w:rPr>
              <w:t>−1.9%</w:t>
            </w:r>
          </w:p>
        </w:tc>
        <w:tc>
          <w:tcPr>
            <w:tcW w:type="dxa" w:w="1150"/>
            <w:vAlign w:val="center"/>
            <w:tcMar>
              <w:top w:w="90" w:type="dxa"/>
              <w:start w:w="110" w:type="dxa"/>
              <w:bottom w:w="90" w:type="dxa"/>
              <w:end w:w="110" w:type="dxa"/>
            </w:tcMar>
          </w:tcPr>
          <w:p>
            <w:pPr>
              <w:spacing w:after="0" w:line="252" w:lineRule="auto"/>
              <w:jc w:val="left"/>
            </w:pPr>
            <w:r>
              <w:rPr>
                <w:color w:val="1E2933"/>
                <w:sz w:val="16"/>
              </w:rPr>
              <w:t>−5.9%</w:t>
            </w:r>
          </w:p>
        </w:tc>
        <w:tc>
          <w:tcPr>
            <w:tcW w:type="dxa" w:w="1499"/>
            <w:vAlign w:val="center"/>
            <w:tcMar>
              <w:top w:w="90" w:type="dxa"/>
              <w:start w:w="110" w:type="dxa"/>
              <w:bottom w:w="90" w:type="dxa"/>
              <w:end w:w="110" w:type="dxa"/>
            </w:tcMar>
          </w:tcPr>
          <w:p>
            <w:pPr>
              <w:spacing w:after="0" w:line="252" w:lineRule="auto"/>
              <w:jc w:val="left"/>
            </w:pPr>
            <w:r>
              <w:rPr>
                <w:color w:val="1E2933"/>
                <w:sz w:val="16"/>
              </w:rPr>
              <w:t>−4.9%</w:t>
            </w:r>
          </w:p>
        </w:tc>
      </w:tr>
      <w:tr>
        <w:trPr>
          <w:cantSplit/>
        </w:trPr>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2032</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109.59</w:t>
            </w:r>
          </w:p>
        </w:tc>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107.07</w:t>
            </w:r>
          </w:p>
        </w:tc>
        <w:tc>
          <w:tcPr>
            <w:tcW w:type="dxa" w:w="976"/>
            <w:vAlign w:val="center"/>
            <w:tcMar>
              <w:top w:w="90" w:type="dxa"/>
              <w:start w:w="110" w:type="dxa"/>
              <w:bottom w:w="90" w:type="dxa"/>
              <w:end w:w="110" w:type="dxa"/>
            </w:tcMar>
            <w:shd w:fill="F7F9FA"/>
          </w:tcPr>
          <w:p>
            <w:pPr>
              <w:spacing w:after="0" w:line="252" w:lineRule="auto"/>
              <w:jc w:val="left"/>
            </w:pPr>
            <w:r>
              <w:rPr>
                <w:color w:val="1E2933"/>
                <w:sz w:val="16"/>
              </w:rPr>
              <w:t>1.09%</w:t>
            </w:r>
          </w:p>
        </w:tc>
        <w:tc>
          <w:tcPr>
            <w:tcW w:type="dxa" w:w="1324"/>
            <w:vAlign w:val="center"/>
            <w:tcMar>
              <w:top w:w="90" w:type="dxa"/>
              <w:start w:w="110" w:type="dxa"/>
              <w:bottom w:w="90" w:type="dxa"/>
              <w:end w:w="110" w:type="dxa"/>
            </w:tcMar>
            <w:shd w:fill="F7F9FA"/>
          </w:tcPr>
          <w:p>
            <w:pPr>
              <w:spacing w:after="0" w:line="252" w:lineRule="auto"/>
              <w:jc w:val="left"/>
            </w:pPr>
            <w:r>
              <w:rPr>
                <w:color w:val="1E2933"/>
                <w:sz w:val="16"/>
              </w:rPr>
              <w:t>+1.5%</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−2.3%</w:t>
            </w:r>
          </w:p>
        </w:tc>
        <w:tc>
          <w:tcPr>
            <w:tcW w:type="dxa" w:w="1150"/>
            <w:vAlign w:val="center"/>
            <w:tcMar>
              <w:top w:w="90" w:type="dxa"/>
              <w:start w:w="110" w:type="dxa"/>
              <w:bottom w:w="90" w:type="dxa"/>
              <w:end w:w="110" w:type="dxa"/>
            </w:tcMar>
            <w:shd w:fill="F7F9FA"/>
          </w:tcPr>
          <w:p>
            <w:pPr>
              <w:spacing w:after="0" w:line="252" w:lineRule="auto"/>
              <w:jc w:val="left"/>
            </w:pPr>
            <w:r>
              <w:rPr>
                <w:color w:val="1E2933"/>
                <w:sz w:val="16"/>
              </w:rPr>
              <w:t>−6.7%</w:t>
            </w:r>
          </w:p>
        </w:tc>
        <w:tc>
          <w:tcPr>
            <w:tcW w:type="dxa" w:w="1499"/>
            <w:vAlign w:val="center"/>
            <w:tcMar>
              <w:top w:w="90" w:type="dxa"/>
              <w:start w:w="110" w:type="dxa"/>
              <w:bottom w:w="90" w:type="dxa"/>
              <w:end w:w="110" w:type="dxa"/>
            </w:tcMar>
            <w:shd w:fill="F7F9FA"/>
          </w:tcPr>
          <w:p>
            <w:pPr>
              <w:spacing w:after="0" w:line="252" w:lineRule="auto"/>
              <w:jc w:val="left"/>
            </w:pPr>
            <w:r>
              <w:rPr>
                <w:color w:val="1E2933"/>
                <w:sz w:val="16"/>
              </w:rPr>
              <w:t>−6.0%</w:t>
            </w:r>
          </w:p>
        </w:tc>
      </w:tr>
      <w:tr>
        <w:trPr>
          <w:cantSplit/>
        </w:trPr>
        <w:tc>
          <w:tcPr>
            <w:tcW w:type="dxa" w:w="878"/>
            <w:vAlign w:val="center"/>
            <w:tcMar>
              <w:top w:w="90" w:type="dxa"/>
              <w:start w:w="110" w:type="dxa"/>
              <w:bottom w:w="90" w:type="dxa"/>
              <w:end w:w="110" w:type="dxa"/>
            </w:tcMar>
          </w:tcPr>
          <w:p>
            <w:pPr>
              <w:spacing w:after="0" w:line="252" w:lineRule="auto"/>
              <w:jc w:val="left"/>
            </w:pPr>
            <w:r>
              <w:rPr>
                <w:color w:val="1E2933"/>
                <w:sz w:val="16"/>
              </w:rPr>
              <w:t>2033</w:t>
            </w:r>
          </w:p>
        </w:tc>
        <w:tc>
          <w:tcPr>
            <w:tcW w:type="dxa" w:w="1220"/>
            <w:vAlign w:val="center"/>
            <w:tcMar>
              <w:top w:w="90" w:type="dxa"/>
              <w:start w:w="110" w:type="dxa"/>
              <w:bottom w:w="90" w:type="dxa"/>
              <w:end w:w="110" w:type="dxa"/>
            </w:tcMar>
          </w:tcPr>
          <w:p>
            <w:pPr>
              <w:spacing w:after="0" w:line="252" w:lineRule="auto"/>
              <w:jc w:val="left"/>
            </w:pPr>
            <w:r>
              <w:rPr>
                <w:color w:val="1E2933"/>
                <w:sz w:val="16"/>
              </w:rPr>
              <w:t>111.23</w:t>
            </w:r>
          </w:p>
        </w:tc>
        <w:tc>
          <w:tcPr>
            <w:tcW w:type="dxa" w:w="878"/>
            <w:vAlign w:val="center"/>
            <w:tcMar>
              <w:top w:w="90" w:type="dxa"/>
              <w:start w:w="110" w:type="dxa"/>
              <w:bottom w:w="90" w:type="dxa"/>
              <w:end w:w="110" w:type="dxa"/>
            </w:tcMar>
          </w:tcPr>
          <w:p>
            <w:pPr>
              <w:spacing w:after="0" w:line="252" w:lineRule="auto"/>
              <w:jc w:val="left"/>
            </w:pPr>
            <w:r>
              <w:rPr>
                <w:color w:val="1E2933"/>
                <w:sz w:val="16"/>
              </w:rPr>
              <w:t>108.45</w:t>
            </w:r>
          </w:p>
        </w:tc>
        <w:tc>
          <w:tcPr>
            <w:tcW w:type="dxa" w:w="976"/>
            <w:vAlign w:val="center"/>
            <w:tcMar>
              <w:top w:w="90" w:type="dxa"/>
              <w:start w:w="110" w:type="dxa"/>
              <w:bottom w:w="90" w:type="dxa"/>
              <w:end w:w="110" w:type="dxa"/>
            </w:tcMar>
          </w:tcPr>
          <w:p>
            <w:pPr>
              <w:spacing w:after="0" w:line="252" w:lineRule="auto"/>
              <w:jc w:val="left"/>
            </w:pPr>
            <w:r>
              <w:rPr>
                <w:color w:val="1E2933"/>
                <w:sz w:val="16"/>
              </w:rPr>
              <w:t>1.29%</w:t>
            </w:r>
          </w:p>
        </w:tc>
        <w:tc>
          <w:tcPr>
            <w:tcW w:type="dxa" w:w="1324"/>
            <w:vAlign w:val="center"/>
            <w:tcMar>
              <w:top w:w="90" w:type="dxa"/>
              <w:start w:w="110" w:type="dxa"/>
              <w:bottom w:w="90" w:type="dxa"/>
              <w:end w:w="110" w:type="dxa"/>
            </w:tcMar>
          </w:tcPr>
          <w:p>
            <w:pPr>
              <w:spacing w:after="0" w:line="252" w:lineRule="auto"/>
              <w:jc w:val="left"/>
            </w:pPr>
            <w:r>
              <w:rPr>
                <w:color w:val="1E2933"/>
                <w:sz w:val="16"/>
              </w:rPr>
              <w:t>+2.0%</w:t>
            </w:r>
          </w:p>
        </w:tc>
        <w:tc>
          <w:tcPr>
            <w:tcW w:type="dxa" w:w="1220"/>
            <w:vAlign w:val="center"/>
            <w:tcMar>
              <w:top w:w="90" w:type="dxa"/>
              <w:start w:w="110" w:type="dxa"/>
              <w:bottom w:w="90" w:type="dxa"/>
              <w:end w:w="110" w:type="dxa"/>
            </w:tcMar>
          </w:tcPr>
          <w:p>
            <w:pPr>
              <w:spacing w:after="0" w:line="252" w:lineRule="auto"/>
              <w:jc w:val="left"/>
            </w:pPr>
            <w:r>
              <w:rPr>
                <w:color w:val="1E2933"/>
                <w:sz w:val="16"/>
              </w:rPr>
              <w:t>−2.5%</w:t>
            </w:r>
          </w:p>
        </w:tc>
        <w:tc>
          <w:tcPr>
            <w:tcW w:type="dxa" w:w="1150"/>
            <w:vAlign w:val="center"/>
            <w:tcMar>
              <w:top w:w="90" w:type="dxa"/>
              <w:start w:w="110" w:type="dxa"/>
              <w:bottom w:w="90" w:type="dxa"/>
              <w:end w:w="110" w:type="dxa"/>
            </w:tcMar>
          </w:tcPr>
          <w:p>
            <w:pPr>
              <w:spacing w:after="0" w:line="252" w:lineRule="auto"/>
              <w:jc w:val="left"/>
            </w:pPr>
            <w:r>
              <w:rPr>
                <w:color w:val="1E2933"/>
                <w:sz w:val="16"/>
              </w:rPr>
              <w:t>−7.1%</w:t>
            </w:r>
          </w:p>
        </w:tc>
        <w:tc>
          <w:tcPr>
            <w:tcW w:type="dxa" w:w="1499"/>
            <w:vAlign w:val="center"/>
            <w:tcMar>
              <w:top w:w="90" w:type="dxa"/>
              <w:start w:w="110" w:type="dxa"/>
              <w:bottom w:w="90" w:type="dxa"/>
              <w:end w:w="110" w:type="dxa"/>
            </w:tcMar>
          </w:tcPr>
          <w:p>
            <w:pPr>
              <w:spacing w:after="0" w:line="252" w:lineRule="auto"/>
              <w:jc w:val="left"/>
            </w:pPr>
            <w:r>
              <w:rPr>
                <w:color w:val="1E2933"/>
                <w:sz w:val="16"/>
              </w:rPr>
              <w:t>−7.0%</w:t>
            </w:r>
          </w:p>
        </w:tc>
      </w:tr>
      <w:tr>
        <w:trPr>
          <w:cantSplit/>
        </w:trPr>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2034</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112.90</w:t>
            </w:r>
          </w:p>
        </w:tc>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109.85</w:t>
            </w:r>
          </w:p>
        </w:tc>
        <w:tc>
          <w:tcPr>
            <w:tcW w:type="dxa" w:w="976"/>
            <w:vAlign w:val="center"/>
            <w:tcMar>
              <w:top w:w="90" w:type="dxa"/>
              <w:start w:w="110" w:type="dxa"/>
              <w:bottom w:w="90" w:type="dxa"/>
              <w:end w:w="110" w:type="dxa"/>
            </w:tcMar>
            <w:shd w:fill="F7F9FA"/>
          </w:tcPr>
          <w:p>
            <w:pPr>
              <w:spacing w:after="0" w:line="252" w:lineRule="auto"/>
              <w:jc w:val="left"/>
            </w:pPr>
            <w:r>
              <w:rPr>
                <w:color w:val="1E2933"/>
                <w:sz w:val="16"/>
              </w:rPr>
              <w:t>1.29%</w:t>
            </w:r>
          </w:p>
        </w:tc>
        <w:tc>
          <w:tcPr>
            <w:tcW w:type="dxa" w:w="1324"/>
            <w:vAlign w:val="center"/>
            <w:tcMar>
              <w:top w:w="90" w:type="dxa"/>
              <w:start w:w="110" w:type="dxa"/>
              <w:bottom w:w="90" w:type="dxa"/>
              <w:end w:w="110" w:type="dxa"/>
            </w:tcMar>
            <w:shd w:fill="F7F9FA"/>
          </w:tcPr>
          <w:p>
            <w:pPr>
              <w:spacing w:after="0" w:line="252" w:lineRule="auto"/>
              <w:jc w:val="left"/>
            </w:pPr>
            <w:r>
              <w:rPr>
                <w:color w:val="1E2933"/>
                <w:sz w:val="16"/>
              </w:rPr>
              <w:t>+2.5%</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−2.7%</w:t>
            </w:r>
          </w:p>
        </w:tc>
        <w:tc>
          <w:tcPr>
            <w:tcW w:type="dxa" w:w="1150"/>
            <w:vAlign w:val="center"/>
            <w:tcMar>
              <w:top w:w="90" w:type="dxa"/>
              <w:start w:w="110" w:type="dxa"/>
              <w:bottom w:w="90" w:type="dxa"/>
              <w:end w:w="110" w:type="dxa"/>
            </w:tcMar>
            <w:shd w:fill="F7F9FA"/>
          </w:tcPr>
          <w:p>
            <w:pPr>
              <w:spacing w:after="0" w:line="252" w:lineRule="auto"/>
              <w:jc w:val="left"/>
            </w:pPr>
            <w:r>
              <w:rPr>
                <w:color w:val="1E2933"/>
                <w:sz w:val="16"/>
              </w:rPr>
              <w:t>−6.9%</w:t>
            </w:r>
          </w:p>
        </w:tc>
        <w:tc>
          <w:tcPr>
            <w:tcW w:type="dxa" w:w="1499"/>
            <w:vAlign w:val="center"/>
            <w:tcMar>
              <w:top w:w="90" w:type="dxa"/>
              <w:start w:w="110" w:type="dxa"/>
              <w:bottom w:w="90" w:type="dxa"/>
              <w:end w:w="110" w:type="dxa"/>
            </w:tcMar>
            <w:shd w:fill="F7F9FA"/>
          </w:tcPr>
          <w:p>
            <w:pPr>
              <w:spacing w:after="0" w:line="252" w:lineRule="auto"/>
              <w:jc w:val="left"/>
            </w:pPr>
            <w:r>
              <w:rPr>
                <w:color w:val="1E2933"/>
                <w:sz w:val="16"/>
              </w:rPr>
              <w:t>−7.9%</w:t>
            </w:r>
          </w:p>
        </w:tc>
      </w:tr>
      <w:tr>
        <w:trPr>
          <w:cantSplit/>
        </w:trPr>
        <w:tc>
          <w:tcPr>
            <w:tcW w:type="dxa" w:w="878"/>
            <w:vAlign w:val="center"/>
            <w:tcMar>
              <w:top w:w="90" w:type="dxa"/>
              <w:start w:w="110" w:type="dxa"/>
              <w:bottom w:w="90" w:type="dxa"/>
              <w:end w:w="110" w:type="dxa"/>
            </w:tcMar>
          </w:tcPr>
          <w:p>
            <w:pPr>
              <w:spacing w:after="0" w:line="252" w:lineRule="auto"/>
              <w:jc w:val="left"/>
            </w:pPr>
            <w:r>
              <w:rPr>
                <w:color w:val="1E2933"/>
                <w:sz w:val="16"/>
              </w:rPr>
              <w:t>2035</w:t>
            </w:r>
          </w:p>
        </w:tc>
        <w:tc>
          <w:tcPr>
            <w:tcW w:type="dxa" w:w="1220"/>
            <w:vAlign w:val="center"/>
            <w:tcMar>
              <w:top w:w="90" w:type="dxa"/>
              <w:start w:w="110" w:type="dxa"/>
              <w:bottom w:w="90" w:type="dxa"/>
              <w:end w:w="110" w:type="dxa"/>
            </w:tcMar>
          </w:tcPr>
          <w:p>
            <w:pPr>
              <w:spacing w:after="0" w:line="252" w:lineRule="auto"/>
              <w:jc w:val="left"/>
            </w:pPr>
            <w:r>
              <w:rPr>
                <w:color w:val="1E2933"/>
                <w:sz w:val="16"/>
              </w:rPr>
              <w:t>114.59</w:t>
            </w:r>
          </w:p>
        </w:tc>
        <w:tc>
          <w:tcPr>
            <w:tcW w:type="dxa" w:w="878"/>
            <w:vAlign w:val="center"/>
            <w:tcMar>
              <w:top w:w="90" w:type="dxa"/>
              <w:start w:w="110" w:type="dxa"/>
              <w:bottom w:w="90" w:type="dxa"/>
              <w:end w:w="110" w:type="dxa"/>
            </w:tcMar>
          </w:tcPr>
          <w:p>
            <w:pPr>
              <w:spacing w:after="0" w:line="252" w:lineRule="auto"/>
              <w:jc w:val="left"/>
            </w:pPr>
            <w:r>
              <w:rPr>
                <w:color w:val="1E2933"/>
                <w:sz w:val="16"/>
              </w:rPr>
              <w:t>111.38</w:t>
            </w:r>
          </w:p>
        </w:tc>
        <w:tc>
          <w:tcPr>
            <w:tcW w:type="dxa" w:w="976"/>
            <w:vAlign w:val="center"/>
            <w:tcMar>
              <w:top w:w="90" w:type="dxa"/>
              <w:start w:w="110" w:type="dxa"/>
              <w:bottom w:w="90" w:type="dxa"/>
              <w:end w:w="110" w:type="dxa"/>
            </w:tcMar>
          </w:tcPr>
          <w:p>
            <w:pPr>
              <w:spacing w:after="0" w:line="252" w:lineRule="auto"/>
              <w:jc w:val="left"/>
            </w:pPr>
            <w:r>
              <w:rPr>
                <w:color w:val="1E2933"/>
                <w:sz w:val="16"/>
              </w:rPr>
              <w:t>1.39%</w:t>
            </w:r>
          </w:p>
        </w:tc>
        <w:tc>
          <w:tcPr>
            <w:tcW w:type="dxa" w:w="1324"/>
            <w:vAlign w:val="center"/>
            <w:tcMar>
              <w:top w:w="90" w:type="dxa"/>
              <w:start w:w="110" w:type="dxa"/>
              <w:bottom w:w="90" w:type="dxa"/>
              <w:end w:w="110" w:type="dxa"/>
            </w:tcMar>
          </w:tcPr>
          <w:p>
            <w:pPr>
              <w:spacing w:after="0" w:line="252" w:lineRule="auto"/>
              <w:jc w:val="left"/>
            </w:pPr>
            <w:r>
              <w:rPr>
                <w:color w:val="1E2933"/>
                <w:sz w:val="16"/>
              </w:rPr>
              <w:t>+2.9%</w:t>
            </w:r>
          </w:p>
        </w:tc>
        <w:tc>
          <w:tcPr>
            <w:tcW w:type="dxa" w:w="1220"/>
            <w:vAlign w:val="center"/>
            <w:tcMar>
              <w:top w:w="90" w:type="dxa"/>
              <w:start w:w="110" w:type="dxa"/>
              <w:bottom w:w="90" w:type="dxa"/>
              <w:end w:w="110" w:type="dxa"/>
            </w:tcMar>
          </w:tcPr>
          <w:p>
            <w:pPr>
              <w:spacing w:after="0" w:line="252" w:lineRule="auto"/>
              <w:jc w:val="left"/>
            </w:pPr>
            <w:r>
              <w:rPr>
                <w:color w:val="1E2933"/>
                <w:sz w:val="16"/>
              </w:rPr>
              <w:t>−2.8%</w:t>
            </w:r>
          </w:p>
        </w:tc>
        <w:tc>
          <w:tcPr>
            <w:tcW w:type="dxa" w:w="1150"/>
            <w:vAlign w:val="center"/>
            <w:tcMar>
              <w:top w:w="90" w:type="dxa"/>
              <w:start w:w="110" w:type="dxa"/>
              <w:bottom w:w="90" w:type="dxa"/>
              <w:end w:w="110" w:type="dxa"/>
            </w:tcMar>
          </w:tcPr>
          <w:p>
            <w:pPr>
              <w:spacing w:after="0" w:line="252" w:lineRule="auto"/>
              <w:jc w:val="left"/>
            </w:pPr>
            <w:r>
              <w:rPr>
                <w:color w:val="1E2933"/>
                <w:sz w:val="16"/>
              </w:rPr>
              <w:t>−6.7%</w:t>
            </w:r>
          </w:p>
        </w:tc>
        <w:tc>
          <w:tcPr>
            <w:tcW w:type="dxa" w:w="1499"/>
            <w:vAlign w:val="center"/>
            <w:tcMar>
              <w:top w:w="90" w:type="dxa"/>
              <w:start w:w="110" w:type="dxa"/>
              <w:bottom w:w="90" w:type="dxa"/>
              <w:end w:w="110" w:type="dxa"/>
            </w:tcMar>
          </w:tcPr>
          <w:p>
            <w:pPr>
              <w:spacing w:after="0" w:line="252" w:lineRule="auto"/>
              <w:jc w:val="left"/>
            </w:pPr>
            <w:r>
              <w:rPr>
                <w:color w:val="1E2933"/>
                <w:sz w:val="16"/>
              </w:rPr>
              <w:t>−8.4%</w:t>
            </w:r>
          </w:p>
        </w:tc>
      </w:tr>
      <w:tr>
        <w:trPr>
          <w:cantSplit/>
        </w:trPr>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2036</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116.31</w:t>
            </w:r>
          </w:p>
        </w:tc>
        <w:tc>
          <w:tcPr>
            <w:tcW w:type="dxa" w:w="878"/>
            <w:vAlign w:val="center"/>
            <w:tcMar>
              <w:top w:w="90" w:type="dxa"/>
              <w:start w:w="110" w:type="dxa"/>
              <w:bottom w:w="90" w:type="dxa"/>
              <w:end w:w="110" w:type="dxa"/>
            </w:tcMar>
            <w:shd w:fill="F7F9FA"/>
          </w:tcPr>
          <w:p>
            <w:pPr>
              <w:spacing w:after="0" w:line="252" w:lineRule="auto"/>
              <w:jc w:val="left"/>
            </w:pPr>
            <w:r>
              <w:rPr>
                <w:color w:val="1E2933"/>
                <w:sz w:val="16"/>
              </w:rPr>
              <w:t>113.17</w:t>
            </w:r>
          </w:p>
        </w:tc>
        <w:tc>
          <w:tcPr>
            <w:tcW w:type="dxa" w:w="976"/>
            <w:vAlign w:val="center"/>
            <w:tcMar>
              <w:top w:w="90" w:type="dxa"/>
              <w:start w:w="110" w:type="dxa"/>
              <w:bottom w:w="90" w:type="dxa"/>
              <w:end w:w="110" w:type="dxa"/>
            </w:tcMar>
            <w:shd w:fill="F7F9FA"/>
          </w:tcPr>
          <w:p>
            <w:pPr>
              <w:spacing w:after="0" w:line="252" w:lineRule="auto"/>
              <w:jc w:val="left"/>
            </w:pPr>
            <w:r>
              <w:rPr>
                <w:color w:val="1E2933"/>
                <w:sz w:val="16"/>
              </w:rPr>
              <w:t>1.61%</w:t>
            </w:r>
          </w:p>
        </w:tc>
        <w:tc>
          <w:tcPr>
            <w:tcW w:type="dxa" w:w="1324"/>
            <w:vAlign w:val="center"/>
            <w:tcMar>
              <w:top w:w="90" w:type="dxa"/>
              <w:start w:w="110" w:type="dxa"/>
              <w:bottom w:w="90" w:type="dxa"/>
              <w:end w:w="110" w:type="dxa"/>
            </w:tcMar>
            <w:shd w:fill="F7F9FA"/>
          </w:tcPr>
          <w:p>
            <w:pPr>
              <w:spacing w:after="0" w:line="252" w:lineRule="auto"/>
              <w:jc w:val="left"/>
            </w:pPr>
            <w:r>
              <w:rPr>
                <w:color w:val="1E2933"/>
                <w:sz w:val="16"/>
              </w:rPr>
              <w:t>+3.5%</w:t>
            </w:r>
          </w:p>
        </w:tc>
        <w:tc>
          <w:tcPr>
            <w:tcW w:type="dxa" w:w="1220"/>
            <w:vAlign w:val="center"/>
            <w:tcMar>
              <w:top w:w="90" w:type="dxa"/>
              <w:start w:w="110" w:type="dxa"/>
              <w:bottom w:w="90" w:type="dxa"/>
              <w:end w:w="110" w:type="dxa"/>
            </w:tcMar>
            <w:shd w:fill="F7F9FA"/>
          </w:tcPr>
          <w:p>
            <w:pPr>
              <w:spacing w:after="0" w:line="252" w:lineRule="auto"/>
              <w:jc w:val="left"/>
            </w:pPr>
            <w:r>
              <w:rPr>
                <w:color w:val="1E2933"/>
                <w:sz w:val="16"/>
              </w:rPr>
              <w:t>−2.7%</w:t>
            </w:r>
          </w:p>
        </w:tc>
        <w:tc>
          <w:tcPr>
            <w:tcW w:type="dxa" w:w="1150"/>
            <w:vAlign w:val="center"/>
            <w:tcMar>
              <w:top w:w="90" w:type="dxa"/>
              <w:start w:w="110" w:type="dxa"/>
              <w:bottom w:w="90" w:type="dxa"/>
              <w:end w:w="110" w:type="dxa"/>
            </w:tcMar>
            <w:shd w:fill="F7F9FA"/>
          </w:tcPr>
          <w:p>
            <w:pPr>
              <w:spacing w:after="0" w:line="252" w:lineRule="auto"/>
              <w:jc w:val="left"/>
            </w:pPr>
            <w:r>
              <w:rPr>
                <w:color w:val="1E2933"/>
                <w:sz w:val="16"/>
              </w:rPr>
              <w:t>−6.3%</w:t>
            </w:r>
          </w:p>
        </w:tc>
        <w:tc>
          <w:tcPr>
            <w:tcW w:type="dxa" w:w="1499"/>
            <w:vAlign w:val="center"/>
            <w:tcMar>
              <w:top w:w="90" w:type="dxa"/>
              <w:start w:w="110" w:type="dxa"/>
              <w:bottom w:w="90" w:type="dxa"/>
              <w:end w:w="110" w:type="dxa"/>
            </w:tcMar>
            <w:shd w:fill="F7F9FA"/>
          </w:tcPr>
          <w:p>
            <w:pPr>
              <w:spacing w:after="0" w:line="252" w:lineRule="auto"/>
              <w:jc w:val="left"/>
            </w:pPr>
            <w:r>
              <w:rPr>
                <w:color w:val="1E2933"/>
                <w:sz w:val="16"/>
              </w:rPr>
              <w:t>−8.8%</w:t>
            </w:r>
          </w:p>
        </w:tc>
      </w:tr>
    </w:tbl>
    <w:p>
      <w:pPr>
        <w:spacing w:after="20"/>
      </w:pPr>
    </w:p>
    <w:p>
      <w:r>
        <w:rPr>
          <w:b/>
        </w:rPr>
        <w:t>Easy reading:</w:t>
      </w:r>
      <w:r>
        <w:t xml:space="preserve"> under the funded reference, output grows by about </w:t>
      </w:r>
      <w:r>
        <w:rPr>
          <w:b/>
        </w:rPr>
        <w:t>13.2% over the decade</w:t>
      </w:r>
      <w:r>
        <w:t xml:space="preserve">, rather than the baseline's </w:t>
      </w:r>
      <w:r>
        <w:rPr>
          <w:b/>
        </w:rPr>
        <w:t>16.3%</w:t>
      </w:r>
      <w:r>
        <w:t xml:space="preserve">, leaving the 2036 level about 2.7% lower than it otherwise would have been. Successful delivery raises the 2036 index to approximately </w:t>
      </w:r>
      <w:r>
        <w:rPr>
          <w:b/>
        </w:rPr>
        <w:t>120.38</w:t>
      </w:r>
      <w:r>
        <w:t xml:space="preserve">; banking stress leaves it near </w:t>
      </w:r>
      <w:r>
        <w:rPr>
          <w:b/>
        </w:rPr>
        <w:t>108.98</w:t>
      </w:r>
      <w:r>
        <w:t xml:space="preserve">; avoidance and fiscal leakage leave it near </w:t>
      </w:r>
      <w:r>
        <w:rPr>
          <w:b/>
        </w:rPr>
        <w:t>106.07</w:t>
      </w:r>
      <w:r>
        <w:t>.</w:t>
      </w:r>
    </w:p>
    <w:p>
      <w:r>
        <w:t xml:space="preserve">For a transparent sterling scale, the 2026-27 OBR nominal-GDP starting point of </w:t>
      </w:r>
      <w:r>
        <w:rPr>
          <w:b/>
        </w:rPr>
        <w:t>£3.164 trillion</w:t>
      </w:r>
      <w:r>
        <w:t xml:space="preserve"> is multiplied by the baseline real-output index of 1.1631, giving an illustrative 2036 constant-price-scale baseline of approximately </w:t>
      </w:r>
      <w:r>
        <w:rPr>
          <w:b/>
        </w:rPr>
        <w:t>£3.680 trillion</w:t>
      </w:r>
      <w:r>
        <w:t xml:space="preserve">. Applying the scenario differences gives approximate level effects of </w:t>
      </w:r>
      <w:r>
        <w:rPr>
          <w:b/>
        </w:rPr>
        <w:t>−£99 billion</w:t>
      </w:r>
      <w:r>
        <w:t xml:space="preserve"> for the funded reference, </w:t>
      </w:r>
      <w:r>
        <w:rPr>
          <w:b/>
        </w:rPr>
        <w:t>+£129 billion</w:t>
      </w:r>
      <w:r>
        <w:t xml:space="preserve"> for successful delivery, </w:t>
      </w:r>
      <w:r>
        <w:rPr>
          <w:b/>
        </w:rPr>
        <w:t>−£232 billion</w:t>
      </w:r>
      <w:r>
        <w:t xml:space="preserve"> for banking stress and </w:t>
      </w:r>
      <w:r>
        <w:rPr>
          <w:b/>
        </w:rPr>
        <w:t>−£324 billion</w:t>
      </w:r>
      <w:r>
        <w:t xml:space="preserve"> for sustained avoidance. This is not a nominal-GDP forecast. Actual nominal GDP could be higher simply because prices are higher; that is why the real index above is the decision measure.</w:t>
      </w:r>
    </w:p>
    <w:p>
      <w:r>
        <w:t xml:space="preserve">The OBR baseline real-GDP-per-head index rises from 100 in 2026 to an extrapolated </w:t>
      </w:r>
      <w:r>
        <w:rPr>
          <w:b/>
        </w:rPr>
        <w:t>112.11 in 2036</w:t>
      </w:r>
      <w:r>
        <w:t xml:space="preserve">. If the population follows the same baseline in every scenario, the corresponding 2036 indices are approximately </w:t>
      </w:r>
      <w:r>
        <w:rPr>
          <w:b/>
        </w:rPr>
        <w:t>109.08 funded reference</w:t>
      </w:r>
      <w:r>
        <w:t xml:space="preserve">, </w:t>
      </w:r>
      <w:r>
        <w:rPr>
          <w:b/>
        </w:rPr>
        <w:t>116.03 successful</w:t>
      </w:r>
      <w:r>
        <w:t xml:space="preserve">, </w:t>
      </w:r>
      <w:r>
        <w:rPr>
          <w:b/>
        </w:rPr>
        <w:t>105.05 banking stress</w:t>
      </w:r>
      <w:r>
        <w:t xml:space="preserve"> and </w:t>
      </w:r>
      <w:r>
        <w:rPr>
          <w:b/>
        </w:rPr>
        <w:t>102.24 avoidance</w:t>
      </w:r>
      <w:r>
        <w:t>. Population, migration and eligibility responses remain material uncertainties.</w:t>
      </w:r>
    </w:p>
    <w:p>
      <w:pPr>
        <w:pStyle w:val="Heading2"/>
      </w:pPr>
      <w:r>
        <w:t>A8.7 What separates the four cases</w:t>
      </w:r>
    </w:p>
    <w:tbl>
      <w:tblPr>
        <w:tblW w:type="dxa" w:w="9145"/>
        <w:jc w:val="center"/>
        <w:tblLayout w:type="fixed"/>
        <w:tblLook w:firstColumn="1" w:firstRow="1" w:lastColumn="0" w:lastRow="0" w:noHBand="0" w:noVBand="1" w:val="04A0"/>
        <w:tblInd w:type="dxa" w:w="110"/>
      </w:tblPr>
      <w:tblGrid>
        <w:gridCol w:w="1231"/>
        <w:gridCol w:w="2638"/>
        <w:gridCol w:w="2638"/>
        <w:gridCol w:w="2638"/>
      </w:tblGrid>
      <w:tr>
        <w:trPr>
          <w:cantSplit/>
          <w:tblHeader w:val="true"/>
        </w:trPr>
        <w:tc>
          <w:tcPr>
            <w:tcW w:type="dxa" w:w="1231"/>
            <w:vAlign w:val="center"/>
            <w:tcMar>
              <w:top w:w="90" w:type="dxa"/>
              <w:start w:w="110" w:type="dxa"/>
              <w:bottom w:w="90" w:type="dxa"/>
              <w:end w:w="110" w:type="dxa"/>
            </w:tcMar>
            <w:shd w:fill="16324F"/>
          </w:tcPr>
          <w:p>
            <w:pPr>
              <w:spacing w:after="0" w:line="252" w:lineRule="auto"/>
              <w:jc w:val="left"/>
            </w:pPr>
            <w:r>
              <w:rPr>
                <w:b/>
                <w:color w:val="FFFFFF"/>
                <w:sz w:val="17"/>
              </w:rPr>
              <w:t>Scenario</w:t>
            </w:r>
          </w:p>
        </w:tc>
        <w:tc>
          <w:tcPr>
            <w:tcW w:type="dxa" w:w="2638"/>
            <w:vAlign w:val="center"/>
            <w:tcMar>
              <w:top w:w="90" w:type="dxa"/>
              <w:start w:w="110" w:type="dxa"/>
              <w:bottom w:w="90" w:type="dxa"/>
              <w:end w:w="110" w:type="dxa"/>
            </w:tcMar>
            <w:shd w:fill="16324F"/>
          </w:tcPr>
          <w:p>
            <w:pPr>
              <w:spacing w:after="0" w:line="252" w:lineRule="auto"/>
              <w:jc w:val="left"/>
            </w:pPr>
            <w:r>
              <w:rPr>
                <w:b/>
                <w:color w:val="FFFFFF"/>
                <w:sz w:val="17"/>
              </w:rPr>
              <w:t>Funding and labour</w:t>
            </w:r>
          </w:p>
        </w:tc>
        <w:tc>
          <w:tcPr>
            <w:tcW w:type="dxa" w:w="2638"/>
            <w:vAlign w:val="center"/>
            <w:tcMar>
              <w:top w:w="90" w:type="dxa"/>
              <w:start w:w="110" w:type="dxa"/>
              <w:bottom w:w="90" w:type="dxa"/>
              <w:end w:w="110" w:type="dxa"/>
            </w:tcMar>
            <w:shd w:fill="16324F"/>
          </w:tcPr>
          <w:p>
            <w:pPr>
              <w:spacing w:after="0" w:line="252" w:lineRule="auto"/>
              <w:jc w:val="left"/>
            </w:pPr>
            <w:r>
              <w:rPr>
                <w:b/>
                <w:color w:val="FFFFFF"/>
                <w:sz w:val="17"/>
              </w:rPr>
              <w:t>CIC, banks and Fund</w:t>
            </w:r>
          </w:p>
        </w:tc>
        <w:tc>
          <w:tcPr>
            <w:tcW w:type="dxa" w:w="2638"/>
            <w:vAlign w:val="center"/>
            <w:tcMar>
              <w:top w:w="90" w:type="dxa"/>
              <w:start w:w="110" w:type="dxa"/>
              <w:bottom w:w="90" w:type="dxa"/>
              <w:end w:w="110" w:type="dxa"/>
            </w:tcMar>
            <w:shd w:fill="16324F"/>
          </w:tcPr>
          <w:p>
            <w:pPr>
              <w:spacing w:after="0" w:line="252" w:lineRule="auto"/>
              <w:jc w:val="left"/>
            </w:pPr>
            <w:r>
              <w:rPr>
                <w:b/>
                <w:color w:val="FFFFFF"/>
                <w:sz w:val="17"/>
              </w:rPr>
              <w:t>Delivery result</w:t>
            </w:r>
          </w:p>
        </w:tc>
      </w:tr>
      <w:tr>
        <w:trPr>
          <w:cantSplit/>
        </w:trPr>
        <w:tc>
          <w:tcPr>
            <w:tcW w:type="dxa" w:w="1231"/>
            <w:vAlign w:val="center"/>
            <w:tcMar>
              <w:top w:w="90" w:type="dxa"/>
              <w:start w:w="110" w:type="dxa"/>
              <w:bottom w:w="90" w:type="dxa"/>
              <w:end w:w="110" w:type="dxa"/>
            </w:tcMar>
          </w:tcPr>
          <w:p>
            <w:pPr>
              <w:spacing w:after="0" w:line="252" w:lineRule="auto"/>
              <w:jc w:val="left"/>
            </w:pPr>
            <w:r>
              <w:rPr>
                <w:color w:val="1E2933"/>
                <w:sz w:val="17"/>
              </w:rPr>
              <w:t>Successful delivery</w:t>
            </w:r>
          </w:p>
        </w:tc>
        <w:tc>
          <w:tcPr>
            <w:tcW w:type="dxa" w:w="2638"/>
            <w:vAlign w:val="center"/>
            <w:tcMar>
              <w:top w:w="90" w:type="dxa"/>
              <w:start w:w="110" w:type="dxa"/>
              <w:bottom w:w="90" w:type="dxa"/>
              <w:end w:w="110" w:type="dxa"/>
            </w:tcMar>
          </w:tcPr>
          <w:p>
            <w:pPr>
              <w:spacing w:after="0" w:line="252" w:lineRule="auto"/>
              <w:jc w:val="left"/>
            </w:pPr>
            <w:r>
              <w:rPr>
                <w:color w:val="1E2933"/>
                <w:sz w:val="17"/>
              </w:rPr>
              <w:t>Broad fiscal closure protects work incentives; removal of all personal-benefit withdrawal improves matching, training and entrepreneurship</w:t>
            </w:r>
          </w:p>
        </w:tc>
        <w:tc>
          <w:tcPr>
            <w:tcW w:type="dxa" w:w="2638"/>
            <w:vAlign w:val="center"/>
            <w:tcMar>
              <w:top w:w="90" w:type="dxa"/>
              <w:start w:w="110" w:type="dxa"/>
              <w:bottom w:w="90" w:type="dxa"/>
              <w:end w:w="110" w:type="dxa"/>
            </w:tcMar>
          </w:tcPr>
          <w:p>
            <w:pPr>
              <w:spacing w:after="0" w:line="252" w:lineRule="auto"/>
              <w:jc w:val="left"/>
            </w:pPr>
            <w:r>
              <w:rPr>
                <w:color w:val="1E2933"/>
                <w:sz w:val="17"/>
              </w:rPr>
              <w:t>90% return-base retention, small deposit flight, strong funding replacement, high additionality and crowd-in</w:t>
            </w:r>
          </w:p>
        </w:tc>
        <w:tc>
          <w:tcPr>
            <w:tcW w:type="dxa" w:w="2638"/>
            <w:vAlign w:val="center"/>
            <w:tcMar>
              <w:top w:w="90" w:type="dxa"/>
              <w:start w:w="110" w:type="dxa"/>
              <w:bottom w:w="90" w:type="dxa"/>
              <w:end w:w="110" w:type="dxa"/>
            </w:tcMar>
          </w:tcPr>
          <w:p>
            <w:pPr>
              <w:spacing w:after="0" w:line="252" w:lineRule="auto"/>
              <w:jc w:val="left"/>
            </w:pPr>
            <w:r>
              <w:rPr>
                <w:color w:val="1E2933"/>
                <w:sz w:val="17"/>
              </w:rPr>
              <w:t>Capacity, housing and productivity gains dominate; about +3.5% in 2036</w:t>
            </w:r>
          </w:p>
        </w:tc>
      </w:tr>
      <w:tr>
        <w:trPr>
          <w:cantSplit/>
        </w:trPr>
        <w:tc>
          <w:tcPr>
            <w:tcW w:type="dxa" w:w="1231"/>
            <w:vAlign w:val="center"/>
            <w:tcMar>
              <w:top w:w="90" w:type="dxa"/>
              <w:start w:w="110" w:type="dxa"/>
              <w:bottom w:w="90" w:type="dxa"/>
              <w:end w:w="110" w:type="dxa"/>
            </w:tcMar>
            <w:shd w:fill="F7F9FA"/>
          </w:tcPr>
          <w:p>
            <w:pPr>
              <w:spacing w:after="0" w:line="252" w:lineRule="auto"/>
              <w:jc w:val="left"/>
            </w:pPr>
            <w:r>
              <w:rPr>
                <w:color w:val="1E2933"/>
                <w:sz w:val="17"/>
              </w:rPr>
              <w:t>Funded reference</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Staged fiscal closure; higher effective taxation produces a material labour-supply drag, partly offset by security, matching and redeployment</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65% return-base retention; 5% reserve; moderate deposit switching; imperfect but positive investment delivery</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GDP still grows, but is about 2.7% below baseline in 2036</w:t>
            </w:r>
          </w:p>
        </w:tc>
      </w:tr>
      <w:tr>
        <w:trPr>
          <w:cantSplit/>
        </w:trPr>
        <w:tc>
          <w:tcPr>
            <w:tcW w:type="dxa" w:w="1231"/>
            <w:vAlign w:val="center"/>
            <w:tcMar>
              <w:top w:w="90" w:type="dxa"/>
              <w:start w:w="110" w:type="dxa"/>
              <w:bottom w:w="90" w:type="dxa"/>
              <w:end w:w="110" w:type="dxa"/>
            </w:tcMar>
          </w:tcPr>
          <w:p>
            <w:pPr>
              <w:spacing w:after="0" w:line="252" w:lineRule="auto"/>
              <w:jc w:val="left"/>
            </w:pPr>
            <w:r>
              <w:rPr>
                <w:color w:val="1E2933"/>
                <w:sz w:val="17"/>
              </w:rPr>
              <w:t>Banking stress</w:t>
            </w:r>
          </w:p>
        </w:tc>
        <w:tc>
          <w:tcPr>
            <w:tcW w:type="dxa" w:w="2638"/>
            <w:vAlign w:val="center"/>
            <w:tcMar>
              <w:top w:w="90" w:type="dxa"/>
              <w:start w:w="110" w:type="dxa"/>
              <w:bottom w:w="90" w:type="dxa"/>
              <w:end w:w="110" w:type="dxa"/>
            </w:tcMar>
          </w:tcPr>
          <w:p>
            <w:pPr>
              <w:spacing w:after="0" w:line="252" w:lineRule="auto"/>
              <w:jc w:val="left"/>
            </w:pPr>
            <w:r>
              <w:rPr>
                <w:color w:val="1E2933"/>
                <w:sz w:val="17"/>
              </w:rPr>
              <w:t>Funding costs and loan spreads rise; implementation brakes activate after credit damage</w:t>
            </w:r>
          </w:p>
        </w:tc>
        <w:tc>
          <w:tcPr>
            <w:tcW w:type="dxa" w:w="2638"/>
            <w:vAlign w:val="center"/>
            <w:tcMar>
              <w:top w:w="90" w:type="dxa"/>
              <w:start w:w="110" w:type="dxa"/>
              <w:bottom w:w="90" w:type="dxa"/>
              <w:end w:w="110" w:type="dxa"/>
            </w:tcMar>
          </w:tcPr>
          <w:p>
            <w:pPr>
              <w:spacing w:after="0" w:line="252" w:lineRule="auto"/>
              <w:jc w:val="left"/>
            </w:pPr>
            <w:r>
              <w:rPr>
                <w:color w:val="1E2933"/>
                <w:sz w:val="17"/>
              </w:rPr>
              <w:t>20% deposit flight, weak replacement, larger liquidity reserve, delays and losses</w:t>
            </w:r>
          </w:p>
        </w:tc>
        <w:tc>
          <w:tcPr>
            <w:tcW w:type="dxa" w:w="2638"/>
            <w:vAlign w:val="center"/>
            <w:tcMar>
              <w:top w:w="90" w:type="dxa"/>
              <w:start w:w="110" w:type="dxa"/>
              <w:bottom w:w="90" w:type="dxa"/>
              <w:end w:w="110" w:type="dxa"/>
            </w:tcMar>
          </w:tcPr>
          <w:p>
            <w:pPr>
              <w:spacing w:after="0" w:line="252" w:lineRule="auto"/>
              <w:jc w:val="left"/>
            </w:pPr>
            <w:r>
              <w:rPr>
                <w:color w:val="1E2933"/>
                <w:sz w:val="17"/>
              </w:rPr>
              <w:t>Output bottoms furthest below baseline in 2033, then partly recovers; about −6.3% in 2036</w:t>
            </w:r>
          </w:p>
        </w:tc>
      </w:tr>
      <w:tr>
        <w:trPr>
          <w:cantSplit/>
        </w:trPr>
        <w:tc>
          <w:tcPr>
            <w:tcW w:type="dxa" w:w="1231"/>
            <w:vAlign w:val="center"/>
            <w:tcMar>
              <w:top w:w="90" w:type="dxa"/>
              <w:start w:w="110" w:type="dxa"/>
              <w:bottom w:w="90" w:type="dxa"/>
              <w:end w:w="110" w:type="dxa"/>
            </w:tcMar>
            <w:shd w:fill="F7F9FA"/>
          </w:tcPr>
          <w:p>
            <w:pPr>
              <w:spacing w:after="0" w:line="252" w:lineRule="auto"/>
              <w:jc w:val="left"/>
            </w:pPr>
            <w:r>
              <w:rPr>
                <w:color w:val="1E2933"/>
                <w:sz w:val="17"/>
              </w:rPr>
              <w:t>Avoidance and fiscal leakage</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Tax-base erosion, asset relocation and increasingly distortionary replacement finance accumulate</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Only 40% of the eligible-return base remains; weak additionality and continuing credit leakage</w:t>
            </w:r>
          </w:p>
        </w:tc>
        <w:tc>
          <w:tcPr>
            <w:tcW w:type="dxa" w:w="2638"/>
            <w:vAlign w:val="center"/>
            <w:tcMar>
              <w:top w:w="90" w:type="dxa"/>
              <w:start w:w="110" w:type="dxa"/>
              <w:bottom w:w="90" w:type="dxa"/>
              <w:end w:w="110" w:type="dxa"/>
            </w:tcMar>
            <w:shd w:fill="F7F9FA"/>
          </w:tcPr>
          <w:p>
            <w:pPr>
              <w:spacing w:after="0" w:line="252" w:lineRule="auto"/>
              <w:jc w:val="left"/>
            </w:pPr>
            <w:r>
              <w:rPr>
                <w:color w:val="1E2933"/>
                <w:sz w:val="17"/>
              </w:rPr>
              <w:t>Damage compounds rather than self-corrects; about −8.8% in 2036</w:t>
            </w:r>
          </w:p>
        </w:tc>
      </w:tr>
    </w:tbl>
    <w:p>
      <w:pPr>
        <w:spacing w:after="20"/>
      </w:pPr>
    </w:p>
    <w:p>
      <w:r>
        <w:t>The terminal calibration can be audited as endpoint bookkeeping. The entries are scenario assumptions rounded to 0.1 percentage point, not measured coefficients:</w:t>
      </w:r>
    </w:p>
    <w:tbl>
      <w:tblPr>
        <w:tblW w:type="dxa" w:w="9144"/>
        <w:jc w:val="center"/>
        <w:tblLayout w:type="fixed"/>
        <w:tblLook w:firstColumn="1" w:firstRow="1" w:lastColumn="0" w:lastRow="0" w:noHBand="0" w:noVBand="1" w:val="04A0"/>
        <w:tblInd w:type="dxa" w:w="110"/>
      </w:tblPr>
      <w:tblGrid>
        <w:gridCol w:w="4453"/>
        <w:gridCol w:w="954"/>
        <w:gridCol w:w="1272"/>
        <w:gridCol w:w="1113"/>
        <w:gridCol w:w="1352"/>
      </w:tblGrid>
      <w:tr>
        <w:trPr>
          <w:cantSplit/>
          <w:tblHeader w:val="true"/>
        </w:trPr>
        <w:tc>
          <w:tcPr>
            <w:tcW w:type="dxa" w:w="4453"/>
            <w:vAlign w:val="center"/>
            <w:tcMar>
              <w:top w:w="90" w:type="dxa"/>
              <w:start w:w="110" w:type="dxa"/>
              <w:bottom w:w="90" w:type="dxa"/>
              <w:end w:w="110" w:type="dxa"/>
            </w:tcMar>
            <w:shd w:fill="16324F"/>
          </w:tcPr>
          <w:p>
            <w:pPr>
              <w:spacing w:after="0" w:line="252" w:lineRule="auto"/>
              <w:jc w:val="left"/>
            </w:pPr>
            <w:r>
              <w:rPr>
                <w:b/>
                <w:color w:val="FFFFFF"/>
                <w:sz w:val="16"/>
              </w:rPr>
              <w:t>Illustrative 2036 contribution to real-GDP level</w:t>
            </w:r>
          </w:p>
        </w:tc>
        <w:tc>
          <w:tcPr>
            <w:tcW w:type="dxa" w:w="954"/>
            <w:vAlign w:val="center"/>
            <w:tcMar>
              <w:top w:w="90" w:type="dxa"/>
              <w:start w:w="110" w:type="dxa"/>
              <w:bottom w:w="90" w:type="dxa"/>
              <w:end w:w="110" w:type="dxa"/>
            </w:tcMar>
            <w:shd w:fill="16324F"/>
          </w:tcPr>
          <w:p>
            <w:pPr>
              <w:spacing w:after="0" w:line="252" w:lineRule="auto"/>
              <w:jc w:val="left"/>
            </w:pPr>
            <w:r>
              <w:rPr>
                <w:b/>
                <w:color w:val="FFFFFF"/>
                <w:sz w:val="16"/>
              </w:rPr>
              <w:t>Successful</w:t>
            </w:r>
          </w:p>
        </w:tc>
        <w:tc>
          <w:tcPr>
            <w:tcW w:type="dxa" w:w="1272"/>
            <w:vAlign w:val="center"/>
            <w:tcMar>
              <w:top w:w="90" w:type="dxa"/>
              <w:start w:w="110" w:type="dxa"/>
              <w:bottom w:w="90" w:type="dxa"/>
              <w:end w:w="110" w:type="dxa"/>
            </w:tcMar>
            <w:shd w:fill="16324F"/>
          </w:tcPr>
          <w:p>
            <w:pPr>
              <w:spacing w:after="0" w:line="252" w:lineRule="auto"/>
              <w:jc w:val="left"/>
            </w:pPr>
            <w:r>
              <w:rPr>
                <w:b/>
                <w:color w:val="FFFFFF"/>
                <w:sz w:val="16"/>
              </w:rPr>
              <w:t>Funded reference</w:t>
            </w:r>
          </w:p>
        </w:tc>
        <w:tc>
          <w:tcPr>
            <w:tcW w:type="dxa" w:w="1113"/>
            <w:vAlign w:val="center"/>
            <w:tcMar>
              <w:top w:w="90" w:type="dxa"/>
              <w:start w:w="110" w:type="dxa"/>
              <w:bottom w:w="90" w:type="dxa"/>
              <w:end w:w="110" w:type="dxa"/>
            </w:tcMar>
            <w:shd w:fill="16324F"/>
          </w:tcPr>
          <w:p>
            <w:pPr>
              <w:spacing w:after="0" w:line="252" w:lineRule="auto"/>
              <w:jc w:val="left"/>
            </w:pPr>
            <w:r>
              <w:rPr>
                <w:b/>
                <w:color w:val="FFFFFF"/>
                <w:sz w:val="16"/>
              </w:rPr>
              <w:t>Banking stress</w:t>
            </w:r>
          </w:p>
        </w:tc>
        <w:tc>
          <w:tcPr>
            <w:tcW w:type="dxa" w:w="1352"/>
            <w:vAlign w:val="center"/>
            <w:tcMar>
              <w:top w:w="90" w:type="dxa"/>
              <w:start w:w="110" w:type="dxa"/>
              <w:bottom w:w="90" w:type="dxa"/>
              <w:end w:w="110" w:type="dxa"/>
            </w:tcMar>
            <w:shd w:fill="16324F"/>
          </w:tcPr>
          <w:p>
            <w:pPr>
              <w:spacing w:after="0" w:line="252" w:lineRule="auto"/>
              <w:jc w:val="left"/>
            </w:pPr>
            <w:r>
              <w:rPr>
                <w:b/>
                <w:color w:val="FFFFFF"/>
                <w:sz w:val="16"/>
              </w:rPr>
              <w:t>Avoidance/leakage</w:t>
            </w:r>
          </w:p>
        </w:tc>
      </w:tr>
      <w:tr>
        <w:trPr>
          <w:cantSplit/>
        </w:trPr>
        <w:tc>
          <w:tcPr>
            <w:tcW w:type="dxa" w:w="4453"/>
            <w:vAlign w:val="center"/>
            <w:tcMar>
              <w:top w:w="90" w:type="dxa"/>
              <w:start w:w="110" w:type="dxa"/>
              <w:bottom w:w="90" w:type="dxa"/>
              <w:end w:w="110" w:type="dxa"/>
            </w:tcMar>
          </w:tcPr>
          <w:p>
            <w:pPr>
              <w:spacing w:after="0" w:line="252" w:lineRule="auto"/>
              <w:jc w:val="left"/>
            </w:pPr>
            <w:r>
              <w:rPr>
                <w:color w:val="1E2933"/>
                <w:sz w:val="16"/>
              </w:rPr>
              <w:t>Net demand</w:t>
            </w:r>
          </w:p>
        </w:tc>
        <w:tc>
          <w:tcPr>
            <w:tcW w:type="dxa" w:w="954"/>
            <w:vAlign w:val="center"/>
            <w:tcMar>
              <w:top w:w="90" w:type="dxa"/>
              <w:start w:w="110" w:type="dxa"/>
              <w:bottom w:w="90" w:type="dxa"/>
              <w:end w:w="110" w:type="dxa"/>
            </w:tcMar>
          </w:tcPr>
          <w:p>
            <w:pPr>
              <w:spacing w:after="0" w:line="252" w:lineRule="auto"/>
              <w:jc w:val="left"/>
            </w:pPr>
            <w:r>
              <w:rPr>
                <w:color w:val="1E2933"/>
                <w:sz w:val="16"/>
              </w:rPr>
              <w:t>+0.2%</w:t>
            </w:r>
          </w:p>
        </w:tc>
        <w:tc>
          <w:tcPr>
            <w:tcW w:type="dxa" w:w="1272"/>
            <w:vAlign w:val="center"/>
            <w:tcMar>
              <w:top w:w="90" w:type="dxa"/>
              <w:start w:w="110" w:type="dxa"/>
              <w:bottom w:w="90" w:type="dxa"/>
              <w:end w:w="110" w:type="dxa"/>
            </w:tcMar>
          </w:tcPr>
          <w:p>
            <w:pPr>
              <w:spacing w:after="0" w:line="252" w:lineRule="auto"/>
              <w:jc w:val="left"/>
            </w:pPr>
            <w:r>
              <w:rPr>
                <w:color w:val="1E2933"/>
                <w:sz w:val="16"/>
              </w:rPr>
              <w:t>−0.1%</w:t>
            </w:r>
          </w:p>
        </w:tc>
        <w:tc>
          <w:tcPr>
            <w:tcW w:type="dxa" w:w="1113"/>
            <w:vAlign w:val="center"/>
            <w:tcMar>
              <w:top w:w="90" w:type="dxa"/>
              <w:start w:w="110" w:type="dxa"/>
              <w:bottom w:w="90" w:type="dxa"/>
              <w:end w:w="110" w:type="dxa"/>
            </w:tcMar>
          </w:tcPr>
          <w:p>
            <w:pPr>
              <w:spacing w:after="0" w:line="252" w:lineRule="auto"/>
              <w:jc w:val="left"/>
            </w:pPr>
            <w:r>
              <w:rPr>
                <w:color w:val="1E2933"/>
                <w:sz w:val="16"/>
              </w:rPr>
              <w:t>0.0%</w:t>
            </w:r>
          </w:p>
        </w:tc>
        <w:tc>
          <w:tcPr>
            <w:tcW w:type="dxa" w:w="1352"/>
            <w:vAlign w:val="center"/>
            <w:tcMar>
              <w:top w:w="90" w:type="dxa"/>
              <w:start w:w="110" w:type="dxa"/>
              <w:bottom w:w="90" w:type="dxa"/>
              <w:end w:w="110" w:type="dxa"/>
            </w:tcMar>
          </w:tcPr>
          <w:p>
            <w:pPr>
              <w:spacing w:after="0" w:line="252" w:lineRule="auto"/>
              <w:jc w:val="left"/>
            </w:pPr>
            <w:r>
              <w:rPr>
                <w:color w:val="1E2933"/>
                <w:sz w:val="16"/>
              </w:rPr>
              <w:t>−0.1%</w:t>
            </w:r>
          </w:p>
        </w:tc>
      </w:tr>
      <w:tr>
        <w:trPr>
          <w:cantSplit/>
        </w:trPr>
        <w:tc>
          <w:tcPr>
            <w:tcW w:type="dxa" w:w="4453"/>
            <w:vAlign w:val="center"/>
            <w:tcMar>
              <w:top w:w="90" w:type="dxa"/>
              <w:start w:w="110" w:type="dxa"/>
              <w:bottom w:w="90" w:type="dxa"/>
              <w:end w:w="110" w:type="dxa"/>
            </w:tcMar>
            <w:shd w:fill="F7F9FA"/>
          </w:tcPr>
          <w:p>
            <w:pPr>
              <w:spacing w:after="0" w:line="252" w:lineRule="auto"/>
              <w:jc w:val="left"/>
            </w:pPr>
            <w:r>
              <w:rPr>
                <w:color w:val="1E2933"/>
                <w:sz w:val="16"/>
              </w:rPr>
              <w:t>Labour supply, matching, tax response and productivity</w:t>
            </w:r>
          </w:p>
        </w:tc>
        <w:tc>
          <w:tcPr>
            <w:tcW w:type="dxa" w:w="954"/>
            <w:vAlign w:val="center"/>
            <w:tcMar>
              <w:top w:w="90" w:type="dxa"/>
              <w:start w:w="110" w:type="dxa"/>
              <w:bottom w:w="90" w:type="dxa"/>
              <w:end w:w="110" w:type="dxa"/>
            </w:tcMar>
            <w:shd w:fill="F7F9FA"/>
          </w:tcPr>
          <w:p>
            <w:pPr>
              <w:spacing w:after="0" w:line="252" w:lineRule="auto"/>
              <w:jc w:val="left"/>
            </w:pPr>
            <w:r>
              <w:rPr>
                <w:color w:val="1E2933"/>
                <w:sz w:val="16"/>
              </w:rPr>
              <w:t>+1.3%</w:t>
            </w:r>
          </w:p>
        </w:tc>
        <w:tc>
          <w:tcPr>
            <w:tcW w:type="dxa" w:w="1272"/>
            <w:vAlign w:val="center"/>
            <w:tcMar>
              <w:top w:w="90" w:type="dxa"/>
              <w:start w:w="110" w:type="dxa"/>
              <w:bottom w:w="90" w:type="dxa"/>
              <w:end w:w="110" w:type="dxa"/>
            </w:tcMar>
            <w:shd w:fill="F7F9FA"/>
          </w:tcPr>
          <w:p>
            <w:pPr>
              <w:spacing w:after="0" w:line="252" w:lineRule="auto"/>
              <w:jc w:val="left"/>
            </w:pPr>
            <w:r>
              <w:rPr>
                <w:color w:val="1E2933"/>
                <w:sz w:val="16"/>
              </w:rPr>
              <w:t>−2.4%</w:t>
            </w:r>
          </w:p>
        </w:tc>
        <w:tc>
          <w:tcPr>
            <w:tcW w:type="dxa" w:w="1113"/>
            <w:vAlign w:val="center"/>
            <w:tcMar>
              <w:top w:w="90" w:type="dxa"/>
              <w:start w:w="110" w:type="dxa"/>
              <w:bottom w:w="90" w:type="dxa"/>
              <w:end w:w="110" w:type="dxa"/>
            </w:tcMar>
            <w:shd w:fill="F7F9FA"/>
          </w:tcPr>
          <w:p>
            <w:pPr>
              <w:spacing w:after="0" w:line="252" w:lineRule="auto"/>
              <w:jc w:val="left"/>
            </w:pPr>
            <w:r>
              <w:rPr>
                <w:color w:val="1E2933"/>
                <w:sz w:val="16"/>
              </w:rPr>
              <w:t>−4.0%</w:t>
            </w:r>
          </w:p>
        </w:tc>
        <w:tc>
          <w:tcPr>
            <w:tcW w:type="dxa" w:w="1352"/>
            <w:vAlign w:val="center"/>
            <w:tcMar>
              <w:top w:w="90" w:type="dxa"/>
              <w:start w:w="110" w:type="dxa"/>
              <w:bottom w:w="90" w:type="dxa"/>
              <w:end w:w="110" w:type="dxa"/>
            </w:tcMar>
            <w:shd w:fill="F7F9FA"/>
          </w:tcPr>
          <w:p>
            <w:pPr>
              <w:spacing w:after="0" w:line="252" w:lineRule="auto"/>
              <w:jc w:val="left"/>
            </w:pPr>
            <w:r>
              <w:rPr>
                <w:color w:val="1E2933"/>
                <w:sz w:val="16"/>
              </w:rPr>
              <w:t>−5.1%</w:t>
            </w:r>
          </w:p>
        </w:tc>
      </w:tr>
      <w:tr>
        <w:trPr>
          <w:cantSplit/>
        </w:trPr>
        <w:tc>
          <w:tcPr>
            <w:tcW w:type="dxa" w:w="4453"/>
            <w:vAlign w:val="center"/>
            <w:tcMar>
              <w:top w:w="90" w:type="dxa"/>
              <w:start w:w="110" w:type="dxa"/>
              <w:bottom w:w="90" w:type="dxa"/>
              <w:end w:w="110" w:type="dxa"/>
            </w:tcMar>
          </w:tcPr>
          <w:p>
            <w:pPr>
              <w:spacing w:after="0" w:line="252" w:lineRule="auto"/>
              <w:jc w:val="left"/>
            </w:pPr>
            <w:r>
              <w:rPr>
                <w:color w:val="1E2933"/>
                <w:sz w:val="16"/>
              </w:rPr>
              <w:t>Productive capital and housing supply</w:t>
            </w:r>
          </w:p>
        </w:tc>
        <w:tc>
          <w:tcPr>
            <w:tcW w:type="dxa" w:w="954"/>
            <w:vAlign w:val="center"/>
            <w:tcMar>
              <w:top w:w="90" w:type="dxa"/>
              <w:start w:w="110" w:type="dxa"/>
              <w:bottom w:w="90" w:type="dxa"/>
              <w:end w:w="110" w:type="dxa"/>
            </w:tcMar>
          </w:tcPr>
          <w:p>
            <w:pPr>
              <w:spacing w:after="0" w:line="252" w:lineRule="auto"/>
              <w:jc w:val="left"/>
            </w:pPr>
            <w:r>
              <w:rPr>
                <w:color w:val="1E2933"/>
                <w:sz w:val="16"/>
              </w:rPr>
              <w:t>+1.0%</w:t>
            </w:r>
          </w:p>
        </w:tc>
        <w:tc>
          <w:tcPr>
            <w:tcW w:type="dxa" w:w="1272"/>
            <w:vAlign w:val="center"/>
            <w:tcMar>
              <w:top w:w="90" w:type="dxa"/>
              <w:start w:w="110" w:type="dxa"/>
              <w:bottom w:w="90" w:type="dxa"/>
              <w:end w:w="110" w:type="dxa"/>
            </w:tcMar>
          </w:tcPr>
          <w:p>
            <w:pPr>
              <w:spacing w:after="0" w:line="252" w:lineRule="auto"/>
              <w:jc w:val="left"/>
            </w:pPr>
            <w:r>
              <w:rPr>
                <w:color w:val="1E2933"/>
                <w:sz w:val="16"/>
              </w:rPr>
              <w:t>+0.3%</w:t>
            </w:r>
          </w:p>
        </w:tc>
        <w:tc>
          <w:tcPr>
            <w:tcW w:type="dxa" w:w="1113"/>
            <w:vAlign w:val="center"/>
            <w:tcMar>
              <w:top w:w="90" w:type="dxa"/>
              <w:start w:w="110" w:type="dxa"/>
              <w:bottom w:w="90" w:type="dxa"/>
              <w:end w:w="110" w:type="dxa"/>
            </w:tcMar>
          </w:tcPr>
          <w:p>
            <w:pPr>
              <w:spacing w:after="0" w:line="252" w:lineRule="auto"/>
              <w:jc w:val="left"/>
            </w:pPr>
            <w:r>
              <w:rPr>
                <w:color w:val="1E2933"/>
                <w:sz w:val="16"/>
              </w:rPr>
              <w:t>+0.2%</w:t>
            </w:r>
          </w:p>
        </w:tc>
        <w:tc>
          <w:tcPr>
            <w:tcW w:type="dxa" w:w="1352"/>
            <w:vAlign w:val="center"/>
            <w:tcMar>
              <w:top w:w="90" w:type="dxa"/>
              <w:start w:w="110" w:type="dxa"/>
              <w:bottom w:w="90" w:type="dxa"/>
              <w:end w:w="110" w:type="dxa"/>
            </w:tcMar>
          </w:tcPr>
          <w:p>
            <w:pPr>
              <w:spacing w:after="0" w:line="252" w:lineRule="auto"/>
              <w:jc w:val="left"/>
            </w:pPr>
            <w:r>
              <w:rPr>
                <w:color w:val="1E2933"/>
                <w:sz w:val="16"/>
              </w:rPr>
              <w:t>+0.2%</w:t>
            </w:r>
          </w:p>
        </w:tc>
      </w:tr>
      <w:tr>
        <w:trPr>
          <w:cantSplit/>
        </w:trPr>
        <w:tc>
          <w:tcPr>
            <w:tcW w:type="dxa" w:w="4453"/>
            <w:vAlign w:val="center"/>
            <w:tcMar>
              <w:top w:w="90" w:type="dxa"/>
              <w:start w:w="110" w:type="dxa"/>
              <w:bottom w:w="90" w:type="dxa"/>
              <w:end w:w="110" w:type="dxa"/>
            </w:tcMar>
            <w:shd w:fill="F7F9FA"/>
          </w:tcPr>
          <w:p>
            <w:pPr>
              <w:spacing w:after="0" w:line="252" w:lineRule="auto"/>
              <w:jc w:val="left"/>
            </w:pPr>
            <w:r>
              <w:rPr>
                <w:color w:val="1E2933"/>
                <w:sz w:val="16"/>
              </w:rPr>
              <w:t>Administration, health, care and productive redeployment</w:t>
            </w:r>
          </w:p>
        </w:tc>
        <w:tc>
          <w:tcPr>
            <w:tcW w:type="dxa" w:w="954"/>
            <w:vAlign w:val="center"/>
            <w:tcMar>
              <w:top w:w="90" w:type="dxa"/>
              <w:start w:w="110" w:type="dxa"/>
              <w:bottom w:w="90" w:type="dxa"/>
              <w:end w:w="110" w:type="dxa"/>
            </w:tcMar>
            <w:shd w:fill="F7F9FA"/>
          </w:tcPr>
          <w:p>
            <w:pPr>
              <w:spacing w:after="0" w:line="252" w:lineRule="auto"/>
              <w:jc w:val="left"/>
            </w:pPr>
            <w:r>
              <w:rPr>
                <w:color w:val="1E2933"/>
                <w:sz w:val="16"/>
              </w:rPr>
              <w:t>+0.4%</w:t>
            </w:r>
          </w:p>
        </w:tc>
        <w:tc>
          <w:tcPr>
            <w:tcW w:type="dxa" w:w="1272"/>
            <w:vAlign w:val="center"/>
            <w:tcMar>
              <w:top w:w="90" w:type="dxa"/>
              <w:start w:w="110" w:type="dxa"/>
              <w:bottom w:w="90" w:type="dxa"/>
              <w:end w:w="110" w:type="dxa"/>
            </w:tcMar>
            <w:shd w:fill="F7F9FA"/>
          </w:tcPr>
          <w:p>
            <w:pPr>
              <w:spacing w:after="0" w:line="252" w:lineRule="auto"/>
              <w:jc w:val="left"/>
            </w:pPr>
            <w:r>
              <w:rPr>
                <w:color w:val="1E2933"/>
                <w:sz w:val="16"/>
              </w:rPr>
              <w:t>+0.2%</w:t>
            </w:r>
          </w:p>
        </w:tc>
        <w:tc>
          <w:tcPr>
            <w:tcW w:type="dxa" w:w="1113"/>
            <w:vAlign w:val="center"/>
            <w:tcMar>
              <w:top w:w="90" w:type="dxa"/>
              <w:start w:w="110" w:type="dxa"/>
              <w:bottom w:w="90" w:type="dxa"/>
              <w:end w:w="110" w:type="dxa"/>
            </w:tcMar>
            <w:shd w:fill="F7F9FA"/>
          </w:tcPr>
          <w:p>
            <w:pPr>
              <w:spacing w:after="0" w:line="252" w:lineRule="auto"/>
              <w:jc w:val="left"/>
            </w:pPr>
            <w:r>
              <w:rPr>
                <w:color w:val="1E2933"/>
                <w:sz w:val="16"/>
              </w:rPr>
              <w:t>+0.1%</w:t>
            </w:r>
          </w:p>
        </w:tc>
        <w:tc>
          <w:tcPr>
            <w:tcW w:type="dxa" w:w="1352"/>
            <w:vAlign w:val="center"/>
            <w:tcMar>
              <w:top w:w="90" w:type="dxa"/>
              <w:start w:w="110" w:type="dxa"/>
              <w:bottom w:w="90" w:type="dxa"/>
              <w:end w:w="110" w:type="dxa"/>
            </w:tcMar>
            <w:shd w:fill="F7F9FA"/>
          </w:tcPr>
          <w:p>
            <w:pPr>
              <w:spacing w:after="0" w:line="252" w:lineRule="auto"/>
              <w:jc w:val="left"/>
            </w:pPr>
            <w:r>
              <w:rPr>
                <w:color w:val="1E2933"/>
                <w:sz w:val="16"/>
              </w:rPr>
              <w:t>+0.1%</w:t>
            </w:r>
          </w:p>
        </w:tc>
      </w:tr>
      <w:tr>
        <w:trPr>
          <w:cantSplit/>
        </w:trPr>
        <w:tc>
          <w:tcPr>
            <w:tcW w:type="dxa" w:w="4453"/>
            <w:vAlign w:val="center"/>
            <w:tcMar>
              <w:top w:w="90" w:type="dxa"/>
              <w:start w:w="110" w:type="dxa"/>
              <w:bottom w:w="90" w:type="dxa"/>
              <w:end w:w="110" w:type="dxa"/>
            </w:tcMar>
          </w:tcPr>
          <w:p>
            <w:pPr>
              <w:spacing w:after="0" w:line="252" w:lineRule="auto"/>
              <w:jc w:val="left"/>
            </w:pPr>
            <w:r>
              <w:rPr>
                <w:color w:val="1E2933"/>
                <w:sz w:val="16"/>
              </w:rPr>
              <w:t>Bank-credit channel</w:t>
            </w:r>
          </w:p>
        </w:tc>
        <w:tc>
          <w:tcPr>
            <w:tcW w:type="dxa" w:w="954"/>
            <w:vAlign w:val="center"/>
            <w:tcMar>
              <w:top w:w="90" w:type="dxa"/>
              <w:start w:w="110" w:type="dxa"/>
              <w:bottom w:w="90" w:type="dxa"/>
              <w:end w:w="110" w:type="dxa"/>
            </w:tcMar>
          </w:tcPr>
          <w:p>
            <w:pPr>
              <w:spacing w:after="0" w:line="252" w:lineRule="auto"/>
              <w:jc w:val="left"/>
            </w:pPr>
            <w:r>
              <w:rPr>
                <w:color w:val="1E2933"/>
                <w:sz w:val="16"/>
              </w:rPr>
              <w:t>+0.7%</w:t>
            </w:r>
          </w:p>
        </w:tc>
        <w:tc>
          <w:tcPr>
            <w:tcW w:type="dxa" w:w="1272"/>
            <w:vAlign w:val="center"/>
            <w:tcMar>
              <w:top w:w="90" w:type="dxa"/>
              <w:start w:w="110" w:type="dxa"/>
              <w:bottom w:w="90" w:type="dxa"/>
              <w:end w:w="110" w:type="dxa"/>
            </w:tcMar>
          </w:tcPr>
          <w:p>
            <w:pPr>
              <w:spacing w:after="0" w:line="252" w:lineRule="auto"/>
              <w:jc w:val="left"/>
            </w:pPr>
            <w:r>
              <w:rPr>
                <w:color w:val="1E2933"/>
                <w:sz w:val="16"/>
              </w:rPr>
              <w:t>+0.1%</w:t>
            </w:r>
          </w:p>
        </w:tc>
        <w:tc>
          <w:tcPr>
            <w:tcW w:type="dxa" w:w="1113"/>
            <w:vAlign w:val="center"/>
            <w:tcMar>
              <w:top w:w="90" w:type="dxa"/>
              <w:start w:w="110" w:type="dxa"/>
              <w:bottom w:w="90" w:type="dxa"/>
              <w:end w:w="110" w:type="dxa"/>
            </w:tcMar>
          </w:tcPr>
          <w:p>
            <w:pPr>
              <w:spacing w:after="0" w:line="252" w:lineRule="auto"/>
              <w:jc w:val="left"/>
            </w:pPr>
            <w:r>
              <w:rPr>
                <w:color w:val="1E2933"/>
                <w:sz w:val="16"/>
              </w:rPr>
              <w:t>−1.3%</w:t>
            </w:r>
          </w:p>
        </w:tc>
        <w:tc>
          <w:tcPr>
            <w:tcW w:type="dxa" w:w="1352"/>
            <w:vAlign w:val="center"/>
            <w:tcMar>
              <w:top w:w="90" w:type="dxa"/>
              <w:start w:w="110" w:type="dxa"/>
              <w:bottom w:w="90" w:type="dxa"/>
              <w:end w:w="110" w:type="dxa"/>
            </w:tcMar>
          </w:tcPr>
          <w:p>
            <w:pPr>
              <w:spacing w:after="0" w:line="252" w:lineRule="auto"/>
              <w:jc w:val="left"/>
            </w:pPr>
            <w:r>
              <w:rPr>
                <w:color w:val="1E2933"/>
                <w:sz w:val="16"/>
              </w:rPr>
              <w:t>−0.9%</w:t>
            </w:r>
          </w:p>
        </w:tc>
      </w:tr>
      <w:tr>
        <w:trPr>
          <w:cantSplit/>
        </w:trPr>
        <w:tc>
          <w:tcPr>
            <w:tcW w:type="dxa" w:w="4453"/>
            <w:vAlign w:val="center"/>
            <w:tcMar>
              <w:top w:w="90" w:type="dxa"/>
              <w:start w:w="110" w:type="dxa"/>
              <w:bottom w:w="90" w:type="dxa"/>
              <w:end w:w="110" w:type="dxa"/>
            </w:tcMar>
            <w:shd w:fill="F7F9FA"/>
          </w:tcPr>
          <w:p>
            <w:pPr>
              <w:spacing w:after="0" w:line="252" w:lineRule="auto"/>
              <w:jc w:val="left"/>
            </w:pPr>
            <w:r>
              <w:rPr>
                <w:color w:val="1E2933"/>
                <w:sz w:val="16"/>
              </w:rPr>
              <w:t>Inflation and import effects remaining in real output</w:t>
            </w:r>
          </w:p>
        </w:tc>
        <w:tc>
          <w:tcPr>
            <w:tcW w:type="dxa" w:w="954"/>
            <w:vAlign w:val="center"/>
            <w:tcMar>
              <w:top w:w="90" w:type="dxa"/>
              <w:start w:w="110" w:type="dxa"/>
              <w:bottom w:w="90" w:type="dxa"/>
              <w:end w:w="110" w:type="dxa"/>
            </w:tcMar>
            <w:shd w:fill="F7F9FA"/>
          </w:tcPr>
          <w:p>
            <w:pPr>
              <w:spacing w:after="0" w:line="252" w:lineRule="auto"/>
              <w:jc w:val="left"/>
            </w:pPr>
            <w:r>
              <w:rPr>
                <w:color w:val="1E2933"/>
                <w:sz w:val="16"/>
              </w:rPr>
              <w:t>−0.1%</w:t>
            </w:r>
          </w:p>
        </w:tc>
        <w:tc>
          <w:tcPr>
            <w:tcW w:type="dxa" w:w="1272"/>
            <w:vAlign w:val="center"/>
            <w:tcMar>
              <w:top w:w="90" w:type="dxa"/>
              <w:start w:w="110" w:type="dxa"/>
              <w:bottom w:w="90" w:type="dxa"/>
              <w:end w:w="110" w:type="dxa"/>
            </w:tcMar>
            <w:shd w:fill="F7F9FA"/>
          </w:tcPr>
          <w:p>
            <w:pPr>
              <w:spacing w:after="0" w:line="252" w:lineRule="auto"/>
              <w:jc w:val="left"/>
            </w:pPr>
            <w:r>
              <w:rPr>
                <w:color w:val="1E2933"/>
                <w:sz w:val="16"/>
              </w:rPr>
              <w:t>−0.1%</w:t>
            </w:r>
          </w:p>
        </w:tc>
        <w:tc>
          <w:tcPr>
            <w:tcW w:type="dxa" w:w="1113"/>
            <w:vAlign w:val="center"/>
            <w:tcMar>
              <w:top w:w="90" w:type="dxa"/>
              <w:start w:w="110" w:type="dxa"/>
              <w:bottom w:w="90" w:type="dxa"/>
              <w:end w:w="110" w:type="dxa"/>
            </w:tcMar>
            <w:shd w:fill="F7F9FA"/>
          </w:tcPr>
          <w:p>
            <w:pPr>
              <w:spacing w:after="0" w:line="252" w:lineRule="auto"/>
              <w:jc w:val="left"/>
            </w:pPr>
            <w:r>
              <w:rPr>
                <w:color w:val="1E2933"/>
                <w:sz w:val="16"/>
              </w:rPr>
              <w:t>−0.4%</w:t>
            </w:r>
          </w:p>
        </w:tc>
        <w:tc>
          <w:tcPr>
            <w:tcW w:type="dxa" w:w="1352"/>
            <w:vAlign w:val="center"/>
            <w:tcMar>
              <w:top w:w="90" w:type="dxa"/>
              <w:start w:w="110" w:type="dxa"/>
              <w:bottom w:w="90" w:type="dxa"/>
              <w:end w:w="110" w:type="dxa"/>
            </w:tcMar>
            <w:shd w:fill="F7F9FA"/>
          </w:tcPr>
          <w:p>
            <w:pPr>
              <w:spacing w:after="0" w:line="252" w:lineRule="auto"/>
              <w:jc w:val="left"/>
            </w:pPr>
            <w:r>
              <w:rPr>
                <w:color w:val="1E2933"/>
                <w:sz w:val="16"/>
              </w:rPr>
              <w:t>−0.3%</w:t>
            </w:r>
          </w:p>
        </w:tc>
      </w:tr>
      <w:tr>
        <w:trPr>
          <w:cantSplit/>
        </w:trPr>
        <w:tc>
          <w:tcPr>
            <w:tcW w:type="dxa" w:w="4453"/>
            <w:vAlign w:val="center"/>
            <w:tcMar>
              <w:top w:w="90" w:type="dxa"/>
              <w:start w:w="110" w:type="dxa"/>
              <w:bottom w:w="90" w:type="dxa"/>
              <w:end w:w="110" w:type="dxa"/>
            </w:tcMar>
          </w:tcPr>
          <w:p>
            <w:pPr>
              <w:spacing w:after="0" w:line="252" w:lineRule="auto"/>
              <w:jc w:val="left"/>
            </w:pPr>
            <w:r>
              <w:rPr>
                <w:color w:val="1E2933"/>
                <w:sz w:val="16"/>
              </w:rPr>
              <w:t>Fiscal and behavioural leakage</w:t>
            </w:r>
          </w:p>
        </w:tc>
        <w:tc>
          <w:tcPr>
            <w:tcW w:type="dxa" w:w="954"/>
            <w:vAlign w:val="center"/>
            <w:tcMar>
              <w:top w:w="90" w:type="dxa"/>
              <w:start w:w="110" w:type="dxa"/>
              <w:bottom w:w="90" w:type="dxa"/>
              <w:end w:w="110" w:type="dxa"/>
            </w:tcMar>
          </w:tcPr>
          <w:p>
            <w:pPr>
              <w:spacing w:after="0" w:line="252" w:lineRule="auto"/>
              <w:jc w:val="left"/>
            </w:pPr>
            <w:r>
              <w:rPr>
                <w:color w:val="1E2933"/>
                <w:sz w:val="16"/>
              </w:rPr>
              <w:t>0.0%</w:t>
            </w:r>
          </w:p>
        </w:tc>
        <w:tc>
          <w:tcPr>
            <w:tcW w:type="dxa" w:w="1272"/>
            <w:vAlign w:val="center"/>
            <w:tcMar>
              <w:top w:w="90" w:type="dxa"/>
              <w:start w:w="110" w:type="dxa"/>
              <w:bottom w:w="90" w:type="dxa"/>
              <w:end w:w="110" w:type="dxa"/>
            </w:tcMar>
          </w:tcPr>
          <w:p>
            <w:pPr>
              <w:spacing w:after="0" w:line="252" w:lineRule="auto"/>
              <w:jc w:val="left"/>
            </w:pPr>
            <w:r>
              <w:rPr>
                <w:color w:val="1E2933"/>
                <w:sz w:val="16"/>
              </w:rPr>
              <w:t>−0.7%</w:t>
            </w:r>
          </w:p>
        </w:tc>
        <w:tc>
          <w:tcPr>
            <w:tcW w:type="dxa" w:w="1113"/>
            <w:vAlign w:val="center"/>
            <w:tcMar>
              <w:top w:w="90" w:type="dxa"/>
              <w:start w:w="110" w:type="dxa"/>
              <w:bottom w:w="90" w:type="dxa"/>
              <w:end w:w="110" w:type="dxa"/>
            </w:tcMar>
          </w:tcPr>
          <w:p>
            <w:pPr>
              <w:spacing w:after="0" w:line="252" w:lineRule="auto"/>
              <w:jc w:val="left"/>
            </w:pPr>
            <w:r>
              <w:rPr>
                <w:color w:val="1E2933"/>
                <w:sz w:val="16"/>
              </w:rPr>
              <w:t>−0.9%</w:t>
            </w:r>
          </w:p>
        </w:tc>
        <w:tc>
          <w:tcPr>
            <w:tcW w:type="dxa" w:w="1352"/>
            <w:vAlign w:val="center"/>
            <w:tcMar>
              <w:top w:w="90" w:type="dxa"/>
              <w:start w:w="110" w:type="dxa"/>
              <w:bottom w:w="90" w:type="dxa"/>
              <w:end w:w="110" w:type="dxa"/>
            </w:tcMar>
          </w:tcPr>
          <w:p>
            <w:pPr>
              <w:spacing w:after="0" w:line="252" w:lineRule="auto"/>
              <w:jc w:val="left"/>
            </w:pPr>
            <w:r>
              <w:rPr>
                <w:color w:val="1E2933"/>
                <w:sz w:val="16"/>
              </w:rPr>
              <w:t>−2.7%</w:t>
            </w:r>
          </w:p>
        </w:tc>
      </w:tr>
      <w:tr>
        <w:trPr>
          <w:cantSplit/>
        </w:trPr>
        <w:tc>
          <w:tcPr>
            <w:tcW w:type="dxa" w:w="4453"/>
            <w:vAlign w:val="center"/>
            <w:tcMar>
              <w:top w:w="90" w:type="dxa"/>
              <w:start w:w="110" w:type="dxa"/>
              <w:bottom w:w="90" w:type="dxa"/>
              <w:end w:w="110" w:type="dxa"/>
            </w:tcMar>
            <w:shd w:fill="F7F9FA"/>
          </w:tcPr>
          <w:p>
            <w:pPr>
              <w:spacing w:after="0" w:line="252" w:lineRule="auto"/>
              <w:jc w:val="left"/>
            </w:pPr>
            <w:r>
              <w:rPr>
                <w:b/>
                <w:sz w:val="16"/>
              </w:rPr>
              <w:t>Illustrative total level difference</w:t>
            </w:r>
          </w:p>
        </w:tc>
        <w:tc>
          <w:tcPr>
            <w:tcW w:type="dxa" w:w="954"/>
            <w:vAlign w:val="center"/>
            <w:tcMar>
              <w:top w:w="90" w:type="dxa"/>
              <w:start w:w="110" w:type="dxa"/>
              <w:bottom w:w="90" w:type="dxa"/>
              <w:end w:w="110" w:type="dxa"/>
            </w:tcMar>
            <w:shd w:fill="F7F9FA"/>
          </w:tcPr>
          <w:p>
            <w:pPr>
              <w:spacing w:after="0" w:line="252" w:lineRule="auto"/>
              <w:jc w:val="left"/>
            </w:pPr>
            <w:r>
              <w:rPr>
                <w:b/>
                <w:sz w:val="16"/>
              </w:rPr>
              <w:t>+3.5%</w:t>
            </w:r>
          </w:p>
        </w:tc>
        <w:tc>
          <w:tcPr>
            <w:tcW w:type="dxa" w:w="1272"/>
            <w:vAlign w:val="center"/>
            <w:tcMar>
              <w:top w:w="90" w:type="dxa"/>
              <w:start w:w="110" w:type="dxa"/>
              <w:bottom w:w="90" w:type="dxa"/>
              <w:end w:w="110" w:type="dxa"/>
            </w:tcMar>
            <w:shd w:fill="F7F9FA"/>
          </w:tcPr>
          <w:p>
            <w:pPr>
              <w:spacing w:after="0" w:line="252" w:lineRule="auto"/>
              <w:jc w:val="left"/>
            </w:pPr>
            <w:r>
              <w:rPr>
                <w:b/>
                <w:sz w:val="16"/>
              </w:rPr>
              <w:t>−2.7%</w:t>
            </w:r>
          </w:p>
        </w:tc>
        <w:tc>
          <w:tcPr>
            <w:tcW w:type="dxa" w:w="1113"/>
            <w:vAlign w:val="center"/>
            <w:tcMar>
              <w:top w:w="90" w:type="dxa"/>
              <w:start w:w="110" w:type="dxa"/>
              <w:bottom w:w="90" w:type="dxa"/>
              <w:end w:w="110" w:type="dxa"/>
            </w:tcMar>
            <w:shd w:fill="F7F9FA"/>
          </w:tcPr>
          <w:p>
            <w:pPr>
              <w:spacing w:after="0" w:line="252" w:lineRule="auto"/>
              <w:jc w:val="left"/>
            </w:pPr>
            <w:r>
              <w:rPr>
                <w:b/>
                <w:sz w:val="16"/>
              </w:rPr>
              <w:t>−6.3%</w:t>
            </w:r>
          </w:p>
        </w:tc>
        <w:tc>
          <w:tcPr>
            <w:tcW w:type="dxa" w:w="1352"/>
            <w:vAlign w:val="center"/>
            <w:tcMar>
              <w:top w:w="90" w:type="dxa"/>
              <w:start w:w="110" w:type="dxa"/>
              <w:bottom w:w="90" w:type="dxa"/>
              <w:end w:w="110" w:type="dxa"/>
            </w:tcMar>
            <w:shd w:fill="F7F9FA"/>
          </w:tcPr>
          <w:p>
            <w:pPr>
              <w:spacing w:after="0" w:line="252" w:lineRule="auto"/>
              <w:jc w:val="left"/>
            </w:pPr>
            <w:r>
              <w:rPr>
                <w:b/>
                <w:sz w:val="16"/>
              </w:rPr>
              <w:t>−8.8%</w:t>
            </w:r>
          </w:p>
        </w:tc>
      </w:tr>
    </w:tbl>
    <w:p>
      <w:pPr>
        <w:spacing w:after="20"/>
      </w:pPr>
    </w:p>
    <w:p>
      <w:r>
        <w:t xml:space="preserve">For reproducibility, the annual totals use the following published transition weights. For each scenario and year, </w:t>
      </w:r>
      <w:r>
        <w:rPr>
          <w:b/>
        </w:rPr>
        <w:t>GDP-level difference = 2036 endpoint × transition weight</w:t>
      </w:r>
      <w:r>
        <w:t>. Weights above 1 in the banking case represent an assumed temporary credit-stress overshoot before partial recovery; the reference likewise has a small year-nine overshoot. Values are rounded, so rebuilding from the weights can differ from the displayed annual path by 0.1 percentage point.</w:t>
      </w:r>
    </w:p>
    <w:tbl>
      <w:tblPr>
        <w:tblW w:type="dxa" w:w="9144"/>
        <w:jc w:val="center"/>
        <w:tblLayout w:type="fixed"/>
        <w:tblLook w:firstColumn="1" w:firstRow="1" w:lastColumn="0" w:lastRow="0" w:noHBand="0" w:noVBand="1" w:val="04A0"/>
        <w:tblInd w:type="dxa" w:w="110"/>
      </w:tblPr>
      <w:tblGrid>
        <w:gridCol w:w="1131"/>
        <w:gridCol w:w="1603"/>
        <w:gridCol w:w="2168"/>
        <w:gridCol w:w="1980"/>
        <w:gridCol w:w="2262"/>
      </w:tblGrid>
      <w:tr>
        <w:trPr>
          <w:cantSplit/>
          <w:tblHeader w:val="true"/>
        </w:trPr>
        <w:tc>
          <w:tcPr>
            <w:tcW w:type="dxa" w:w="1131"/>
            <w:vAlign w:val="center"/>
            <w:tcMar>
              <w:top w:w="90" w:type="dxa"/>
              <w:start w:w="110" w:type="dxa"/>
              <w:bottom w:w="90" w:type="dxa"/>
              <w:end w:w="110" w:type="dxa"/>
            </w:tcMar>
            <w:shd w:fill="16324F"/>
          </w:tcPr>
          <w:p>
            <w:pPr>
              <w:spacing w:after="0" w:line="252" w:lineRule="auto"/>
              <w:jc w:val="left"/>
            </w:pPr>
            <w:r>
              <w:rPr>
                <w:b/>
                <w:color w:val="FFFFFF"/>
                <w:sz w:val="16"/>
              </w:rPr>
              <w:t>Year</w:t>
            </w:r>
          </w:p>
        </w:tc>
        <w:tc>
          <w:tcPr>
            <w:tcW w:type="dxa" w:w="1603"/>
            <w:vAlign w:val="center"/>
            <w:tcMar>
              <w:top w:w="90" w:type="dxa"/>
              <w:start w:w="110" w:type="dxa"/>
              <w:bottom w:w="90" w:type="dxa"/>
              <w:end w:w="110" w:type="dxa"/>
            </w:tcMar>
            <w:shd w:fill="16324F"/>
          </w:tcPr>
          <w:p>
            <w:pPr>
              <w:spacing w:after="0" w:line="252" w:lineRule="auto"/>
              <w:jc w:val="left"/>
            </w:pPr>
            <w:r>
              <w:rPr>
                <w:b/>
                <w:color w:val="FFFFFF"/>
                <w:sz w:val="16"/>
              </w:rPr>
              <w:t>Successful weight</w:t>
            </w:r>
          </w:p>
        </w:tc>
        <w:tc>
          <w:tcPr>
            <w:tcW w:type="dxa" w:w="2168"/>
            <w:vAlign w:val="center"/>
            <w:tcMar>
              <w:top w:w="90" w:type="dxa"/>
              <w:start w:w="110" w:type="dxa"/>
              <w:bottom w:w="90" w:type="dxa"/>
              <w:end w:w="110" w:type="dxa"/>
            </w:tcMar>
            <w:shd w:fill="16324F"/>
          </w:tcPr>
          <w:p>
            <w:pPr>
              <w:spacing w:after="0" w:line="252" w:lineRule="auto"/>
              <w:jc w:val="left"/>
            </w:pPr>
            <w:r>
              <w:rPr>
                <w:b/>
                <w:color w:val="FFFFFF"/>
                <w:sz w:val="16"/>
              </w:rPr>
              <w:t>Funded-reference weight</w:t>
            </w:r>
          </w:p>
        </w:tc>
        <w:tc>
          <w:tcPr>
            <w:tcW w:type="dxa" w:w="1980"/>
            <w:vAlign w:val="center"/>
            <w:tcMar>
              <w:top w:w="90" w:type="dxa"/>
              <w:start w:w="110" w:type="dxa"/>
              <w:bottom w:w="90" w:type="dxa"/>
              <w:end w:w="110" w:type="dxa"/>
            </w:tcMar>
            <w:shd w:fill="16324F"/>
          </w:tcPr>
          <w:p>
            <w:pPr>
              <w:spacing w:after="0" w:line="252" w:lineRule="auto"/>
              <w:jc w:val="left"/>
            </w:pPr>
            <w:r>
              <w:rPr>
                <w:b/>
                <w:color w:val="FFFFFF"/>
                <w:sz w:val="16"/>
              </w:rPr>
              <w:t>Banking-stress weight</w:t>
            </w:r>
          </w:p>
        </w:tc>
        <w:tc>
          <w:tcPr>
            <w:tcW w:type="dxa" w:w="2262"/>
            <w:vAlign w:val="center"/>
            <w:tcMar>
              <w:top w:w="90" w:type="dxa"/>
              <w:start w:w="110" w:type="dxa"/>
              <w:bottom w:w="90" w:type="dxa"/>
              <w:end w:w="110" w:type="dxa"/>
            </w:tcMar>
            <w:shd w:fill="16324F"/>
          </w:tcPr>
          <w:p>
            <w:pPr>
              <w:spacing w:after="0" w:line="252" w:lineRule="auto"/>
              <w:jc w:val="left"/>
            </w:pPr>
            <w:r>
              <w:rPr>
                <w:b/>
                <w:color w:val="FFFFFF"/>
                <w:sz w:val="16"/>
              </w:rPr>
              <w:t>Avoidance/leakage weight</w:t>
            </w:r>
          </w:p>
        </w:tc>
      </w:tr>
      <w:tr>
        <w:trPr>
          <w:cantSplit/>
        </w:trPr>
        <w:tc>
          <w:tcPr>
            <w:tcW w:type="dxa" w:w="1131"/>
            <w:vAlign w:val="center"/>
            <w:tcMar>
              <w:top w:w="90" w:type="dxa"/>
              <w:start w:w="110" w:type="dxa"/>
              <w:bottom w:w="90" w:type="dxa"/>
              <w:end w:w="110" w:type="dxa"/>
            </w:tcMar>
          </w:tcPr>
          <w:p>
            <w:pPr>
              <w:spacing w:after="0" w:line="252" w:lineRule="auto"/>
              <w:jc w:val="left"/>
            </w:pPr>
            <w:r>
              <w:rPr>
                <w:color w:val="1E2933"/>
                <w:sz w:val="16"/>
              </w:rPr>
              <w:t>2027</w:t>
            </w:r>
          </w:p>
        </w:tc>
        <w:tc>
          <w:tcPr>
            <w:tcW w:type="dxa" w:w="1603"/>
            <w:vAlign w:val="center"/>
            <w:tcMar>
              <w:top w:w="90" w:type="dxa"/>
              <w:start w:w="110" w:type="dxa"/>
              <w:bottom w:w="90" w:type="dxa"/>
              <w:end w:w="110" w:type="dxa"/>
            </w:tcMar>
          </w:tcPr>
          <w:p>
            <w:pPr>
              <w:spacing w:after="0" w:line="252" w:lineRule="auto"/>
              <w:jc w:val="left"/>
            </w:pPr>
            <w:r>
              <w:rPr>
                <w:color w:val="1E2933"/>
                <w:sz w:val="16"/>
              </w:rPr>
              <w:t>0.00</w:t>
            </w:r>
          </w:p>
        </w:tc>
        <w:tc>
          <w:tcPr>
            <w:tcW w:type="dxa" w:w="2168"/>
            <w:vAlign w:val="center"/>
            <w:tcMar>
              <w:top w:w="90" w:type="dxa"/>
              <w:start w:w="110" w:type="dxa"/>
              <w:bottom w:w="90" w:type="dxa"/>
              <w:end w:w="110" w:type="dxa"/>
            </w:tcMar>
          </w:tcPr>
          <w:p>
            <w:pPr>
              <w:spacing w:after="0" w:line="252" w:lineRule="auto"/>
              <w:jc w:val="left"/>
            </w:pPr>
            <w:r>
              <w:rPr>
                <w:color w:val="1E2933"/>
                <w:sz w:val="16"/>
              </w:rPr>
              <w:t>0.07</w:t>
            </w:r>
          </w:p>
        </w:tc>
        <w:tc>
          <w:tcPr>
            <w:tcW w:type="dxa" w:w="1980"/>
            <w:vAlign w:val="center"/>
            <w:tcMar>
              <w:top w:w="90" w:type="dxa"/>
              <w:start w:w="110" w:type="dxa"/>
              <w:bottom w:w="90" w:type="dxa"/>
              <w:end w:w="110" w:type="dxa"/>
            </w:tcMar>
          </w:tcPr>
          <w:p>
            <w:pPr>
              <w:spacing w:after="0" w:line="252" w:lineRule="auto"/>
              <w:jc w:val="left"/>
            </w:pPr>
            <w:r>
              <w:rPr>
                <w:color w:val="1E2933"/>
                <w:sz w:val="16"/>
              </w:rPr>
              <w:t>0.10</w:t>
            </w:r>
          </w:p>
        </w:tc>
        <w:tc>
          <w:tcPr>
            <w:tcW w:type="dxa" w:w="2262"/>
            <w:vAlign w:val="center"/>
            <w:tcMar>
              <w:top w:w="90" w:type="dxa"/>
              <w:start w:w="110" w:type="dxa"/>
              <w:bottom w:w="90" w:type="dxa"/>
              <w:end w:w="110" w:type="dxa"/>
            </w:tcMar>
          </w:tcPr>
          <w:p>
            <w:pPr>
              <w:spacing w:after="0" w:line="252" w:lineRule="auto"/>
              <w:jc w:val="left"/>
            </w:pPr>
            <w:r>
              <w:rPr>
                <w:color w:val="1E2933"/>
                <w:sz w:val="16"/>
              </w:rPr>
              <w:t>0.05</w:t>
            </w:r>
          </w:p>
        </w:tc>
      </w:tr>
      <w:tr>
        <w:trPr>
          <w:cantSplit/>
        </w:trPr>
        <w:tc>
          <w:tcPr>
            <w:tcW w:type="dxa" w:w="1131"/>
            <w:vAlign w:val="center"/>
            <w:tcMar>
              <w:top w:w="90" w:type="dxa"/>
              <w:start w:w="110" w:type="dxa"/>
              <w:bottom w:w="90" w:type="dxa"/>
              <w:end w:w="110" w:type="dxa"/>
            </w:tcMar>
            <w:shd w:fill="F7F9FA"/>
          </w:tcPr>
          <w:p>
            <w:pPr>
              <w:spacing w:after="0" w:line="252" w:lineRule="auto"/>
              <w:jc w:val="left"/>
            </w:pPr>
            <w:r>
              <w:rPr>
                <w:color w:val="1E2933"/>
                <w:sz w:val="16"/>
              </w:rPr>
              <w:t>2028</w:t>
            </w:r>
          </w:p>
        </w:tc>
        <w:tc>
          <w:tcPr>
            <w:tcW w:type="dxa" w:w="1603"/>
            <w:vAlign w:val="center"/>
            <w:tcMar>
              <w:top w:w="90" w:type="dxa"/>
              <w:start w:w="110" w:type="dxa"/>
              <w:bottom w:w="90" w:type="dxa"/>
              <w:end w:w="110" w:type="dxa"/>
            </w:tcMar>
            <w:shd w:fill="F7F9FA"/>
          </w:tcPr>
          <w:p>
            <w:pPr>
              <w:spacing w:after="0" w:line="252" w:lineRule="auto"/>
              <w:jc w:val="left"/>
            </w:pPr>
            <w:r>
              <w:rPr>
                <w:color w:val="1E2933"/>
                <w:sz w:val="16"/>
              </w:rPr>
              <w:t>0.00</w:t>
            </w:r>
          </w:p>
        </w:tc>
        <w:tc>
          <w:tcPr>
            <w:tcW w:type="dxa" w:w="2168"/>
            <w:vAlign w:val="center"/>
            <w:tcMar>
              <w:top w:w="90" w:type="dxa"/>
              <w:start w:w="110" w:type="dxa"/>
              <w:bottom w:w="90" w:type="dxa"/>
              <w:end w:w="110" w:type="dxa"/>
            </w:tcMar>
            <w:shd w:fill="F7F9FA"/>
          </w:tcPr>
          <w:p>
            <w:pPr>
              <w:spacing w:after="0" w:line="252" w:lineRule="auto"/>
              <w:jc w:val="left"/>
            </w:pPr>
            <w:r>
              <w:rPr>
                <w:color w:val="1E2933"/>
                <w:sz w:val="16"/>
              </w:rPr>
              <w:t>0.15</w:t>
            </w:r>
          </w:p>
        </w:tc>
        <w:tc>
          <w:tcPr>
            <w:tcW w:type="dxa" w:w="1980"/>
            <w:vAlign w:val="center"/>
            <w:tcMar>
              <w:top w:w="90" w:type="dxa"/>
              <w:start w:w="110" w:type="dxa"/>
              <w:bottom w:w="90" w:type="dxa"/>
              <w:end w:w="110" w:type="dxa"/>
            </w:tcMar>
            <w:shd w:fill="F7F9FA"/>
          </w:tcPr>
          <w:p>
            <w:pPr>
              <w:spacing w:after="0" w:line="252" w:lineRule="auto"/>
              <w:jc w:val="left"/>
            </w:pPr>
            <w:r>
              <w:rPr>
                <w:color w:val="1E2933"/>
                <w:sz w:val="16"/>
              </w:rPr>
              <w:t>0.22</w:t>
            </w:r>
          </w:p>
        </w:tc>
        <w:tc>
          <w:tcPr>
            <w:tcW w:type="dxa" w:w="2262"/>
            <w:vAlign w:val="center"/>
            <w:tcMar>
              <w:top w:w="90" w:type="dxa"/>
              <w:start w:w="110" w:type="dxa"/>
              <w:bottom w:w="90" w:type="dxa"/>
              <w:end w:w="110" w:type="dxa"/>
            </w:tcMar>
            <w:shd w:fill="F7F9FA"/>
          </w:tcPr>
          <w:p>
            <w:pPr>
              <w:spacing w:after="0" w:line="252" w:lineRule="auto"/>
              <w:jc w:val="left"/>
            </w:pPr>
            <w:r>
              <w:rPr>
                <w:color w:val="1E2933"/>
                <w:sz w:val="16"/>
              </w:rPr>
              <w:t>0.13</w:t>
            </w:r>
          </w:p>
        </w:tc>
      </w:tr>
      <w:tr>
        <w:trPr>
          <w:cantSplit/>
        </w:trPr>
        <w:tc>
          <w:tcPr>
            <w:tcW w:type="dxa" w:w="1131"/>
            <w:vAlign w:val="center"/>
            <w:tcMar>
              <w:top w:w="90" w:type="dxa"/>
              <w:start w:w="110" w:type="dxa"/>
              <w:bottom w:w="90" w:type="dxa"/>
              <w:end w:w="110" w:type="dxa"/>
            </w:tcMar>
          </w:tcPr>
          <w:p>
            <w:pPr>
              <w:spacing w:after="0" w:line="252" w:lineRule="auto"/>
              <w:jc w:val="left"/>
            </w:pPr>
            <w:r>
              <w:rPr>
                <w:color w:val="1E2933"/>
                <w:sz w:val="16"/>
              </w:rPr>
              <w:t>2029</w:t>
            </w:r>
          </w:p>
        </w:tc>
        <w:tc>
          <w:tcPr>
            <w:tcW w:type="dxa" w:w="1603"/>
            <w:vAlign w:val="center"/>
            <w:tcMar>
              <w:top w:w="90" w:type="dxa"/>
              <w:start w:w="110" w:type="dxa"/>
              <w:bottom w:w="90" w:type="dxa"/>
              <w:end w:w="110" w:type="dxa"/>
            </w:tcMar>
          </w:tcPr>
          <w:p>
            <w:pPr>
              <w:spacing w:after="0" w:line="252" w:lineRule="auto"/>
              <w:jc w:val="left"/>
            </w:pPr>
            <w:r>
              <w:rPr>
                <w:color w:val="1E2933"/>
                <w:sz w:val="16"/>
              </w:rPr>
              <w:t>0.06</w:t>
            </w:r>
          </w:p>
        </w:tc>
        <w:tc>
          <w:tcPr>
            <w:tcW w:type="dxa" w:w="2168"/>
            <w:vAlign w:val="center"/>
            <w:tcMar>
              <w:top w:w="90" w:type="dxa"/>
              <w:start w:w="110" w:type="dxa"/>
              <w:bottom w:w="90" w:type="dxa"/>
              <w:end w:w="110" w:type="dxa"/>
            </w:tcMar>
          </w:tcPr>
          <w:p>
            <w:pPr>
              <w:spacing w:after="0" w:line="252" w:lineRule="auto"/>
              <w:jc w:val="left"/>
            </w:pPr>
            <w:r>
              <w:rPr>
                <w:color w:val="1E2933"/>
                <w:sz w:val="16"/>
              </w:rPr>
              <w:t>0.33</w:t>
            </w:r>
          </w:p>
        </w:tc>
        <w:tc>
          <w:tcPr>
            <w:tcW w:type="dxa" w:w="1980"/>
            <w:vAlign w:val="center"/>
            <w:tcMar>
              <w:top w:w="90" w:type="dxa"/>
              <w:start w:w="110" w:type="dxa"/>
              <w:bottom w:w="90" w:type="dxa"/>
              <w:end w:w="110" w:type="dxa"/>
            </w:tcMar>
          </w:tcPr>
          <w:p>
            <w:pPr>
              <w:spacing w:after="0" w:line="252" w:lineRule="auto"/>
              <w:jc w:val="left"/>
            </w:pPr>
            <w:r>
              <w:rPr>
                <w:color w:val="1E2933"/>
                <w:sz w:val="16"/>
              </w:rPr>
              <w:t>0.48</w:t>
            </w:r>
          </w:p>
        </w:tc>
        <w:tc>
          <w:tcPr>
            <w:tcW w:type="dxa" w:w="2262"/>
            <w:vAlign w:val="center"/>
            <w:tcMar>
              <w:top w:w="90" w:type="dxa"/>
              <w:start w:w="110" w:type="dxa"/>
              <w:bottom w:w="90" w:type="dxa"/>
              <w:end w:w="110" w:type="dxa"/>
            </w:tcMar>
          </w:tcPr>
          <w:p>
            <w:pPr>
              <w:spacing w:after="0" w:line="252" w:lineRule="auto"/>
              <w:jc w:val="left"/>
            </w:pPr>
            <w:r>
              <w:rPr>
                <w:color w:val="1E2933"/>
                <w:sz w:val="16"/>
              </w:rPr>
              <w:t>0.25</w:t>
            </w:r>
          </w:p>
        </w:tc>
      </w:tr>
      <w:tr>
        <w:trPr>
          <w:cantSplit/>
        </w:trPr>
        <w:tc>
          <w:tcPr>
            <w:tcW w:type="dxa" w:w="1131"/>
            <w:vAlign w:val="center"/>
            <w:tcMar>
              <w:top w:w="90" w:type="dxa"/>
              <w:start w:w="110" w:type="dxa"/>
              <w:bottom w:w="90" w:type="dxa"/>
              <w:end w:w="110" w:type="dxa"/>
            </w:tcMar>
            <w:shd w:fill="F7F9FA"/>
          </w:tcPr>
          <w:p>
            <w:pPr>
              <w:spacing w:after="0" w:line="252" w:lineRule="auto"/>
              <w:jc w:val="left"/>
            </w:pPr>
            <w:r>
              <w:rPr>
                <w:color w:val="1E2933"/>
                <w:sz w:val="16"/>
              </w:rPr>
              <w:t>2030</w:t>
            </w:r>
          </w:p>
        </w:tc>
        <w:tc>
          <w:tcPr>
            <w:tcW w:type="dxa" w:w="1603"/>
            <w:vAlign w:val="center"/>
            <w:tcMar>
              <w:top w:w="90" w:type="dxa"/>
              <w:start w:w="110" w:type="dxa"/>
              <w:bottom w:w="90" w:type="dxa"/>
              <w:end w:w="110" w:type="dxa"/>
            </w:tcMar>
            <w:shd w:fill="F7F9FA"/>
          </w:tcPr>
          <w:p>
            <w:pPr>
              <w:spacing w:after="0" w:line="252" w:lineRule="auto"/>
              <w:jc w:val="left"/>
            </w:pPr>
            <w:r>
              <w:rPr>
                <w:color w:val="1E2933"/>
                <w:sz w:val="16"/>
              </w:rPr>
              <w:t>0.17</w:t>
            </w:r>
          </w:p>
        </w:tc>
        <w:tc>
          <w:tcPr>
            <w:tcW w:type="dxa" w:w="2168"/>
            <w:vAlign w:val="center"/>
            <w:tcMar>
              <w:top w:w="90" w:type="dxa"/>
              <w:start w:w="110" w:type="dxa"/>
              <w:bottom w:w="90" w:type="dxa"/>
              <w:end w:w="110" w:type="dxa"/>
            </w:tcMar>
            <w:shd w:fill="F7F9FA"/>
          </w:tcPr>
          <w:p>
            <w:pPr>
              <w:spacing w:after="0" w:line="252" w:lineRule="auto"/>
              <w:jc w:val="left"/>
            </w:pPr>
            <w:r>
              <w:rPr>
                <w:color w:val="1E2933"/>
                <w:sz w:val="16"/>
              </w:rPr>
              <w:t>0.52</w:t>
            </w:r>
          </w:p>
        </w:tc>
        <w:tc>
          <w:tcPr>
            <w:tcW w:type="dxa" w:w="1980"/>
            <w:vAlign w:val="center"/>
            <w:tcMar>
              <w:top w:w="90" w:type="dxa"/>
              <w:start w:w="110" w:type="dxa"/>
              <w:bottom w:w="90" w:type="dxa"/>
              <w:end w:w="110" w:type="dxa"/>
            </w:tcMar>
            <w:shd w:fill="F7F9FA"/>
          </w:tcPr>
          <w:p>
            <w:pPr>
              <w:spacing w:after="0" w:line="252" w:lineRule="auto"/>
              <w:jc w:val="left"/>
            </w:pPr>
            <w:r>
              <w:rPr>
                <w:color w:val="1E2933"/>
                <w:sz w:val="16"/>
              </w:rPr>
              <w:t>0.71</w:t>
            </w:r>
          </w:p>
        </w:tc>
        <w:tc>
          <w:tcPr>
            <w:tcW w:type="dxa" w:w="2262"/>
            <w:vAlign w:val="center"/>
            <w:tcMar>
              <w:top w:w="90" w:type="dxa"/>
              <w:start w:w="110" w:type="dxa"/>
              <w:bottom w:w="90" w:type="dxa"/>
              <w:end w:w="110" w:type="dxa"/>
            </w:tcMar>
            <w:shd w:fill="F7F9FA"/>
          </w:tcPr>
          <w:p>
            <w:pPr>
              <w:spacing w:after="0" w:line="252" w:lineRule="auto"/>
              <w:jc w:val="left"/>
            </w:pPr>
            <w:r>
              <w:rPr>
                <w:color w:val="1E2933"/>
                <w:sz w:val="16"/>
              </w:rPr>
              <w:t>0.39</w:t>
            </w:r>
          </w:p>
        </w:tc>
      </w:tr>
      <w:tr>
        <w:trPr>
          <w:cantSplit/>
        </w:trPr>
        <w:tc>
          <w:tcPr>
            <w:tcW w:type="dxa" w:w="1131"/>
            <w:vAlign w:val="center"/>
            <w:tcMar>
              <w:top w:w="90" w:type="dxa"/>
              <w:start w:w="110" w:type="dxa"/>
              <w:bottom w:w="90" w:type="dxa"/>
              <w:end w:w="110" w:type="dxa"/>
            </w:tcMar>
          </w:tcPr>
          <w:p>
            <w:pPr>
              <w:spacing w:after="0" w:line="252" w:lineRule="auto"/>
              <w:jc w:val="left"/>
            </w:pPr>
            <w:r>
              <w:rPr>
                <w:color w:val="1E2933"/>
                <w:sz w:val="16"/>
              </w:rPr>
              <w:t>2031</w:t>
            </w:r>
          </w:p>
        </w:tc>
        <w:tc>
          <w:tcPr>
            <w:tcW w:type="dxa" w:w="1603"/>
            <w:vAlign w:val="center"/>
            <w:tcMar>
              <w:top w:w="90" w:type="dxa"/>
              <w:start w:w="110" w:type="dxa"/>
              <w:bottom w:w="90" w:type="dxa"/>
              <w:end w:w="110" w:type="dxa"/>
            </w:tcMar>
          </w:tcPr>
          <w:p>
            <w:pPr>
              <w:spacing w:after="0" w:line="252" w:lineRule="auto"/>
              <w:jc w:val="left"/>
            </w:pPr>
            <w:r>
              <w:rPr>
                <w:color w:val="1E2933"/>
                <w:sz w:val="16"/>
              </w:rPr>
              <w:t>0.31</w:t>
            </w:r>
          </w:p>
        </w:tc>
        <w:tc>
          <w:tcPr>
            <w:tcW w:type="dxa" w:w="2168"/>
            <w:vAlign w:val="center"/>
            <w:tcMar>
              <w:top w:w="90" w:type="dxa"/>
              <w:start w:w="110" w:type="dxa"/>
              <w:bottom w:w="90" w:type="dxa"/>
              <w:end w:w="110" w:type="dxa"/>
            </w:tcMar>
          </w:tcPr>
          <w:p>
            <w:pPr>
              <w:spacing w:after="0" w:line="252" w:lineRule="auto"/>
              <w:jc w:val="left"/>
            </w:pPr>
            <w:r>
              <w:rPr>
                <w:color w:val="1E2933"/>
                <w:sz w:val="16"/>
              </w:rPr>
              <w:t>0.70</w:t>
            </w:r>
          </w:p>
        </w:tc>
        <w:tc>
          <w:tcPr>
            <w:tcW w:type="dxa" w:w="1980"/>
            <w:vAlign w:val="center"/>
            <w:tcMar>
              <w:top w:w="90" w:type="dxa"/>
              <w:start w:w="110" w:type="dxa"/>
              <w:bottom w:w="90" w:type="dxa"/>
              <w:end w:w="110" w:type="dxa"/>
            </w:tcMar>
          </w:tcPr>
          <w:p>
            <w:pPr>
              <w:spacing w:after="0" w:line="252" w:lineRule="auto"/>
              <w:jc w:val="left"/>
            </w:pPr>
            <w:r>
              <w:rPr>
                <w:color w:val="1E2933"/>
                <w:sz w:val="16"/>
              </w:rPr>
              <w:t>0.94</w:t>
            </w:r>
          </w:p>
        </w:tc>
        <w:tc>
          <w:tcPr>
            <w:tcW w:type="dxa" w:w="2262"/>
            <w:vAlign w:val="center"/>
            <w:tcMar>
              <w:top w:w="90" w:type="dxa"/>
              <w:start w:w="110" w:type="dxa"/>
              <w:bottom w:w="90" w:type="dxa"/>
              <w:end w:w="110" w:type="dxa"/>
            </w:tcMar>
          </w:tcPr>
          <w:p>
            <w:pPr>
              <w:spacing w:after="0" w:line="252" w:lineRule="auto"/>
              <w:jc w:val="left"/>
            </w:pPr>
            <w:r>
              <w:rPr>
                <w:color w:val="1E2933"/>
                <w:sz w:val="16"/>
              </w:rPr>
              <w:t>0.56</w:t>
            </w:r>
          </w:p>
        </w:tc>
      </w:tr>
      <w:tr>
        <w:trPr>
          <w:cantSplit/>
        </w:trPr>
        <w:tc>
          <w:tcPr>
            <w:tcW w:type="dxa" w:w="1131"/>
            <w:vAlign w:val="center"/>
            <w:tcMar>
              <w:top w:w="90" w:type="dxa"/>
              <w:start w:w="110" w:type="dxa"/>
              <w:bottom w:w="90" w:type="dxa"/>
              <w:end w:w="110" w:type="dxa"/>
            </w:tcMar>
            <w:shd w:fill="F7F9FA"/>
          </w:tcPr>
          <w:p>
            <w:pPr>
              <w:spacing w:after="0" w:line="252" w:lineRule="auto"/>
              <w:jc w:val="left"/>
            </w:pPr>
            <w:r>
              <w:rPr>
                <w:color w:val="1E2933"/>
                <w:sz w:val="16"/>
              </w:rPr>
              <w:t>2032</w:t>
            </w:r>
          </w:p>
        </w:tc>
        <w:tc>
          <w:tcPr>
            <w:tcW w:type="dxa" w:w="1603"/>
            <w:vAlign w:val="center"/>
            <w:tcMar>
              <w:top w:w="90" w:type="dxa"/>
              <w:start w:w="110" w:type="dxa"/>
              <w:bottom w:w="90" w:type="dxa"/>
              <w:end w:w="110" w:type="dxa"/>
            </w:tcMar>
            <w:shd w:fill="F7F9FA"/>
          </w:tcPr>
          <w:p>
            <w:pPr>
              <w:spacing w:after="0" w:line="252" w:lineRule="auto"/>
              <w:jc w:val="left"/>
            </w:pPr>
            <w:r>
              <w:rPr>
                <w:color w:val="1E2933"/>
                <w:sz w:val="16"/>
              </w:rPr>
              <w:t>0.43</w:t>
            </w:r>
          </w:p>
        </w:tc>
        <w:tc>
          <w:tcPr>
            <w:tcW w:type="dxa" w:w="2168"/>
            <w:vAlign w:val="center"/>
            <w:tcMar>
              <w:top w:w="90" w:type="dxa"/>
              <w:start w:w="110" w:type="dxa"/>
              <w:bottom w:w="90" w:type="dxa"/>
              <w:end w:w="110" w:type="dxa"/>
            </w:tcMar>
            <w:shd w:fill="F7F9FA"/>
          </w:tcPr>
          <w:p>
            <w:pPr>
              <w:spacing w:after="0" w:line="252" w:lineRule="auto"/>
              <w:jc w:val="left"/>
            </w:pPr>
            <w:r>
              <w:rPr>
                <w:color w:val="1E2933"/>
                <w:sz w:val="16"/>
              </w:rPr>
              <w:t>0.85</w:t>
            </w:r>
          </w:p>
        </w:tc>
        <w:tc>
          <w:tcPr>
            <w:tcW w:type="dxa" w:w="1980"/>
            <w:vAlign w:val="center"/>
            <w:tcMar>
              <w:top w:w="90" w:type="dxa"/>
              <w:start w:w="110" w:type="dxa"/>
              <w:bottom w:w="90" w:type="dxa"/>
              <w:end w:w="110" w:type="dxa"/>
            </w:tcMar>
            <w:shd w:fill="F7F9FA"/>
          </w:tcPr>
          <w:p>
            <w:pPr>
              <w:spacing w:after="0" w:line="252" w:lineRule="auto"/>
              <w:jc w:val="left"/>
            </w:pPr>
            <w:r>
              <w:rPr>
                <w:color w:val="1E2933"/>
                <w:sz w:val="16"/>
              </w:rPr>
              <w:t>1.06</w:t>
            </w:r>
          </w:p>
        </w:tc>
        <w:tc>
          <w:tcPr>
            <w:tcW w:type="dxa" w:w="2262"/>
            <w:vAlign w:val="center"/>
            <w:tcMar>
              <w:top w:w="90" w:type="dxa"/>
              <w:start w:w="110" w:type="dxa"/>
              <w:bottom w:w="90" w:type="dxa"/>
              <w:end w:w="110" w:type="dxa"/>
            </w:tcMar>
            <w:shd w:fill="F7F9FA"/>
          </w:tcPr>
          <w:p>
            <w:pPr>
              <w:spacing w:after="0" w:line="252" w:lineRule="auto"/>
              <w:jc w:val="left"/>
            </w:pPr>
            <w:r>
              <w:rPr>
                <w:color w:val="1E2933"/>
                <w:sz w:val="16"/>
              </w:rPr>
              <w:t>0.68</w:t>
            </w:r>
          </w:p>
        </w:tc>
      </w:tr>
      <w:tr>
        <w:trPr>
          <w:cantSplit/>
        </w:trPr>
        <w:tc>
          <w:tcPr>
            <w:tcW w:type="dxa" w:w="1131"/>
            <w:vAlign w:val="center"/>
            <w:tcMar>
              <w:top w:w="90" w:type="dxa"/>
              <w:start w:w="110" w:type="dxa"/>
              <w:bottom w:w="90" w:type="dxa"/>
              <w:end w:w="110" w:type="dxa"/>
            </w:tcMar>
          </w:tcPr>
          <w:p>
            <w:pPr>
              <w:spacing w:after="0" w:line="252" w:lineRule="auto"/>
              <w:jc w:val="left"/>
            </w:pPr>
            <w:r>
              <w:rPr>
                <w:color w:val="1E2933"/>
                <w:sz w:val="16"/>
              </w:rPr>
              <w:t>2033</w:t>
            </w:r>
          </w:p>
        </w:tc>
        <w:tc>
          <w:tcPr>
            <w:tcW w:type="dxa" w:w="1603"/>
            <w:vAlign w:val="center"/>
            <w:tcMar>
              <w:top w:w="90" w:type="dxa"/>
              <w:start w:w="110" w:type="dxa"/>
              <w:bottom w:w="90" w:type="dxa"/>
              <w:end w:w="110" w:type="dxa"/>
            </w:tcMar>
          </w:tcPr>
          <w:p>
            <w:pPr>
              <w:spacing w:after="0" w:line="252" w:lineRule="auto"/>
              <w:jc w:val="left"/>
            </w:pPr>
            <w:r>
              <w:rPr>
                <w:color w:val="1E2933"/>
                <w:sz w:val="16"/>
              </w:rPr>
              <w:t>0.57</w:t>
            </w:r>
          </w:p>
        </w:tc>
        <w:tc>
          <w:tcPr>
            <w:tcW w:type="dxa" w:w="2168"/>
            <w:vAlign w:val="center"/>
            <w:tcMar>
              <w:top w:w="90" w:type="dxa"/>
              <w:start w:w="110" w:type="dxa"/>
              <w:bottom w:w="90" w:type="dxa"/>
              <w:end w:w="110" w:type="dxa"/>
            </w:tcMar>
          </w:tcPr>
          <w:p>
            <w:pPr>
              <w:spacing w:after="0" w:line="252" w:lineRule="auto"/>
              <w:jc w:val="left"/>
            </w:pPr>
            <w:r>
              <w:rPr>
                <w:color w:val="1E2933"/>
                <w:sz w:val="16"/>
              </w:rPr>
              <w:t>0.93</w:t>
            </w:r>
          </w:p>
        </w:tc>
        <w:tc>
          <w:tcPr>
            <w:tcW w:type="dxa" w:w="1980"/>
            <w:vAlign w:val="center"/>
            <w:tcMar>
              <w:top w:w="90" w:type="dxa"/>
              <w:start w:w="110" w:type="dxa"/>
              <w:bottom w:w="90" w:type="dxa"/>
              <w:end w:w="110" w:type="dxa"/>
            </w:tcMar>
          </w:tcPr>
          <w:p>
            <w:pPr>
              <w:spacing w:after="0" w:line="252" w:lineRule="auto"/>
              <w:jc w:val="left"/>
            </w:pPr>
            <w:r>
              <w:rPr>
                <w:color w:val="1E2933"/>
                <w:sz w:val="16"/>
              </w:rPr>
              <w:t>1.13</w:t>
            </w:r>
          </w:p>
        </w:tc>
        <w:tc>
          <w:tcPr>
            <w:tcW w:type="dxa" w:w="2262"/>
            <w:vAlign w:val="center"/>
            <w:tcMar>
              <w:top w:w="90" w:type="dxa"/>
              <w:start w:w="110" w:type="dxa"/>
              <w:bottom w:w="90" w:type="dxa"/>
              <w:end w:w="110" w:type="dxa"/>
            </w:tcMar>
          </w:tcPr>
          <w:p>
            <w:pPr>
              <w:spacing w:after="0" w:line="252" w:lineRule="auto"/>
              <w:jc w:val="left"/>
            </w:pPr>
            <w:r>
              <w:rPr>
                <w:color w:val="1E2933"/>
                <w:sz w:val="16"/>
              </w:rPr>
              <w:t>0.80</w:t>
            </w:r>
          </w:p>
        </w:tc>
      </w:tr>
      <w:tr>
        <w:trPr>
          <w:cantSplit/>
        </w:trPr>
        <w:tc>
          <w:tcPr>
            <w:tcW w:type="dxa" w:w="1131"/>
            <w:vAlign w:val="center"/>
            <w:tcMar>
              <w:top w:w="90" w:type="dxa"/>
              <w:start w:w="110" w:type="dxa"/>
              <w:bottom w:w="90" w:type="dxa"/>
              <w:end w:w="110" w:type="dxa"/>
            </w:tcMar>
            <w:shd w:fill="F7F9FA"/>
          </w:tcPr>
          <w:p>
            <w:pPr>
              <w:spacing w:after="0" w:line="252" w:lineRule="auto"/>
              <w:jc w:val="left"/>
            </w:pPr>
            <w:r>
              <w:rPr>
                <w:color w:val="1E2933"/>
                <w:sz w:val="16"/>
              </w:rPr>
              <w:t>2034</w:t>
            </w:r>
          </w:p>
        </w:tc>
        <w:tc>
          <w:tcPr>
            <w:tcW w:type="dxa" w:w="1603"/>
            <w:vAlign w:val="center"/>
            <w:tcMar>
              <w:top w:w="90" w:type="dxa"/>
              <w:start w:w="110" w:type="dxa"/>
              <w:bottom w:w="90" w:type="dxa"/>
              <w:end w:w="110" w:type="dxa"/>
            </w:tcMar>
            <w:shd w:fill="F7F9FA"/>
          </w:tcPr>
          <w:p>
            <w:pPr>
              <w:spacing w:after="0" w:line="252" w:lineRule="auto"/>
              <w:jc w:val="left"/>
            </w:pPr>
            <w:r>
              <w:rPr>
                <w:color w:val="1E2933"/>
                <w:sz w:val="16"/>
              </w:rPr>
              <w:t>0.71</w:t>
            </w:r>
          </w:p>
        </w:tc>
        <w:tc>
          <w:tcPr>
            <w:tcW w:type="dxa" w:w="2168"/>
            <w:vAlign w:val="center"/>
            <w:tcMar>
              <w:top w:w="90" w:type="dxa"/>
              <w:start w:w="110" w:type="dxa"/>
              <w:bottom w:w="90" w:type="dxa"/>
              <w:end w:w="110" w:type="dxa"/>
            </w:tcMar>
            <w:shd w:fill="F7F9FA"/>
          </w:tcPr>
          <w:p>
            <w:pPr>
              <w:spacing w:after="0" w:line="252" w:lineRule="auto"/>
              <w:jc w:val="left"/>
            </w:pPr>
            <w:r>
              <w:rPr>
                <w:color w:val="1E2933"/>
                <w:sz w:val="16"/>
              </w:rPr>
              <w:t>1.00</w:t>
            </w:r>
          </w:p>
        </w:tc>
        <w:tc>
          <w:tcPr>
            <w:tcW w:type="dxa" w:w="1980"/>
            <w:vAlign w:val="center"/>
            <w:tcMar>
              <w:top w:w="90" w:type="dxa"/>
              <w:start w:w="110" w:type="dxa"/>
              <w:bottom w:w="90" w:type="dxa"/>
              <w:end w:w="110" w:type="dxa"/>
            </w:tcMar>
            <w:shd w:fill="F7F9FA"/>
          </w:tcPr>
          <w:p>
            <w:pPr>
              <w:spacing w:after="0" w:line="252" w:lineRule="auto"/>
              <w:jc w:val="left"/>
            </w:pPr>
            <w:r>
              <w:rPr>
                <w:color w:val="1E2933"/>
                <w:sz w:val="16"/>
              </w:rPr>
              <w:t>1.10</w:t>
            </w:r>
          </w:p>
        </w:tc>
        <w:tc>
          <w:tcPr>
            <w:tcW w:type="dxa" w:w="2262"/>
            <w:vAlign w:val="center"/>
            <w:tcMar>
              <w:top w:w="90" w:type="dxa"/>
              <w:start w:w="110" w:type="dxa"/>
              <w:bottom w:w="90" w:type="dxa"/>
              <w:end w:w="110" w:type="dxa"/>
            </w:tcMar>
            <w:shd w:fill="F7F9FA"/>
          </w:tcPr>
          <w:p>
            <w:pPr>
              <w:spacing w:after="0" w:line="252" w:lineRule="auto"/>
              <w:jc w:val="left"/>
            </w:pPr>
            <w:r>
              <w:rPr>
                <w:color w:val="1E2933"/>
                <w:sz w:val="16"/>
              </w:rPr>
              <w:t>0.90</w:t>
            </w:r>
          </w:p>
        </w:tc>
      </w:tr>
      <w:tr>
        <w:trPr>
          <w:cantSplit/>
        </w:trPr>
        <w:tc>
          <w:tcPr>
            <w:tcW w:type="dxa" w:w="1131"/>
            <w:vAlign w:val="center"/>
            <w:tcMar>
              <w:top w:w="90" w:type="dxa"/>
              <w:start w:w="110" w:type="dxa"/>
              <w:bottom w:w="90" w:type="dxa"/>
              <w:end w:w="110" w:type="dxa"/>
            </w:tcMar>
          </w:tcPr>
          <w:p>
            <w:pPr>
              <w:spacing w:after="0" w:line="252" w:lineRule="auto"/>
              <w:jc w:val="left"/>
            </w:pPr>
            <w:r>
              <w:rPr>
                <w:color w:val="1E2933"/>
                <w:sz w:val="16"/>
              </w:rPr>
              <w:t>2035</w:t>
            </w:r>
          </w:p>
        </w:tc>
        <w:tc>
          <w:tcPr>
            <w:tcW w:type="dxa" w:w="1603"/>
            <w:vAlign w:val="center"/>
            <w:tcMar>
              <w:top w:w="90" w:type="dxa"/>
              <w:start w:w="110" w:type="dxa"/>
              <w:bottom w:w="90" w:type="dxa"/>
              <w:end w:w="110" w:type="dxa"/>
            </w:tcMar>
          </w:tcPr>
          <w:p>
            <w:pPr>
              <w:spacing w:after="0" w:line="252" w:lineRule="auto"/>
              <w:jc w:val="left"/>
            </w:pPr>
            <w:r>
              <w:rPr>
                <w:color w:val="1E2933"/>
                <w:sz w:val="16"/>
              </w:rPr>
              <w:t>0.83</w:t>
            </w:r>
          </w:p>
        </w:tc>
        <w:tc>
          <w:tcPr>
            <w:tcW w:type="dxa" w:w="2168"/>
            <w:vAlign w:val="center"/>
            <w:tcMar>
              <w:top w:w="90" w:type="dxa"/>
              <w:start w:w="110" w:type="dxa"/>
              <w:bottom w:w="90" w:type="dxa"/>
              <w:end w:w="110" w:type="dxa"/>
            </w:tcMar>
          </w:tcPr>
          <w:p>
            <w:pPr>
              <w:spacing w:after="0" w:line="252" w:lineRule="auto"/>
              <w:jc w:val="left"/>
            </w:pPr>
            <w:r>
              <w:rPr>
                <w:color w:val="1E2933"/>
                <w:sz w:val="16"/>
              </w:rPr>
              <w:t>1.04</w:t>
            </w:r>
          </w:p>
        </w:tc>
        <w:tc>
          <w:tcPr>
            <w:tcW w:type="dxa" w:w="1980"/>
            <w:vAlign w:val="center"/>
            <w:tcMar>
              <w:top w:w="90" w:type="dxa"/>
              <w:start w:w="110" w:type="dxa"/>
              <w:bottom w:w="90" w:type="dxa"/>
              <w:end w:w="110" w:type="dxa"/>
            </w:tcMar>
          </w:tcPr>
          <w:p>
            <w:pPr>
              <w:spacing w:after="0" w:line="252" w:lineRule="auto"/>
              <w:jc w:val="left"/>
            </w:pPr>
            <w:r>
              <w:rPr>
                <w:color w:val="1E2933"/>
                <w:sz w:val="16"/>
              </w:rPr>
              <w:t>1.06</w:t>
            </w:r>
          </w:p>
        </w:tc>
        <w:tc>
          <w:tcPr>
            <w:tcW w:type="dxa" w:w="2262"/>
            <w:vAlign w:val="center"/>
            <w:tcMar>
              <w:top w:w="90" w:type="dxa"/>
              <w:start w:w="110" w:type="dxa"/>
              <w:bottom w:w="90" w:type="dxa"/>
              <w:end w:w="110" w:type="dxa"/>
            </w:tcMar>
          </w:tcPr>
          <w:p>
            <w:pPr>
              <w:spacing w:after="0" w:line="252" w:lineRule="auto"/>
              <w:jc w:val="left"/>
            </w:pPr>
            <w:r>
              <w:rPr>
                <w:color w:val="1E2933"/>
                <w:sz w:val="16"/>
              </w:rPr>
              <w:t>0.95</w:t>
            </w:r>
          </w:p>
        </w:tc>
      </w:tr>
      <w:tr>
        <w:trPr>
          <w:cantSplit/>
        </w:trPr>
        <w:tc>
          <w:tcPr>
            <w:tcW w:type="dxa" w:w="1131"/>
            <w:vAlign w:val="center"/>
            <w:tcMar>
              <w:top w:w="90" w:type="dxa"/>
              <w:start w:w="110" w:type="dxa"/>
              <w:bottom w:w="90" w:type="dxa"/>
              <w:end w:w="110" w:type="dxa"/>
            </w:tcMar>
            <w:shd w:fill="F7F9FA"/>
          </w:tcPr>
          <w:p>
            <w:pPr>
              <w:spacing w:after="0" w:line="252" w:lineRule="auto"/>
              <w:jc w:val="left"/>
            </w:pPr>
            <w:r>
              <w:rPr>
                <w:color w:val="1E2933"/>
                <w:sz w:val="16"/>
              </w:rPr>
              <w:t>2036</w:t>
            </w:r>
          </w:p>
        </w:tc>
        <w:tc>
          <w:tcPr>
            <w:tcW w:type="dxa" w:w="1603"/>
            <w:vAlign w:val="center"/>
            <w:tcMar>
              <w:top w:w="90" w:type="dxa"/>
              <w:start w:w="110" w:type="dxa"/>
              <w:bottom w:w="90" w:type="dxa"/>
              <w:end w:w="110" w:type="dxa"/>
            </w:tcMar>
            <w:shd w:fill="F7F9FA"/>
          </w:tcPr>
          <w:p>
            <w:pPr>
              <w:spacing w:after="0" w:line="252" w:lineRule="auto"/>
              <w:jc w:val="left"/>
            </w:pPr>
            <w:r>
              <w:rPr>
                <w:color w:val="1E2933"/>
                <w:sz w:val="16"/>
              </w:rPr>
              <w:t>1.00</w:t>
            </w:r>
          </w:p>
        </w:tc>
        <w:tc>
          <w:tcPr>
            <w:tcW w:type="dxa" w:w="2168"/>
            <w:vAlign w:val="center"/>
            <w:tcMar>
              <w:top w:w="90" w:type="dxa"/>
              <w:start w:w="110" w:type="dxa"/>
              <w:bottom w:w="90" w:type="dxa"/>
              <w:end w:w="110" w:type="dxa"/>
            </w:tcMar>
            <w:shd w:fill="F7F9FA"/>
          </w:tcPr>
          <w:p>
            <w:pPr>
              <w:spacing w:after="0" w:line="252" w:lineRule="auto"/>
              <w:jc w:val="left"/>
            </w:pPr>
            <w:r>
              <w:rPr>
                <w:color w:val="1E2933"/>
                <w:sz w:val="16"/>
              </w:rPr>
              <w:t>1.00</w:t>
            </w:r>
          </w:p>
        </w:tc>
        <w:tc>
          <w:tcPr>
            <w:tcW w:type="dxa" w:w="1980"/>
            <w:vAlign w:val="center"/>
            <w:tcMar>
              <w:top w:w="90" w:type="dxa"/>
              <w:start w:w="110" w:type="dxa"/>
              <w:bottom w:w="90" w:type="dxa"/>
              <w:end w:w="110" w:type="dxa"/>
            </w:tcMar>
            <w:shd w:fill="F7F9FA"/>
          </w:tcPr>
          <w:p>
            <w:pPr>
              <w:spacing w:after="0" w:line="252" w:lineRule="auto"/>
              <w:jc w:val="left"/>
            </w:pPr>
            <w:r>
              <w:rPr>
                <w:color w:val="1E2933"/>
                <w:sz w:val="16"/>
              </w:rPr>
              <w:t>1.00</w:t>
            </w:r>
          </w:p>
        </w:tc>
        <w:tc>
          <w:tcPr>
            <w:tcW w:type="dxa" w:w="2262"/>
            <w:vAlign w:val="center"/>
            <w:tcMar>
              <w:top w:w="90" w:type="dxa"/>
              <w:start w:w="110" w:type="dxa"/>
              <w:bottom w:w="90" w:type="dxa"/>
              <w:end w:w="110" w:type="dxa"/>
            </w:tcMar>
            <w:shd w:fill="F7F9FA"/>
          </w:tcPr>
          <w:p>
            <w:pPr>
              <w:spacing w:after="0" w:line="252" w:lineRule="auto"/>
              <w:jc w:val="left"/>
            </w:pPr>
            <w:r>
              <w:rPr>
                <w:color w:val="1E2933"/>
                <w:sz w:val="16"/>
              </w:rPr>
              <w:t>1.00</w:t>
            </w:r>
          </w:p>
        </w:tc>
      </w:tr>
    </w:tbl>
    <w:p>
      <w:pPr>
        <w:spacing w:after="20"/>
      </w:pPr>
    </w:p>
    <w:p>
      <w:r>
        <w:t xml:space="preserve">The labour and tax-financing effects carry the greatest uncertainty. A 2024 independent report for the Scottish Government summarised one tax-funded Citizen's Basic Income model with GDP reductions ranging from </w:t>
      </w:r>
      <w:r>
        <w:rPr>
          <w:b/>
        </w:rPr>
        <w:t>1.7% to 8.8%</w:t>
      </w:r>
      <w:r>
        <w:t xml:space="preserve">, and one migration specification at </w:t>
      </w:r>
      <w:r>
        <w:rPr>
          <w:b/>
        </w:rPr>
        <w:t>15.2%</w:t>
      </w:r>
      <w:r>
        <w:t xml:space="preserve">, while other literature in the same review found small positive effects and the report concluded that direction depends on design. Those findings are not estimates for this £36,000 UK proposal; they are used only to discipline the scenario range. Source: </w:t>
      </w:r>
      <w:r>
        <w:t xml:space="preserve"> </w:t>
      </w:r>
      <w:hyperlink r:id="rId86">
        <w:r>
          <w:rPr>
            <w:color w:val="006D77"/>
            <w:u w:val="single"/>
          </w:rPr>
          <w:t>[70]</w:t>
        </w:r>
      </w:hyperlink>
      <w:r>
        <w:t>.</w:t>
      </w:r>
    </w:p>
    <w:p>
      <w:r>
        <w:t xml:space="preserve">The capital calibration uses the OBR's October 2024 finding that approximately £100 billion of additional public capital raised potential output by about </w:t>
      </w:r>
      <w:r>
        <w:rPr>
          <w:b/>
        </w:rPr>
        <w:t>0.14% around year five and 0.43% around year ten</w:t>
      </w:r>
      <w:r>
        <w:t xml:space="preserve">, before recognising debt-financing crowd-out. Proportionately, £79 billion would indicate roughly </w:t>
      </w:r>
      <w:r>
        <w:rPr>
          <w:b/>
        </w:rPr>
        <w:t>0.34%</w:t>
      </w:r>
      <w:r>
        <w:t xml:space="preserve"> before composition, displacement and delivery adjustments; the reference endpoint is therefore rounded to </w:t>
      </w:r>
      <w:r>
        <w:rPr>
          <w:b/>
        </w:rPr>
        <w:t>+0.3%</w:t>
      </w:r>
      <w:r>
        <w:t xml:space="preserve">, not +0.5%. The reference CIC module separately models a mature annual Fund contribution of £14.59 billion, a year-ten external asset book around £106 billion, cumulative genuinely additional investment around £79 billion and approximately £13 billion of displaced bank credit. These are scenario mechanics, not promised assets or output. Source: </w:t>
      </w:r>
      <w:r>
        <w:t xml:space="preserve"> </w:t>
      </w:r>
      <w:hyperlink r:id="rId87">
        <w:r>
          <w:rPr>
            <w:color w:val="006D77"/>
            <w:u w:val="single"/>
          </w:rPr>
          <w:t>[71]</w:t>
        </w:r>
      </w:hyperlink>
      <w:r>
        <w:t>.</w:t>
      </w:r>
    </w:p>
    <w:p>
      <w:pPr>
        <w:pStyle w:val="Heading2"/>
      </w:pPr>
      <w:r>
        <w:t>A8.8 Inflation and indexation are not yet closed</w:t>
      </w:r>
    </w:p>
    <w:p>
      <w:r>
        <w:t xml:space="preserve">This paper does </w:t>
      </w:r>
      <w:r>
        <w:rPr>
          <w:b/>
        </w:rPr>
        <w:t>not</w:t>
      </w:r>
      <w:r>
        <w:t xml:space="preserve"> claim an annual policy-CPI or nominal-GDP forecast. The OBR baseline has CPI returning to approximately 2% from 2027, but the policy deviation cannot be identified until the financing instrument, annual payment eligibility, indexation, phase-in and Bank of England response are specified. The real-GDP scenarios above assume fiscal closure, independent monetary policy and staged capacity; their inflation/import row records only an illustrative real-output loss, not a CPI path.</w:t>
      </w:r>
    </w:p>
    <w:p>
      <w:r>
        <w:t>Indexation alone materially changes both the promise and the bill:</w:t>
      </w:r>
    </w:p>
    <w:tbl>
      <w:tblPr>
        <w:tblW w:type="dxa" w:w="9144"/>
        <w:jc w:val="center"/>
        <w:tblLayout w:type="fixed"/>
        <w:tblLook w:firstColumn="1" w:firstRow="1" w:lastColumn="0" w:lastRow="0" w:noHBand="0" w:noVBand="1" w:val="04A0"/>
        <w:tblInd w:type="dxa" w:w="110"/>
      </w:tblPr>
      <w:tblGrid>
        <w:gridCol w:w="2223"/>
        <w:gridCol w:w="2307"/>
        <w:gridCol w:w="2475"/>
        <w:gridCol w:w="2139"/>
      </w:tblGrid>
      <w:tr>
        <w:trPr>
          <w:cantSplit/>
          <w:tblHeader w:val="true"/>
        </w:trPr>
        <w:tc>
          <w:tcPr>
            <w:tcW w:type="dxa" w:w="2223"/>
            <w:vAlign w:val="center"/>
            <w:tcMar>
              <w:top w:w="90" w:type="dxa"/>
              <w:start w:w="110" w:type="dxa"/>
              <w:bottom w:w="90" w:type="dxa"/>
              <w:end w:w="110" w:type="dxa"/>
            </w:tcMar>
            <w:shd w:fill="16324F"/>
          </w:tcPr>
          <w:p>
            <w:pPr>
              <w:spacing w:after="0" w:line="252" w:lineRule="auto"/>
              <w:jc w:val="left"/>
            </w:pPr>
            <w:r>
              <w:rPr>
                <w:b/>
                <w:color w:val="FFFFFF"/>
                <w:sz w:val="17"/>
              </w:rPr>
              <w:t>Ten-year payment rule, using 2% annual inflation only</w:t>
            </w:r>
          </w:p>
        </w:tc>
        <w:tc>
          <w:tcPr>
            <w:tcW w:type="dxa" w:w="2307"/>
            <w:vAlign w:val="center"/>
            <w:tcMar>
              <w:top w:w="90" w:type="dxa"/>
              <w:start w:w="110" w:type="dxa"/>
              <w:bottom w:w="90" w:type="dxa"/>
              <w:end w:w="110" w:type="dxa"/>
            </w:tcMar>
            <w:shd w:fill="16324F"/>
          </w:tcPr>
          <w:p>
            <w:pPr>
              <w:spacing w:after="0" w:line="252" w:lineRule="auto"/>
              <w:jc w:val="left"/>
            </w:pPr>
            <w:r>
              <w:rPr>
                <w:b/>
                <w:color w:val="FFFFFF"/>
                <w:sz w:val="17"/>
              </w:rPr>
              <w:t>2036 amount per person</w:t>
            </w:r>
          </w:p>
        </w:tc>
        <w:tc>
          <w:tcPr>
            <w:tcW w:type="dxa" w:w="2475"/>
            <w:vAlign w:val="center"/>
            <w:tcMar>
              <w:top w:w="90" w:type="dxa"/>
              <w:start w:w="110" w:type="dxa"/>
              <w:bottom w:w="90" w:type="dxa"/>
              <w:end w:w="110" w:type="dxa"/>
            </w:tcMar>
            <w:shd w:fill="16324F"/>
          </w:tcPr>
          <w:p>
            <w:pPr>
              <w:spacing w:after="0" w:line="252" w:lineRule="auto"/>
              <w:jc w:val="left"/>
            </w:pPr>
            <w:r>
              <w:rPr>
                <w:b/>
                <w:color w:val="FFFFFF"/>
                <w:sz w:val="17"/>
              </w:rPr>
              <w:t>Approximate gross annual cost at today's 69.281m population</w:t>
            </w:r>
          </w:p>
        </w:tc>
        <w:tc>
          <w:tcPr>
            <w:tcW w:type="dxa" w:w="2139"/>
            <w:vAlign w:val="center"/>
            <w:tcMar>
              <w:top w:w="90" w:type="dxa"/>
              <w:start w:w="110" w:type="dxa"/>
              <w:bottom w:w="90" w:type="dxa"/>
              <w:end w:w="110" w:type="dxa"/>
            </w:tcMar>
            <w:shd w:fill="16324F"/>
          </w:tcPr>
          <w:p>
            <w:pPr>
              <w:spacing w:after="0" w:line="252" w:lineRule="auto"/>
              <w:jc w:val="left"/>
            </w:pPr>
            <w:r>
              <w:rPr>
                <w:b/>
                <w:color w:val="FFFFFF"/>
                <w:sz w:val="17"/>
              </w:rPr>
              <w:t>Meaning</w:t>
            </w:r>
          </w:p>
        </w:tc>
      </w:tr>
      <w:tr>
        <w:trPr>
          <w:cantSplit/>
        </w:trPr>
        <w:tc>
          <w:tcPr>
            <w:tcW w:type="dxa" w:w="2223"/>
            <w:vAlign w:val="center"/>
            <w:tcMar>
              <w:top w:w="90" w:type="dxa"/>
              <w:start w:w="110" w:type="dxa"/>
              <w:bottom w:w="90" w:type="dxa"/>
              <w:end w:w="110" w:type="dxa"/>
            </w:tcMar>
          </w:tcPr>
          <w:p>
            <w:pPr>
              <w:spacing w:after="0" w:line="252" w:lineRule="auto"/>
              <w:jc w:val="left"/>
            </w:pPr>
            <w:r>
              <w:rPr>
                <w:color w:val="1E2933"/>
                <w:sz w:val="17"/>
              </w:rPr>
              <w:t>Fixed at £36,000 nominal</w:t>
            </w:r>
          </w:p>
        </w:tc>
        <w:tc>
          <w:tcPr>
            <w:tcW w:type="dxa" w:w="2307"/>
            <w:vAlign w:val="center"/>
            <w:tcMar>
              <w:top w:w="90" w:type="dxa"/>
              <w:start w:w="110" w:type="dxa"/>
              <w:bottom w:w="90" w:type="dxa"/>
              <w:end w:w="110" w:type="dxa"/>
            </w:tcMar>
          </w:tcPr>
          <w:p>
            <w:pPr>
              <w:spacing w:after="0" w:line="252" w:lineRule="auto"/>
              <w:jc w:val="left"/>
            </w:pPr>
            <w:r>
              <w:rPr>
                <w:color w:val="1E2933"/>
                <w:sz w:val="17"/>
              </w:rPr>
              <w:t>£36,000 nominal; about £29,533 in 2026 purchasing power</w:t>
            </w:r>
          </w:p>
        </w:tc>
        <w:tc>
          <w:tcPr>
            <w:tcW w:type="dxa" w:w="2475"/>
            <w:vAlign w:val="center"/>
            <w:tcMar>
              <w:top w:w="90" w:type="dxa"/>
              <w:start w:w="110" w:type="dxa"/>
              <w:bottom w:w="90" w:type="dxa"/>
              <w:end w:w="110" w:type="dxa"/>
            </w:tcMar>
          </w:tcPr>
          <w:p>
            <w:pPr>
              <w:spacing w:after="0" w:line="252" w:lineRule="auto"/>
              <w:jc w:val="left"/>
            </w:pPr>
            <w:r>
              <w:rPr>
                <w:color w:val="1E2933"/>
                <w:sz w:val="17"/>
              </w:rPr>
              <w:t>£2.494tn nominal</w:t>
            </w:r>
          </w:p>
        </w:tc>
        <w:tc>
          <w:tcPr>
            <w:tcW w:type="dxa" w:w="2139"/>
            <w:vAlign w:val="center"/>
            <w:tcMar>
              <w:top w:w="90" w:type="dxa"/>
              <w:start w:w="110" w:type="dxa"/>
              <w:bottom w:w="90" w:type="dxa"/>
              <w:end w:w="110" w:type="dxa"/>
            </w:tcMar>
          </w:tcPr>
          <w:p>
            <w:pPr>
              <w:spacing w:after="0" w:line="252" w:lineRule="auto"/>
              <w:jc w:val="left"/>
            </w:pPr>
            <w:r>
              <w:rPr>
                <w:color w:val="1E2933"/>
                <w:sz w:val="17"/>
              </w:rPr>
              <w:t>Real guarantee loses about 18% of its value</w:t>
            </w:r>
          </w:p>
        </w:tc>
      </w:tr>
      <w:tr>
        <w:trPr>
          <w:cantSplit/>
        </w:trPr>
        <w:tc>
          <w:tcPr>
            <w:tcW w:type="dxa" w:w="2223"/>
            <w:vAlign w:val="center"/>
            <w:tcMar>
              <w:top w:w="90" w:type="dxa"/>
              <w:start w:w="110" w:type="dxa"/>
              <w:bottom w:w="90" w:type="dxa"/>
              <w:end w:w="110" w:type="dxa"/>
            </w:tcMar>
            <w:shd w:fill="F7F9FA"/>
          </w:tcPr>
          <w:p>
            <w:pPr>
              <w:spacing w:after="0" w:line="252" w:lineRule="auto"/>
              <w:jc w:val="left"/>
            </w:pPr>
            <w:r>
              <w:rPr>
                <w:color w:val="1E2933"/>
                <w:sz w:val="17"/>
              </w:rPr>
              <w:t>CPI-indexed at 2%</w:t>
            </w:r>
          </w:p>
        </w:tc>
        <w:tc>
          <w:tcPr>
            <w:tcW w:type="dxa" w:w="2307"/>
            <w:vAlign w:val="center"/>
            <w:tcMar>
              <w:top w:w="90" w:type="dxa"/>
              <w:start w:w="110" w:type="dxa"/>
              <w:bottom w:w="90" w:type="dxa"/>
              <w:end w:w="110" w:type="dxa"/>
            </w:tcMar>
            <w:shd w:fill="F7F9FA"/>
          </w:tcPr>
          <w:p>
            <w:pPr>
              <w:spacing w:after="0" w:line="252" w:lineRule="auto"/>
              <w:jc w:val="left"/>
            </w:pPr>
            <w:r>
              <w:rPr>
                <w:color w:val="1E2933"/>
                <w:sz w:val="17"/>
              </w:rPr>
              <w:t>About £43,884 nominal</w:t>
            </w:r>
          </w:p>
        </w:tc>
        <w:tc>
          <w:tcPr>
            <w:tcW w:type="dxa" w:w="2475"/>
            <w:vAlign w:val="center"/>
            <w:tcMar>
              <w:top w:w="90" w:type="dxa"/>
              <w:start w:w="110" w:type="dxa"/>
              <w:bottom w:w="90" w:type="dxa"/>
              <w:end w:w="110" w:type="dxa"/>
            </w:tcMar>
            <w:shd w:fill="F7F9FA"/>
          </w:tcPr>
          <w:p>
            <w:pPr>
              <w:spacing w:after="0" w:line="252" w:lineRule="auto"/>
              <w:jc w:val="left"/>
            </w:pPr>
            <w:r>
              <w:rPr>
                <w:color w:val="1E2933"/>
                <w:sz w:val="17"/>
              </w:rPr>
              <w:t>About £3.040tn nominal</w:t>
            </w:r>
          </w:p>
        </w:tc>
        <w:tc>
          <w:tcPr>
            <w:tcW w:type="dxa" w:w="2139"/>
            <w:vAlign w:val="center"/>
            <w:tcMar>
              <w:top w:w="90" w:type="dxa"/>
              <w:start w:w="110" w:type="dxa"/>
              <w:bottom w:w="90" w:type="dxa"/>
              <w:end w:w="110" w:type="dxa"/>
            </w:tcMar>
            <w:shd w:fill="F7F9FA"/>
          </w:tcPr>
          <w:p>
            <w:pPr>
              <w:spacing w:after="0" w:line="252" w:lineRule="auto"/>
              <w:jc w:val="left"/>
            </w:pPr>
            <w:r>
              <w:rPr>
                <w:color w:val="1E2933"/>
                <w:sz w:val="17"/>
              </w:rPr>
              <w:t>Preserves the real £36,000 before population change</w:t>
            </w:r>
          </w:p>
        </w:tc>
      </w:tr>
    </w:tbl>
    <w:p>
      <w:pPr>
        <w:spacing w:after="20"/>
      </w:pPr>
    </w:p>
    <w:p>
      <w:r>
        <w:t>The second line is a constant-population sensitivity, not a forecast. Population growth, benefit boundaries and tax-bracket indexation would raise or lower it. Earnings or mixed indexation remains a separate legislative choice.</w:t>
      </w:r>
    </w:p>
    <w:p>
      <w:r>
        <w:t>To produce a complete inflation path, the next model must publish for each year: gross and net payment rollout; tax rates and bases; borrowing; money creation if any; CPI indexation; housing, energy, food, care and transport capacity; import content; wage and hours response; sterling; Bank Rate; gilt yields; rents and house prices. Until then, the immediate unfunded case is an identified risk, not a quantifiable CPI forecast.</w:t>
      </w:r>
    </w:p>
    <w:p>
      <w:pPr>
        <w:pStyle w:val="Heading1"/>
      </w:pPr>
      <w:r>
        <w:t>A9. Interaction with pensions, benefits, administration and charity</w:t>
      </w:r>
    </w:p>
    <w:p>
      <w:pPr>
        <w:pStyle w:val="Heading2"/>
      </w:pPr>
      <w:r>
        <w:t>Pensions and benefits</w:t>
      </w:r>
    </w:p>
    <w:p>
      <w:r>
        <w:t xml:space="preserve">The State Pension becomes unnecessary as a separate age-triggered basic income because the Universal Payment continues through death. Under the revised rule, </w:t>
      </w:r>
      <w:r>
        <w:rPr>
          <w:b/>
        </w:rPr>
        <w:t>every unrestricted personal cash benefit</w:t>
      </w:r>
      <w:r>
        <w:t xml:space="preserve"> is consolidated into the one payment: disability, child, housing, carer, unemployment, maternity, bereavement, winter and analogous devolved cash payments are not retained as separate allowances.</w:t>
      </w:r>
    </w:p>
    <w:p>
      <w:r>
        <w:t>That does not remove professional care or treatment. Needs assessment continues wherever it allocates a service rather than income. A council may therefore pay a home-care agency, a care home or a professional carer; it may also maintain a tightly restricted direct-payment or managed account so a person can employ their own care team. The same rule applies to professional childcare, workplace assistance, equipment, home adaptations and supported-housing services. The personal rent or living-cost element is absorbed; the separately priced professional service remains.</w:t>
      </w:r>
    </w:p>
    <w:p>
      <w:r>
        <w:t>Children receive the full payment under the stated proposal, so the gross £2.494 trillion calculation already includes them. Legislation must still specify who controls a child's account, what a guardian may spend, how misuse is detected and when control transfers to the young person. These safeguards are administration of the universal system, not a reason to recreate means-tested Child Benefit.</w:t>
      </w:r>
    </w:p>
    <w:p>
      <w:r>
        <w:t xml:space="preserve">The State Pension is a public pay-as-you-go transfer, not a private investment pot, so ending its separate label does not release private pension assets. Private pensions remain the property of their members and no government saving is booked from their administration. Accrued NHS, Civil Service, teachers', armed-forces and local-government occupational pensions are deferred employment compensation and are also outside this welfare saving; redesigning future accrual is a separate legal and actuarial decision. National Insurance receipts are already in the baseline and continue on earnings; they are not a new dividend merely because State Pension is incorporated. Approximately £5.9 billion of State Pension is forecast to be paid overseas in 2026-27, so residence, treaties and accrued overseas rights must be specified rather than silently omitted. Source: </w:t>
      </w:r>
      <w:r>
        <w:t xml:space="preserve"> </w:t>
      </w:r>
      <w:hyperlink r:id="rId53">
        <w:r>
          <w:rPr>
            <w:color w:val="006D77"/>
            <w:u w:val="single"/>
          </w:rPr>
          <w:t>[37]</w:t>
        </w:r>
      </w:hyperlink>
      <w:r>
        <w:t>.</w:t>
      </w:r>
    </w:p>
    <w:p>
      <w:pPr>
        <w:pStyle w:val="Heading2"/>
      </w:pPr>
      <w:r>
        <w:t>Redundant systems and property</w:t>
      </w:r>
    </w:p>
    <w:p>
      <w:r>
        <w:t>The fiscal model must include both sides of decommissioning:</w:t>
      </w:r>
    </w:p>
    <w:p>
      <w:pPr>
        <w:pStyle w:val="ListBullet"/>
      </w:pPr>
      <w:r>
        <w:t>severance, retraining and redeployment;</w:t>
      </w:r>
    </w:p>
    <w:p>
      <w:pPr>
        <w:pStyle w:val="ListBullet"/>
      </w:pPr>
      <w:r>
        <w:t>lease exits and property remediation;</w:t>
      </w:r>
    </w:p>
    <w:p>
      <w:pPr>
        <w:pStyle w:val="ListBullet"/>
      </w:pPr>
      <w:r>
        <w:t>IT write-offs, data migration, archives and cyber-security;</w:t>
      </w:r>
    </w:p>
    <w:p>
      <w:pPr>
        <w:pStyle w:val="ListBullet"/>
      </w:pPr>
      <w:r>
        <w:t>contract termination and litigation;</w:t>
      </w:r>
    </w:p>
    <w:p>
      <w:pPr>
        <w:pStyle w:val="ListBullet"/>
      </w:pPr>
      <w:r>
        <w:t>pension and employment obligations;</w:t>
      </w:r>
    </w:p>
    <w:p>
      <w:pPr>
        <w:pStyle w:val="ListBullet"/>
      </w:pPr>
      <w:r>
        <w:t>parallel-running costs during transition;</w:t>
      </w:r>
    </w:p>
    <w:p>
      <w:pPr>
        <w:pStyle w:val="ListBullet"/>
      </w:pPr>
      <w:r>
        <w:t>eventual reductions in duplicated buildings, call centres, assessment contracts, payment systems and compliance processes;</w:t>
      </w:r>
    </w:p>
    <w:p>
      <w:pPr>
        <w:pStyle w:val="ListBullet"/>
      </w:pPr>
      <w:r>
        <w:t>sale proceeds or rental savings from genuinely surplus property.</w:t>
      </w:r>
    </w:p>
    <w:p>
      <w:r>
        <w:t>HMRC cannot simply disappear because the proposal still requires collection of Income Tax, consumption and property taxes, company taxes and the CIC. A smaller DWP or successor still needs identity, residence, birth and death controls; payment security; child and vulnerable-adult safeguards; corrections and recovery; overseas and transitional cases; and interfaces with professional-service agencies. Employment services and child-maintenance pass-through work also do not disappear. Only processes made genuinely unnecessary can be booked as savings.</w:t>
      </w:r>
    </w:p>
    <w:p>
      <w:r>
        <w:t xml:space="preserve">DWP reported approximately </w:t>
      </w:r>
      <w:r>
        <w:rPr>
          <w:b/>
        </w:rPr>
        <w:t>£10.623 billion</w:t>
      </w:r>
      <w:r>
        <w:t xml:space="preserve"> of service-delivery and running costs in 2025-26, 91,306 average whole-time-equivalent staff, £4.907 billion of staff costs, £1.329 billion of goods and services, £658.8 million of IT and £503.6 million of accommodation. This is an outer envelope, not a removable saving: it includes employment, fraud, finance, digital and corporate functions that partly remain. The central mature bridge therefore books </w:t>
      </w:r>
      <w:r>
        <w:rPr>
          <w:b/>
        </w:rPr>
        <w:t>£4.5 billion a year</w:t>
      </w:r>
      <w:r>
        <w:t>, with a £2.5 billion to £7.0 billion range, net of the new platform and retained work.</w:t>
      </w:r>
    </w:p>
    <w:p>
      <w:r>
        <w:t xml:space="preserve">Buildings and outsourced contracts are explicitly inside that calibration, not an extra dividend. DWP disclosed approximately </w:t>
      </w:r>
      <w:r>
        <w:rPr>
          <w:b/>
        </w:rPr>
        <w:t>£1.145 billion</w:t>
      </w:r>
      <w:r>
        <w:t xml:space="preserve"> of undiscounted lease commitments and </w:t>
      </w:r>
      <w:r>
        <w:rPr>
          <w:b/>
        </w:rPr>
        <w:t>£5.547 billion</w:t>
      </w:r>
      <w:r>
        <w:t xml:space="preserve"> of non-cancellable goods-and-services commitments at March 2026. Disability-benefit functional-assessment contracts worth roughly £2 billion over 2024-29 illustrate a contractor cost that can wind down, but it is already inside DWP operating expenditure and must not be counted twice. A property sale finances government; it is not recurring revenue or GDP.</w:t>
      </w:r>
    </w:p>
    <w:p>
      <w:r>
        <w:t xml:space="preserve">The transition is initially a cost. The working central allowance is </w:t>
      </w:r>
      <w:r>
        <w:rPr>
          <w:b/>
        </w:rPr>
        <w:t>£8 billion one-off</w:t>
      </w:r>
      <w:r>
        <w:t xml:space="preserve"> over four to six years, with a £5 billion to £12 billion sensitivity for the population payment platform, parallel operation, data migration, support, contract and lease exits, retraining and redeployment. A usable net-administration path is:</w:t>
      </w:r>
    </w:p>
    <w:tbl>
      <w:tblPr>
        <w:tblW w:type="dxa" w:w="9144"/>
        <w:jc w:val="center"/>
        <w:tblLayout w:type="fixed"/>
        <w:tblLook w:firstColumn="1" w:firstRow="1" w:lastColumn="0" w:lastRow="0" w:noHBand="0" w:noVBand="1" w:val="04A0"/>
        <w:tblInd w:type="dxa" w:w="110"/>
      </w:tblPr>
      <w:tblGrid>
        <w:gridCol w:w="3784"/>
        <w:gridCol w:w="5360"/>
      </w:tblGrid>
      <w:tr>
        <w:trPr>
          <w:cantSplit/>
          <w:tblHeader w:val="true"/>
        </w:trPr>
        <w:tc>
          <w:tcPr>
            <w:tcW w:type="dxa" w:w="3784"/>
            <w:vAlign w:val="center"/>
            <w:tcMar>
              <w:top w:w="90" w:type="dxa"/>
              <w:start w:w="110" w:type="dxa"/>
              <w:bottom w:w="90" w:type="dxa"/>
              <w:end w:w="110" w:type="dxa"/>
            </w:tcMar>
            <w:shd w:fill="16324F"/>
          </w:tcPr>
          <w:p>
            <w:pPr>
              <w:spacing w:after="0" w:line="252" w:lineRule="auto"/>
              <w:jc w:val="left"/>
            </w:pPr>
            <w:r>
              <w:rPr>
                <w:b/>
                <w:color w:val="FFFFFF"/>
                <w:sz w:val="17"/>
              </w:rPr>
              <w:t>Scheme year</w:t>
            </w:r>
          </w:p>
        </w:tc>
        <w:tc>
          <w:tcPr>
            <w:tcW w:type="dxa" w:w="5360"/>
            <w:vAlign w:val="center"/>
            <w:tcMar>
              <w:top w:w="90" w:type="dxa"/>
              <w:start w:w="110" w:type="dxa"/>
              <w:bottom w:w="90" w:type="dxa"/>
              <w:end w:w="110" w:type="dxa"/>
            </w:tcMar>
            <w:shd w:fill="16324F"/>
          </w:tcPr>
          <w:p>
            <w:pPr>
              <w:spacing w:after="0" w:line="252" w:lineRule="auto"/>
              <w:jc w:val="left"/>
            </w:pPr>
            <w:r>
              <w:rPr>
                <w:b/>
                <w:color w:val="FFFFFF"/>
                <w:sz w:val="17"/>
              </w:rPr>
              <w:t>Net fiscal effect</w:t>
            </w:r>
          </w:p>
        </w:tc>
      </w:tr>
      <w:tr>
        <w:trPr>
          <w:cantSplit/>
        </w:trPr>
        <w:tc>
          <w:tcPr>
            <w:tcW w:type="dxa" w:w="3784"/>
            <w:vAlign w:val="center"/>
            <w:tcMar>
              <w:top w:w="90" w:type="dxa"/>
              <w:start w:w="110" w:type="dxa"/>
              <w:bottom w:w="90" w:type="dxa"/>
              <w:end w:w="110" w:type="dxa"/>
            </w:tcMar>
          </w:tcPr>
          <w:p>
            <w:pPr>
              <w:spacing w:after="0" w:line="252" w:lineRule="auto"/>
              <w:jc w:val="left"/>
            </w:pPr>
            <w:r>
              <w:rPr>
                <w:color w:val="1E2933"/>
                <w:sz w:val="17"/>
              </w:rPr>
              <w:t>1</w:t>
            </w:r>
          </w:p>
        </w:tc>
        <w:tc>
          <w:tcPr>
            <w:tcW w:type="dxa" w:w="5360"/>
            <w:vAlign w:val="center"/>
            <w:tcMar>
              <w:top w:w="90" w:type="dxa"/>
              <w:start w:w="110" w:type="dxa"/>
              <w:bottom w:w="90" w:type="dxa"/>
              <w:end w:w="110" w:type="dxa"/>
            </w:tcMar>
          </w:tcPr>
          <w:p>
            <w:pPr>
              <w:spacing w:after="0" w:line="252" w:lineRule="auto"/>
              <w:jc w:val="left"/>
            </w:pPr>
            <w:r>
              <w:rPr>
                <w:color w:val="1E2933"/>
                <w:sz w:val="17"/>
              </w:rPr>
              <w:t>−£3.0bn</w:t>
            </w:r>
          </w:p>
        </w:tc>
      </w:tr>
      <w:tr>
        <w:trPr>
          <w:cantSplit/>
        </w:trPr>
        <w:tc>
          <w:tcPr>
            <w:tcW w:type="dxa" w:w="3784"/>
            <w:vAlign w:val="center"/>
            <w:tcMar>
              <w:top w:w="90" w:type="dxa"/>
              <w:start w:w="110" w:type="dxa"/>
              <w:bottom w:w="90" w:type="dxa"/>
              <w:end w:w="110" w:type="dxa"/>
            </w:tcMar>
            <w:shd w:fill="F7F9FA"/>
          </w:tcPr>
          <w:p>
            <w:pPr>
              <w:spacing w:after="0" w:line="252" w:lineRule="auto"/>
              <w:jc w:val="left"/>
            </w:pPr>
            <w:r>
              <w:rPr>
                <w:color w:val="1E2933"/>
                <w:sz w:val="17"/>
              </w:rPr>
              <w:t>2</w:t>
            </w:r>
          </w:p>
        </w:tc>
        <w:tc>
          <w:tcPr>
            <w:tcW w:type="dxa" w:w="5360"/>
            <w:vAlign w:val="center"/>
            <w:tcMar>
              <w:top w:w="90" w:type="dxa"/>
              <w:start w:w="110" w:type="dxa"/>
              <w:bottom w:w="90" w:type="dxa"/>
              <w:end w:w="110" w:type="dxa"/>
            </w:tcMar>
            <w:shd w:fill="F7F9FA"/>
          </w:tcPr>
          <w:p>
            <w:pPr>
              <w:spacing w:after="0" w:line="252" w:lineRule="auto"/>
              <w:jc w:val="left"/>
            </w:pPr>
            <w:r>
              <w:rPr>
                <w:color w:val="1E2933"/>
                <w:sz w:val="17"/>
              </w:rPr>
              <w:t>−£2.0bn</w:t>
            </w:r>
          </w:p>
        </w:tc>
      </w:tr>
      <w:tr>
        <w:trPr>
          <w:cantSplit/>
        </w:trPr>
        <w:tc>
          <w:tcPr>
            <w:tcW w:type="dxa" w:w="3784"/>
            <w:vAlign w:val="center"/>
            <w:tcMar>
              <w:top w:w="90" w:type="dxa"/>
              <w:start w:w="110" w:type="dxa"/>
              <w:bottom w:w="90" w:type="dxa"/>
              <w:end w:w="110" w:type="dxa"/>
            </w:tcMar>
          </w:tcPr>
          <w:p>
            <w:pPr>
              <w:spacing w:after="0" w:line="252" w:lineRule="auto"/>
              <w:jc w:val="left"/>
            </w:pPr>
            <w:r>
              <w:rPr>
                <w:color w:val="1E2933"/>
                <w:sz w:val="17"/>
              </w:rPr>
              <w:t>3</w:t>
            </w:r>
          </w:p>
        </w:tc>
        <w:tc>
          <w:tcPr>
            <w:tcW w:type="dxa" w:w="5360"/>
            <w:vAlign w:val="center"/>
            <w:tcMar>
              <w:top w:w="90" w:type="dxa"/>
              <w:start w:w="110" w:type="dxa"/>
              <w:bottom w:w="90" w:type="dxa"/>
              <w:end w:w="110" w:type="dxa"/>
            </w:tcMar>
          </w:tcPr>
          <w:p>
            <w:pPr>
              <w:spacing w:after="0" w:line="252" w:lineRule="auto"/>
              <w:jc w:val="left"/>
            </w:pPr>
            <w:r>
              <w:rPr>
                <w:color w:val="1E2933"/>
                <w:sz w:val="17"/>
              </w:rPr>
              <w:t>−£0.5bn</w:t>
            </w:r>
          </w:p>
        </w:tc>
      </w:tr>
      <w:tr>
        <w:trPr>
          <w:cantSplit/>
        </w:trPr>
        <w:tc>
          <w:tcPr>
            <w:tcW w:type="dxa" w:w="3784"/>
            <w:vAlign w:val="center"/>
            <w:tcMar>
              <w:top w:w="90" w:type="dxa"/>
              <w:start w:w="110" w:type="dxa"/>
              <w:bottom w:w="90" w:type="dxa"/>
              <w:end w:w="110" w:type="dxa"/>
            </w:tcMar>
            <w:shd w:fill="F7F9FA"/>
          </w:tcPr>
          <w:p>
            <w:pPr>
              <w:spacing w:after="0" w:line="252" w:lineRule="auto"/>
              <w:jc w:val="left"/>
            </w:pPr>
            <w:r>
              <w:rPr>
                <w:color w:val="1E2933"/>
                <w:sz w:val="17"/>
              </w:rPr>
              <w:t>4</w:t>
            </w:r>
          </w:p>
        </w:tc>
        <w:tc>
          <w:tcPr>
            <w:tcW w:type="dxa" w:w="5360"/>
            <w:vAlign w:val="center"/>
            <w:tcMar>
              <w:top w:w="90" w:type="dxa"/>
              <w:start w:w="110" w:type="dxa"/>
              <w:bottom w:w="90" w:type="dxa"/>
              <w:end w:w="110" w:type="dxa"/>
            </w:tcMar>
            <w:shd w:fill="F7F9FA"/>
          </w:tcPr>
          <w:p>
            <w:pPr>
              <w:spacing w:after="0" w:line="252" w:lineRule="auto"/>
              <w:jc w:val="left"/>
            </w:pPr>
            <w:r>
              <w:rPr>
                <w:color w:val="1E2933"/>
                <w:sz w:val="17"/>
              </w:rPr>
              <w:t>+£1.5bn</w:t>
            </w:r>
          </w:p>
        </w:tc>
      </w:tr>
      <w:tr>
        <w:trPr>
          <w:cantSplit/>
        </w:trPr>
        <w:tc>
          <w:tcPr>
            <w:tcW w:type="dxa" w:w="3784"/>
            <w:vAlign w:val="center"/>
            <w:tcMar>
              <w:top w:w="90" w:type="dxa"/>
              <w:start w:w="110" w:type="dxa"/>
              <w:bottom w:w="90" w:type="dxa"/>
              <w:end w:w="110" w:type="dxa"/>
            </w:tcMar>
          </w:tcPr>
          <w:p>
            <w:pPr>
              <w:spacing w:after="0" w:line="252" w:lineRule="auto"/>
              <w:jc w:val="left"/>
            </w:pPr>
            <w:r>
              <w:rPr>
                <w:color w:val="1E2933"/>
                <w:sz w:val="17"/>
              </w:rPr>
              <w:t>5</w:t>
            </w:r>
          </w:p>
        </w:tc>
        <w:tc>
          <w:tcPr>
            <w:tcW w:type="dxa" w:w="5360"/>
            <w:vAlign w:val="center"/>
            <w:tcMar>
              <w:top w:w="90" w:type="dxa"/>
              <w:start w:w="110" w:type="dxa"/>
              <w:bottom w:w="90" w:type="dxa"/>
              <w:end w:w="110" w:type="dxa"/>
            </w:tcMar>
          </w:tcPr>
          <w:p>
            <w:pPr>
              <w:spacing w:after="0" w:line="252" w:lineRule="auto"/>
              <w:jc w:val="left"/>
            </w:pPr>
            <w:r>
              <w:rPr>
                <w:color w:val="1E2933"/>
                <w:sz w:val="17"/>
              </w:rPr>
              <w:t>+£3.5bn</w:t>
            </w:r>
          </w:p>
        </w:tc>
      </w:tr>
      <w:tr>
        <w:trPr>
          <w:cantSplit/>
        </w:trPr>
        <w:tc>
          <w:tcPr>
            <w:tcW w:type="dxa" w:w="3784"/>
            <w:vAlign w:val="center"/>
            <w:tcMar>
              <w:top w:w="90" w:type="dxa"/>
              <w:start w:w="110" w:type="dxa"/>
              <w:bottom w:w="90" w:type="dxa"/>
              <w:end w:w="110" w:type="dxa"/>
            </w:tcMar>
            <w:shd w:fill="F7F9FA"/>
          </w:tcPr>
          <w:p>
            <w:pPr>
              <w:spacing w:after="0" w:line="252" w:lineRule="auto"/>
              <w:jc w:val="left"/>
            </w:pPr>
            <w:r>
              <w:rPr>
                <w:color w:val="1E2933"/>
                <w:sz w:val="17"/>
              </w:rPr>
              <w:t>6 onward</w:t>
            </w:r>
          </w:p>
        </w:tc>
        <w:tc>
          <w:tcPr>
            <w:tcW w:type="dxa" w:w="5360"/>
            <w:vAlign w:val="center"/>
            <w:tcMar>
              <w:top w:w="90" w:type="dxa"/>
              <w:start w:w="110" w:type="dxa"/>
              <w:bottom w:w="90" w:type="dxa"/>
              <w:end w:w="110" w:type="dxa"/>
            </w:tcMar>
            <w:shd w:fill="F7F9FA"/>
          </w:tcPr>
          <w:p>
            <w:pPr>
              <w:spacing w:after="0" w:line="252" w:lineRule="auto"/>
              <w:jc w:val="left"/>
            </w:pPr>
            <w:r>
              <w:rPr>
                <w:color w:val="1E2933"/>
                <w:sz w:val="17"/>
              </w:rPr>
              <w:t>+£4.5bn a year</w:t>
            </w:r>
          </w:p>
        </w:tc>
      </w:tr>
    </w:tbl>
    <w:p>
      <w:pPr>
        <w:spacing w:after="20"/>
      </w:pPr>
    </w:p>
    <w:p>
      <w:r>
        <w:t xml:space="preserve">A positive number reduces borrowing; a negative number is additional transition expenditure. If former administrators are redeployed into publicly funded care or other professional services, their wages cannot also be claimed as cash savings. In a high-redeployment design the mature cash saving may be closer to £1 billion to £2 billion, with the gain appearing instead as greater service capacity. Nor should the £4.5 billion be added mechanically to GDP: administration is measured as government output through its inputs, so the GDP benefit arises only through successful redeployment, lower financing needs or higher productivity. Sources: </w:t>
      </w:r>
      <w:r>
        <w:t xml:space="preserve"> </w:t>
      </w:r>
      <w:hyperlink r:id="rId88">
        <w:r>
          <w:rPr>
            <w:color w:val="006D77"/>
            <w:u w:val="single"/>
          </w:rPr>
          <w:t>[72]</w:t>
        </w:r>
      </w:hyperlink>
      <w:r>
        <w:t xml:space="preserve">, </w:t>
      </w:r>
      <w:r>
        <w:t xml:space="preserve"> </w:t>
      </w:r>
      <w:hyperlink r:id="rId89">
        <w:r>
          <w:rPr>
            <w:color w:val="006D77"/>
            <w:u w:val="single"/>
          </w:rPr>
          <w:t>[73]</w:t>
        </w:r>
      </w:hyperlink>
      <w:r>
        <w:t xml:space="preserve">, </w:t>
      </w:r>
      <w:r>
        <w:t xml:space="preserve"> </w:t>
      </w:r>
      <w:hyperlink r:id="rId90">
        <w:r>
          <w:rPr>
            <w:color w:val="006D77"/>
            <w:u w:val="single"/>
          </w:rPr>
          <w:t>[74]</w:t>
        </w:r>
      </w:hyperlink>
      <w:r>
        <w:t>.</w:t>
      </w:r>
    </w:p>
    <w:p>
      <w:pPr>
        <w:pStyle w:val="Heading2"/>
      </w:pPr>
      <w:r>
        <w:t>Charity</w:t>
      </w:r>
    </w:p>
    <w:p>
      <w:r>
        <w:t>The Universal Payment should remove charity as a gatekeeper to ordinary survival, not abolish charitable action. Direct care, advocacy, research, emergency response, culture, animal welfare and community organisation remain valuable. Staff can be redeployed from repetitive eligibility administration into identifying need and providing practical help.</w:t>
      </w:r>
    </w:p>
    <w:p>
      <w:r>
        <w:t>No general 'charity fraud dividend' should be entered into the fiscal baseline. Tax abuse, executive diversion or unlawful private benefit must be evidenced case by case. Charity reserves, investment income and tax relief are not automatically stolen or recoverable public money.</w:t>
      </w:r>
    </w:p>
    <w:p>
      <w:r>
        <w:t xml:space="preserve">HMRC estimates charity and donor tax reliefs at approximately </w:t>
      </w:r>
      <w:r>
        <w:rPr>
          <w:b/>
        </w:rPr>
        <w:t>£7.4 billion in 2025-26</w:t>
      </w:r>
      <w:r>
        <w:t xml:space="preserve">. This is a transparency and audit exposure, not £7.4 billion available for the Universal Payment: HMRC cautions that the cost of a relief is not the revenue that abolition would recover. The fiscal baseline therefore remains </w:t>
      </w:r>
      <w:r>
        <w:rPr>
          <w:b/>
        </w:rPr>
        <w:t>£0 for assumed charity-fraud recovery</w:t>
      </w:r>
      <w:r>
        <w:t xml:space="preserve">. Any future saving must name the relief, contract or evidenced offence, deduct enforcement cost and record the loss of legitimate activity. New rules from April 2026 already tighten tainted donations, approved investments and attributable income. Sources: </w:t>
      </w:r>
      <w:r>
        <w:t xml:space="preserve"> </w:t>
      </w:r>
      <w:hyperlink r:id="rId14">
        <w:r>
          <w:rPr>
            <w:color w:val="006D77"/>
            <w:u w:val="single"/>
          </w:rPr>
          <w:t>[2]</w:t>
        </w:r>
      </w:hyperlink>
      <w:r>
        <w:t xml:space="preserve">, </w:t>
      </w:r>
      <w:r>
        <w:t xml:space="preserve"> </w:t>
      </w:r>
      <w:hyperlink r:id="rId91">
        <w:r>
          <w:rPr>
            <w:color w:val="006D77"/>
            <w:u w:val="single"/>
          </w:rPr>
          <w:t>[75]</w:t>
        </w:r>
      </w:hyperlink>
      <w:r>
        <w:t>.</w:t>
      </w:r>
    </w:p>
    <w:p>
      <w:pPr>
        <w:pStyle w:val="Heading1"/>
      </w:pPr>
      <w:r>
        <w:t>A10. Governance and anti-corruption firewall</w:t>
      </w:r>
    </w:p>
    <w:p>
      <w:pPr>
        <w:pStyle w:val="Heading2"/>
      </w:pPr>
      <w:r>
        <w:t>A10.1 Separation of powers</w:t>
      </w:r>
    </w:p>
    <w:p>
      <w:r>
        <w:t>Democratic control should operate through clear statute, parliamentary votes, enforceable licence conditions and public evidence—not private bargains or improvised ministerial pressure. Parliament acts for the public in setting the 75% floor; banks remain licensed service providers; neither a bank nor a minister owns household principal.</w:t>
      </w:r>
    </w:p>
    <w:tbl>
      <w:tblPr>
        <w:tblW w:type="dxa" w:w="9144"/>
        <w:jc w:val="center"/>
        <w:tblLayout w:type="fixed"/>
        <w:tblLook w:firstColumn="1" w:firstRow="1" w:lastColumn="0" w:lastRow="0" w:noHBand="0" w:noVBand="1" w:val="04A0"/>
        <w:tblInd w:type="dxa" w:w="110"/>
      </w:tblPr>
      <w:tblGrid>
        <w:gridCol w:w="1524"/>
        <w:gridCol w:w="3810"/>
        <w:gridCol w:w="3810"/>
      </w:tblGrid>
      <w:tr>
        <w:trPr>
          <w:cantSplit/>
          <w:tblHeader w:val="true"/>
        </w:trPr>
        <w:tc>
          <w:tcPr>
            <w:tcW w:type="dxa" w:w="1524"/>
            <w:vAlign w:val="center"/>
            <w:tcMar>
              <w:top w:w="90" w:type="dxa"/>
              <w:start w:w="110" w:type="dxa"/>
              <w:bottom w:w="90" w:type="dxa"/>
              <w:end w:w="110" w:type="dxa"/>
            </w:tcMar>
            <w:shd w:fill="16324F"/>
          </w:tcPr>
          <w:p>
            <w:pPr>
              <w:spacing w:after="0" w:line="252" w:lineRule="auto"/>
              <w:jc w:val="left"/>
            </w:pPr>
            <w:r>
              <w:rPr>
                <w:b/>
                <w:color w:val="FFFFFF"/>
                <w:sz w:val="17"/>
              </w:rPr>
              <w:t>Body</w:t>
            </w:r>
          </w:p>
        </w:tc>
        <w:tc>
          <w:tcPr>
            <w:tcW w:type="dxa" w:w="3810"/>
            <w:vAlign w:val="center"/>
            <w:tcMar>
              <w:top w:w="90" w:type="dxa"/>
              <w:start w:w="110" w:type="dxa"/>
              <w:bottom w:w="90" w:type="dxa"/>
              <w:end w:w="110" w:type="dxa"/>
            </w:tcMar>
            <w:shd w:fill="16324F"/>
          </w:tcPr>
          <w:p>
            <w:pPr>
              <w:spacing w:after="0" w:line="252" w:lineRule="auto"/>
              <w:jc w:val="left"/>
            </w:pPr>
            <w:r>
              <w:rPr>
                <w:b/>
                <w:color w:val="FFFFFF"/>
                <w:sz w:val="17"/>
              </w:rPr>
              <w:t>Job</w:t>
            </w:r>
          </w:p>
        </w:tc>
        <w:tc>
          <w:tcPr>
            <w:tcW w:type="dxa" w:w="3810"/>
            <w:vAlign w:val="center"/>
            <w:tcMar>
              <w:top w:w="90" w:type="dxa"/>
              <w:start w:w="110" w:type="dxa"/>
              <w:bottom w:w="90" w:type="dxa"/>
              <w:end w:w="110" w:type="dxa"/>
            </w:tcMar>
            <w:shd w:fill="16324F"/>
          </w:tcPr>
          <w:p>
            <w:pPr>
              <w:spacing w:after="0" w:line="252" w:lineRule="auto"/>
              <w:jc w:val="left"/>
            </w:pPr>
            <w:r>
              <w:rPr>
                <w:b/>
                <w:color w:val="FFFFFF"/>
                <w:sz w:val="17"/>
              </w:rPr>
              <w:t>Must not do</w:t>
            </w:r>
          </w:p>
        </w:tc>
      </w:tr>
      <w:tr>
        <w:trPr>
          <w:cantSplit/>
        </w:trPr>
        <w:tc>
          <w:tcPr>
            <w:tcW w:type="dxa" w:w="1524"/>
            <w:vAlign w:val="center"/>
            <w:tcMar>
              <w:top w:w="90" w:type="dxa"/>
              <w:start w:w="110" w:type="dxa"/>
              <w:bottom w:w="90" w:type="dxa"/>
              <w:end w:w="110" w:type="dxa"/>
            </w:tcMar>
          </w:tcPr>
          <w:p>
            <w:pPr>
              <w:spacing w:after="0" w:line="252" w:lineRule="auto"/>
              <w:jc w:val="left"/>
            </w:pPr>
            <w:r>
              <w:rPr>
                <w:color w:val="1E2933"/>
                <w:sz w:val="17"/>
              </w:rPr>
              <w:t>Parliament</w:t>
            </w:r>
          </w:p>
        </w:tc>
        <w:tc>
          <w:tcPr>
            <w:tcW w:type="dxa" w:w="3810"/>
            <w:vAlign w:val="center"/>
            <w:tcMar>
              <w:top w:w="90" w:type="dxa"/>
              <w:start w:w="110" w:type="dxa"/>
              <w:bottom w:w="90" w:type="dxa"/>
              <w:end w:w="110" w:type="dxa"/>
            </w:tcMar>
          </w:tcPr>
          <w:p>
            <w:pPr>
              <w:spacing w:after="0" w:line="252" w:lineRule="auto"/>
              <w:jc w:val="left"/>
            </w:pPr>
            <w:r>
              <w:rPr>
                <w:color w:val="1E2933"/>
                <w:sz w:val="17"/>
              </w:rPr>
              <w:t>Enact the 75% minimum, eligible scope, rights, borrowing ceiling and public purpose; vote material changes</w:t>
            </w:r>
          </w:p>
        </w:tc>
        <w:tc>
          <w:tcPr>
            <w:tcW w:type="dxa" w:w="3810"/>
            <w:vAlign w:val="center"/>
            <w:tcMar>
              <w:top w:w="90" w:type="dxa"/>
              <w:start w:w="110" w:type="dxa"/>
              <w:bottom w:w="90" w:type="dxa"/>
              <w:end w:w="110" w:type="dxa"/>
            </w:tcMar>
          </w:tcPr>
          <w:p>
            <w:pPr>
              <w:spacing w:after="0" w:line="252" w:lineRule="auto"/>
              <w:jc w:val="left"/>
            </w:pPr>
            <w:r>
              <w:rPr>
                <w:color w:val="1E2933"/>
                <w:sz w:val="17"/>
              </w:rPr>
              <w:t>Direct a named person's tax case, loan or investment</w:t>
            </w:r>
          </w:p>
        </w:tc>
      </w:tr>
      <w:tr>
        <w:trPr>
          <w:cantSplit/>
        </w:trPr>
        <w:tc>
          <w:tcPr>
            <w:tcW w:type="dxa" w:w="1524"/>
            <w:vAlign w:val="center"/>
            <w:tcMar>
              <w:top w:w="90" w:type="dxa"/>
              <w:start w:w="110" w:type="dxa"/>
              <w:bottom w:w="90" w:type="dxa"/>
              <w:end w:w="110" w:type="dxa"/>
            </w:tcMar>
            <w:shd w:fill="F7F9FA"/>
          </w:tcPr>
          <w:p>
            <w:pPr>
              <w:spacing w:after="0" w:line="252" w:lineRule="auto"/>
              <w:jc w:val="left"/>
            </w:pPr>
            <w:r>
              <w:rPr>
                <w:color w:val="1E2933"/>
                <w:sz w:val="17"/>
              </w:rPr>
              <w:t>HMRC Shared Return unit</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Register products; collect monthly remittances; reconcile daily-balance returns; enforce anti-avoidance and penalties</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Set investment policy or negotiate secret bank-specific allowances</w:t>
            </w:r>
          </w:p>
        </w:tc>
      </w:tr>
      <w:tr>
        <w:trPr>
          <w:cantSplit/>
        </w:trPr>
        <w:tc>
          <w:tcPr>
            <w:tcW w:type="dxa" w:w="1524"/>
            <w:vAlign w:val="center"/>
            <w:tcMar>
              <w:top w:w="90" w:type="dxa"/>
              <w:start w:w="110" w:type="dxa"/>
              <w:bottom w:w="90" w:type="dxa"/>
              <w:end w:w="110" w:type="dxa"/>
            </w:tcMar>
          </w:tcPr>
          <w:p>
            <w:pPr>
              <w:spacing w:after="0" w:line="252" w:lineRule="auto"/>
              <w:jc w:val="left"/>
            </w:pPr>
            <w:r>
              <w:rPr>
                <w:color w:val="1E2933"/>
                <w:sz w:val="17"/>
              </w:rPr>
              <w:t>Treasury</w:t>
            </w:r>
          </w:p>
        </w:tc>
        <w:tc>
          <w:tcPr>
            <w:tcW w:type="dxa" w:w="3810"/>
            <w:vAlign w:val="center"/>
            <w:tcMar>
              <w:top w:w="90" w:type="dxa"/>
              <w:start w:w="110" w:type="dxa"/>
              <w:bottom w:w="90" w:type="dxa"/>
              <w:end w:w="110" w:type="dxa"/>
            </w:tcMar>
          </w:tcPr>
          <w:p>
            <w:pPr>
              <w:spacing w:after="0" w:line="252" w:lineRule="auto"/>
              <w:jc w:val="left"/>
            </w:pPr>
            <w:r>
              <w:rPr>
                <w:color w:val="1E2933"/>
                <w:sz w:val="17"/>
              </w:rPr>
              <w:t>Set the fiscal envelope and general remit; account for public debt and guarantees</w:t>
            </w:r>
          </w:p>
        </w:tc>
        <w:tc>
          <w:tcPr>
            <w:tcW w:type="dxa" w:w="3810"/>
            <w:vAlign w:val="center"/>
            <w:tcMar>
              <w:top w:w="90" w:type="dxa"/>
              <w:start w:w="110" w:type="dxa"/>
              <w:bottom w:w="90" w:type="dxa"/>
              <w:end w:w="110" w:type="dxa"/>
            </w:tcMar>
          </w:tcPr>
          <w:p>
            <w:pPr>
              <w:spacing w:after="0" w:line="252" w:lineRule="auto"/>
              <w:jc w:val="left"/>
            </w:pPr>
            <w:r>
              <w:rPr>
                <w:color w:val="1E2933"/>
                <w:sz w:val="17"/>
              </w:rPr>
              <w:t>Calculate its own performance score, suppress data or direct individual investments</w:t>
            </w:r>
          </w:p>
        </w:tc>
      </w:tr>
      <w:tr>
        <w:trPr>
          <w:cantSplit/>
        </w:trPr>
        <w:tc>
          <w:tcPr>
            <w:tcW w:type="dxa" w:w="1524"/>
            <w:vAlign w:val="center"/>
            <w:tcMar>
              <w:top w:w="90" w:type="dxa"/>
              <w:start w:w="110" w:type="dxa"/>
              <w:bottom w:w="90" w:type="dxa"/>
              <w:end w:w="110" w:type="dxa"/>
            </w:tcMar>
            <w:shd w:fill="F7F9FA"/>
          </w:tcPr>
          <w:p>
            <w:pPr>
              <w:spacing w:after="0" w:line="252" w:lineRule="auto"/>
              <w:jc w:val="left"/>
            </w:pPr>
            <w:r>
              <w:rPr>
                <w:color w:val="1E2933"/>
                <w:sz w:val="17"/>
              </w:rPr>
              <w:t>UK Shared Growth Fund</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Make arm's-length investments within the mandate; manage risk and liquidity</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Administer tax, Universal Payment entitlement or personal credit records</w:t>
            </w:r>
          </w:p>
        </w:tc>
      </w:tr>
      <w:tr>
        <w:trPr>
          <w:cantSplit/>
        </w:trPr>
        <w:tc>
          <w:tcPr>
            <w:tcW w:type="dxa" w:w="1524"/>
            <w:vAlign w:val="center"/>
            <w:tcMar>
              <w:top w:w="90" w:type="dxa"/>
              <w:start w:w="110" w:type="dxa"/>
              <w:bottom w:w="90" w:type="dxa"/>
              <w:end w:w="110" w:type="dxa"/>
            </w:tcMar>
          </w:tcPr>
          <w:p>
            <w:pPr>
              <w:spacing w:after="0" w:line="252" w:lineRule="auto"/>
              <w:jc w:val="left"/>
            </w:pPr>
            <w:r>
              <w:rPr>
                <w:color w:val="1E2933"/>
                <w:sz w:val="17"/>
              </w:rPr>
              <w:t>Bank of England/PRA/FPC</w:t>
            </w:r>
          </w:p>
        </w:tc>
        <w:tc>
          <w:tcPr>
            <w:tcW w:type="dxa" w:w="3810"/>
            <w:vAlign w:val="center"/>
            <w:tcMar>
              <w:top w:w="90" w:type="dxa"/>
              <w:start w:w="110" w:type="dxa"/>
              <w:bottom w:w="90" w:type="dxa"/>
              <w:end w:w="110" w:type="dxa"/>
            </w:tcMar>
          </w:tcPr>
          <w:p>
            <w:pPr>
              <w:spacing w:after="0" w:line="252" w:lineRule="auto"/>
              <w:jc w:val="left"/>
            </w:pPr>
            <w:r>
              <w:rPr>
                <w:color w:val="1E2933"/>
                <w:sz w:val="17"/>
              </w:rPr>
              <w:t>Advise on prudential adjustments, stress-test funding and protect stability</w:t>
            </w:r>
          </w:p>
        </w:tc>
        <w:tc>
          <w:tcPr>
            <w:tcW w:type="dxa" w:w="3810"/>
            <w:vAlign w:val="center"/>
            <w:tcMar>
              <w:top w:w="90" w:type="dxa"/>
              <w:start w:w="110" w:type="dxa"/>
              <w:bottom w:w="90" w:type="dxa"/>
              <w:end w:w="110" w:type="dxa"/>
            </w:tcMar>
          </w:tcPr>
          <w:p>
            <w:pPr>
              <w:spacing w:after="0" w:line="252" w:lineRule="auto"/>
              <w:jc w:val="left"/>
            </w:pPr>
            <w:r>
              <w:rPr>
                <w:color w:val="1E2933"/>
                <w:sz w:val="17"/>
              </w:rPr>
              <w:t>Rewrite the public share for commercial convenience</w:t>
            </w:r>
          </w:p>
        </w:tc>
      </w:tr>
      <w:tr>
        <w:trPr>
          <w:cantSplit/>
        </w:trPr>
        <w:tc>
          <w:tcPr>
            <w:tcW w:type="dxa" w:w="1524"/>
            <w:vAlign w:val="center"/>
            <w:tcMar>
              <w:top w:w="90" w:type="dxa"/>
              <w:start w:w="110" w:type="dxa"/>
              <w:bottom w:w="90" w:type="dxa"/>
              <w:end w:w="110" w:type="dxa"/>
            </w:tcMar>
            <w:shd w:fill="F7F9FA"/>
          </w:tcPr>
          <w:p>
            <w:pPr>
              <w:spacing w:after="0" w:line="252" w:lineRule="auto"/>
              <w:jc w:val="left"/>
            </w:pPr>
            <w:r>
              <w:rPr>
                <w:color w:val="1E2933"/>
                <w:sz w:val="17"/>
              </w:rPr>
              <w:t>FCA and CMA</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Police consumer fees, product relabelling, pass-through and competition</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Treat public ownership as an exemption from conduct rules</w:t>
            </w:r>
          </w:p>
        </w:tc>
      </w:tr>
      <w:tr>
        <w:trPr>
          <w:cantSplit/>
        </w:trPr>
        <w:tc>
          <w:tcPr>
            <w:tcW w:type="dxa" w:w="1524"/>
            <w:vAlign w:val="center"/>
            <w:tcMar>
              <w:top w:w="90" w:type="dxa"/>
              <w:start w:w="110" w:type="dxa"/>
              <w:bottom w:w="90" w:type="dxa"/>
              <w:end w:w="110" w:type="dxa"/>
            </w:tcMar>
          </w:tcPr>
          <w:p>
            <w:pPr>
              <w:spacing w:after="0" w:line="252" w:lineRule="auto"/>
              <w:jc w:val="left"/>
            </w:pPr>
            <w:r>
              <w:rPr>
                <w:color w:val="1E2933"/>
                <w:sz w:val="17"/>
              </w:rPr>
              <w:t>NAO and OBR</w:t>
            </w:r>
          </w:p>
        </w:tc>
        <w:tc>
          <w:tcPr>
            <w:tcW w:type="dxa" w:w="3810"/>
            <w:vAlign w:val="center"/>
            <w:tcMar>
              <w:top w:w="90" w:type="dxa"/>
              <w:start w:w="110" w:type="dxa"/>
              <w:bottom w:w="90" w:type="dxa"/>
              <w:end w:w="110" w:type="dxa"/>
            </w:tcMar>
          </w:tcPr>
          <w:p>
            <w:pPr>
              <w:spacing w:after="0" w:line="252" w:lineRule="auto"/>
              <w:jc w:val="left"/>
            </w:pPr>
            <w:r>
              <w:rPr>
                <w:color w:val="1E2933"/>
                <w:sz w:val="17"/>
              </w:rPr>
              <w:t>Audit value for money; independently score fiscal and GDP effects</w:t>
            </w:r>
          </w:p>
        </w:tc>
        <w:tc>
          <w:tcPr>
            <w:tcW w:type="dxa" w:w="3810"/>
            <w:vAlign w:val="center"/>
            <w:tcMar>
              <w:top w:w="90" w:type="dxa"/>
              <w:start w:w="110" w:type="dxa"/>
              <w:bottom w:w="90" w:type="dxa"/>
              <w:end w:w="110" w:type="dxa"/>
            </w:tcMar>
          </w:tcPr>
          <w:p>
            <w:pPr>
              <w:spacing w:after="0" w:line="252" w:lineRule="auto"/>
              <w:jc w:val="left"/>
            </w:pPr>
            <w:r>
              <w:rPr>
                <w:color w:val="1E2933"/>
                <w:sz w:val="17"/>
              </w:rPr>
              <w:t>Manage the Fund or approve individual deals</w:t>
            </w:r>
          </w:p>
        </w:tc>
      </w:tr>
      <w:tr>
        <w:trPr>
          <w:cantSplit/>
        </w:trPr>
        <w:tc>
          <w:tcPr>
            <w:tcW w:type="dxa" w:w="1524"/>
            <w:vAlign w:val="center"/>
            <w:tcMar>
              <w:top w:w="90" w:type="dxa"/>
              <w:start w:w="110" w:type="dxa"/>
              <w:bottom w:w="90" w:type="dxa"/>
              <w:end w:w="110" w:type="dxa"/>
            </w:tcMar>
            <w:shd w:fill="F7F9FA"/>
          </w:tcPr>
          <w:p>
            <w:pPr>
              <w:spacing w:after="0" w:line="252" w:lineRule="auto"/>
              <w:jc w:val="left"/>
            </w:pPr>
            <w:r>
              <w:rPr>
                <w:color w:val="1E2933"/>
                <w:sz w:val="17"/>
              </w:rPr>
              <w:t>Shared Growth Commission</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Publish the reference schedule, verify the end-to-end money trail and operate the public ledger</w:t>
            </w:r>
          </w:p>
        </w:tc>
        <w:tc>
          <w:tcPr>
            <w:tcW w:type="dxa" w:w="3810"/>
            <w:vAlign w:val="center"/>
            <w:tcMar>
              <w:top w:w="90" w:type="dxa"/>
              <w:start w:w="110" w:type="dxa"/>
              <w:bottom w:w="90" w:type="dxa"/>
              <w:end w:w="110" w:type="dxa"/>
            </w:tcMar>
            <w:shd w:fill="F7F9FA"/>
          </w:tcPr>
          <w:p>
            <w:pPr>
              <w:spacing w:after="0" w:line="252" w:lineRule="auto"/>
              <w:jc w:val="left"/>
            </w:pPr>
            <w:r>
              <w:rPr>
                <w:color w:val="1E2933"/>
                <w:sz w:val="17"/>
              </w:rPr>
              <w:t>Choose investments, run HMRC cases or replace financial regulators</w:t>
            </w:r>
          </w:p>
        </w:tc>
      </w:tr>
    </w:tbl>
    <w:p>
      <w:pPr>
        <w:spacing w:after="20"/>
      </w:pPr>
    </w:p>
    <w:p>
      <w:r>
        <w:t xml:space="preserve">HMRC already receives Bank and Building Society Interest returns, but those report interest paid or credited. The CIC needs a new product, daily-balance, reference-yield and allowance return. Source: </w:t>
      </w:r>
      <w:r>
        <w:t xml:space="preserve"> </w:t>
      </w:r>
      <w:hyperlink r:id="rId92">
        <w:r>
          <w:rPr>
            <w:color w:val="006D77"/>
            <w:u w:val="single"/>
          </w:rPr>
          <w:t>[76]</w:t>
        </w:r>
      </w:hyperlink>
      <w:r>
        <w:t>.</w:t>
      </w:r>
    </w:p>
    <w:p>
      <w:r>
        <w:t>Changes to product definitions, reference methodology or allowance schedules should be prospective, publicly consulted on, accompanied by an SGC recommendation and approved by affirmative parliamentary vote. Any emergency Treasury instrument should apply generally, publish its evidence immediately and expire within 90 days unless Parliament renews it. It must never forgive or reduce one named institution's obligation in private.</w:t>
      </w:r>
    </w:p>
    <w:p>
      <w:pPr>
        <w:pStyle w:val="Heading2"/>
      </w:pPr>
      <w:r>
        <w:t>A10.2 Shared Growth Commission</w:t>
      </w:r>
    </w:p>
    <w:p>
      <w:r>
        <w:t xml:space="preserve">The Treasury should be monitored by a lean statutory </w:t>
      </w:r>
      <w:r>
        <w:rPr>
          <w:b/>
        </w:rPr>
        <w:t>Shared Growth Commission (SGC)</w:t>
      </w:r>
      <w:r>
        <w:t xml:space="preserve"> accountable directly to Parliament. Its commissioners should have staggered, non-renewable terms; appointment should require scrutiny by the relevant Commons committee; its budget should be separately voted; and members, staff and advisers should publish interests, gifts, meetings and post-employment restrictions.</w:t>
      </w:r>
    </w:p>
    <w:p>
      <w:r>
        <w:t>The SGC should be able to:</w:t>
      </w:r>
    </w:p>
    <w:p>
      <w:pPr>
        <w:pStyle w:val="ListBullet"/>
      </w:pPr>
      <w:r>
        <w:t>compel standard records from HMRC, the Treasury, the Fund and participating financial groups;</w:t>
      </w:r>
    </w:p>
    <w:p>
      <w:pPr>
        <w:pStyle w:val="ListBullet"/>
      </w:pPr>
      <w:r>
        <w:t>reproduce the EGSR, bank allowance and remittance calculation from source totals;</w:t>
      </w:r>
    </w:p>
    <w:p>
      <w:pPr>
        <w:pStyle w:val="ListBullet"/>
      </w:pPr>
      <w:r>
        <w:t>inspect models, algorithms, related-party transactions, procurement and beneficial owners;</w:t>
      </w:r>
    </w:p>
    <w:p>
      <w:pPr>
        <w:pStyle w:val="ListBullet"/>
      </w:pPr>
      <w:r>
        <w:t>require a correction, publish a qualified assurance notice and issue proportionate civil penalties;</w:t>
      </w:r>
    </w:p>
    <w:p>
      <w:pPr>
        <w:pStyle w:val="ListBullet"/>
      </w:pPr>
      <w:r>
        <w:t>refer suspected fraud, bribery, market abuse or tax crime to the appropriate enforcement body;</w:t>
      </w:r>
    </w:p>
    <w:p>
      <w:pPr>
        <w:pStyle w:val="ListBullet"/>
      </w:pPr>
      <w:r>
        <w:t>protect whistleblowers and receive evidence through accessible secure and offline routes;</w:t>
      </w:r>
    </w:p>
    <w:p>
      <w:pPr>
        <w:pStyle w:val="ListBullet"/>
      </w:pPr>
      <w:r>
        <w:t>publish without advance Treasury editing or veto.</w:t>
      </w:r>
    </w:p>
    <w:p>
      <w:r>
        <w:t>The SGC should not become a second fund manager or tax authority. The NAO should audit both the Fund and the SGC; the OBR should own the published fiscal and GDP counterfactual; the FCA/PRA should retain conduct and prudential enforcement; and parliamentary committees should question Accounting Officers in public. This creates overlapping checks without one body controlling collection, investment, measurement and enforcement.</w:t>
      </w:r>
    </w:p>
    <w:p>
      <w:r>
        <w:t xml:space="preserve">The Act should expressly give the Comptroller and Auditor General access across the complete collection-to-investment chain—including participating groups, processors, HMRC, Treasury, custodians, contractors, investees, models and raw records—rather than relying on voluntary contractual access. Sources: </w:t>
      </w:r>
      <w:r>
        <w:t xml:space="preserve"> </w:t>
      </w:r>
      <w:hyperlink r:id="rId93">
        <w:r>
          <w:rPr>
            <w:color w:val="006D77"/>
            <w:u w:val="single"/>
          </w:rPr>
          <w:t>[77]</w:t>
        </w:r>
      </w:hyperlink>
      <w:r>
        <w:t xml:space="preserve">, </w:t>
      </w:r>
      <w:r>
        <w:t xml:space="preserve"> </w:t>
      </w:r>
      <w:hyperlink r:id="rId94">
        <w:r>
          <w:rPr>
            <w:color w:val="006D77"/>
            <w:u w:val="single"/>
          </w:rPr>
          <w:t>[78]</w:t>
        </w:r>
      </w:hyperlink>
      <w:r>
        <w:t xml:space="preserve">, </w:t>
      </w:r>
      <w:r>
        <w:t xml:space="preserve"> </w:t>
      </w:r>
      <w:hyperlink r:id="rId95">
        <w:r>
          <w:rPr>
            <w:color w:val="006D77"/>
            <w:u w:val="single"/>
          </w:rPr>
          <w:t>[79]</w:t>
        </w:r>
      </w:hyperlink>
      <w:r>
        <w:t>.</w:t>
      </w:r>
    </w:p>
    <w:p>
      <w:r>
        <w:t>A rotating citizen panel selected by civic lottery should be able to request inquiries, question the SGC in public and publish minority views. It should represent the nations, regions, age groups and disabled people, but should not receive personal or confidential prudential data and should not choose investments. Democratic ownership is strengthened by public challenge without turning individual financial decisions into a popularity contest.</w:t>
      </w:r>
    </w:p>
    <w:p>
      <w:r>
        <w:t>The UK Shared Growth Fund and any public lender should additionally have:</w:t>
      </w:r>
    </w:p>
    <w:p>
      <w:pPr>
        <w:pStyle w:val="ListBullet"/>
      </w:pPr>
      <w:r>
        <w:t>a statutory public-purpose and additionality test;</w:t>
      </w:r>
    </w:p>
    <w:p>
      <w:pPr>
        <w:pStyle w:val="ListBullet"/>
      </w:pPr>
      <w:r>
        <w:t>operational independence and staggered board appointments;</w:t>
      </w:r>
    </w:p>
    <w:p>
      <w:pPr>
        <w:pStyle w:val="ListBullet"/>
      </w:pPr>
      <w:r>
        <w:t>published investment, risk, pricing and conflict policies;</w:t>
      </w:r>
    </w:p>
    <w:p>
      <w:pPr>
        <w:pStyle w:val="ListBullet"/>
      </w:pPr>
      <w:r>
        <w:t>public reporting of returns, defaults, subsidies, fees, related parties and regional distribution;</w:t>
      </w:r>
    </w:p>
    <w:p>
      <w:pPr>
        <w:pStyle w:val="ListBullet"/>
      </w:pPr>
      <w:r>
        <w:t>open contracting and beneficial-owner checks;</w:t>
      </w:r>
    </w:p>
    <w:p>
      <w:pPr>
        <w:pStyle w:val="ListBullet"/>
      </w:pPr>
      <w:r>
        <w:t>a prohibition on political direction of individual investments or loans;</w:t>
      </w:r>
    </w:p>
    <w:p>
      <w:pPr>
        <w:pStyle w:val="ListBullet"/>
      </w:pPr>
      <w:r>
        <w:t>written ministerial directions published with an Accounting Officer value-for-money assessment;</w:t>
      </w:r>
    </w:p>
    <w:p>
      <w:pPr>
        <w:pStyle w:val="ListBullet"/>
      </w:pPr>
      <w:r>
        <w:t>independent complaints, whistleblowing and appeal routes;</w:t>
      </w:r>
    </w:p>
    <w:p>
      <w:pPr>
        <w:pStyle w:val="ListBullet"/>
      </w:pPr>
      <w:r>
        <w:t>data minimisation, access logs and a legal firewall between Universal Payment records, credit decisions and unrelated enforcement;</w:t>
      </w:r>
    </w:p>
    <w:p>
      <w:pPr>
        <w:pStyle w:val="ListBullet"/>
      </w:pPr>
      <w:r>
        <w:t>Bank of England/FPC powers to pause expansion if systemic indicators deteriorate.</w:t>
      </w:r>
    </w:p>
    <w:p>
      <w:r>
        <w:t xml:space="preserve">Public ownership is not by itself an anti-corruption system. Traceability, separation of functions and enforceable independent review are the safeguards. The NAO's existing independence from government and direct reporting to Parliament make it an essential audit layer, but the daily verification and data-publication job requires the dedicated SGC. Source: </w:t>
      </w:r>
      <w:r>
        <w:t xml:space="preserve"> </w:t>
      </w:r>
      <w:hyperlink r:id="rId96">
        <w:r>
          <w:rPr>
            <w:color w:val="006D77"/>
            <w:u w:val="single"/>
          </w:rPr>
          <w:t>[80]</w:t>
        </w:r>
      </w:hyperlink>
      <w:r>
        <w:t>.</w:t>
      </w:r>
    </w:p>
    <w:p>
      <w:pPr>
        <w:pStyle w:val="Heading2"/>
      </w:pPr>
      <w:r>
        <w:t>A10.3 The no-login People's Money Ledger</w:t>
      </w:r>
    </w:p>
    <w:p>
      <w:r>
        <w:t xml:space="preserve">The statute should require the SGC to provide an official </w:t>
      </w:r>
      <w:r>
        <w:rPr>
          <w:b/>
        </w:rPr>
        <w:t>People's Money Ledger</w:t>
      </w:r>
      <w:r>
        <w:t xml:space="preserve"> that anyone can inspect without an account, login, paywall or app. The core service should work without cookies. The landing page should be plain-language HTML; every chart should link to its underlying CSV, JSON and documented read-only API data, definitions and complete version history under the Open Government Licence.</w:t>
      </w:r>
    </w:p>
    <w:tbl>
      <w:tblPr>
        <w:tblW w:type="dxa" w:w="9144"/>
        <w:jc w:val="center"/>
        <w:tblLayout w:type="fixed"/>
        <w:tblLook w:firstColumn="1" w:firstRow="1" w:lastColumn="0" w:lastRow="0" w:noHBand="0" w:noVBand="1" w:val="04A0"/>
        <w:tblInd w:type="dxa" w:w="110"/>
      </w:tblPr>
      <w:tblGrid>
        <w:gridCol w:w="3765"/>
        <w:gridCol w:w="5379"/>
      </w:tblGrid>
      <w:tr>
        <w:trPr>
          <w:cantSplit/>
          <w:tblHeader w:val="true"/>
        </w:trPr>
        <w:tc>
          <w:tcPr>
            <w:tcW w:type="dxa" w:w="3765"/>
            <w:vAlign w:val="center"/>
            <w:tcMar>
              <w:top w:w="90" w:type="dxa"/>
              <w:start w:w="110" w:type="dxa"/>
              <w:bottom w:w="90" w:type="dxa"/>
              <w:end w:w="110" w:type="dxa"/>
            </w:tcMar>
            <w:shd w:fill="16324F"/>
          </w:tcPr>
          <w:p>
            <w:pPr>
              <w:spacing w:after="0" w:line="252" w:lineRule="auto"/>
              <w:jc w:val="left"/>
            </w:pPr>
            <w:r>
              <w:rPr>
                <w:b/>
                <w:color w:val="FFFFFF"/>
                <w:sz w:val="17"/>
              </w:rPr>
              <w:t>Publication timing</w:t>
            </w:r>
          </w:p>
        </w:tc>
        <w:tc>
          <w:tcPr>
            <w:tcW w:type="dxa" w:w="5379"/>
            <w:vAlign w:val="center"/>
            <w:tcMar>
              <w:top w:w="90" w:type="dxa"/>
              <w:start w:w="110" w:type="dxa"/>
              <w:bottom w:w="90" w:type="dxa"/>
              <w:end w:w="110" w:type="dxa"/>
            </w:tcMar>
            <w:shd w:fill="16324F"/>
          </w:tcPr>
          <w:p>
            <w:pPr>
              <w:spacing w:after="0" w:line="252" w:lineRule="auto"/>
              <w:jc w:val="left"/>
            </w:pPr>
            <w:r>
              <w:rPr>
                <w:b/>
                <w:color w:val="FFFFFF"/>
                <w:sz w:val="17"/>
              </w:rPr>
              <w:t>Minimum public information</w:t>
            </w:r>
          </w:p>
        </w:tc>
      </w:tr>
      <w:tr>
        <w:trPr>
          <w:cantSplit/>
        </w:trPr>
        <w:tc>
          <w:tcPr>
            <w:tcW w:type="dxa" w:w="3765"/>
            <w:vAlign w:val="center"/>
            <w:tcMar>
              <w:top w:w="90" w:type="dxa"/>
              <w:start w:w="110" w:type="dxa"/>
              <w:bottom w:w="90" w:type="dxa"/>
              <w:end w:w="110" w:type="dxa"/>
            </w:tcMar>
          </w:tcPr>
          <w:p>
            <w:pPr>
              <w:spacing w:after="0" w:line="252" w:lineRule="auto"/>
              <w:jc w:val="left"/>
            </w:pPr>
            <w:r>
              <w:rPr>
                <w:color w:val="1E2933"/>
                <w:sz w:val="17"/>
              </w:rPr>
              <w:t>Daily or next working day, provisional</w:t>
            </w:r>
          </w:p>
        </w:tc>
        <w:tc>
          <w:tcPr>
            <w:tcW w:type="dxa" w:w="5379"/>
            <w:vAlign w:val="center"/>
            <w:tcMar>
              <w:top w:w="90" w:type="dxa"/>
              <w:start w:w="110" w:type="dxa"/>
              <w:bottom w:w="90" w:type="dxa"/>
              <w:end w:w="110" w:type="dxa"/>
            </w:tcMar>
          </w:tcPr>
          <w:p>
            <w:pPr>
              <w:spacing w:after="0" w:line="252" w:lineRule="auto"/>
              <w:jc w:val="left"/>
            </w:pPr>
            <w:r>
              <w:rPr>
                <w:color w:val="1E2933"/>
                <w:sz w:val="17"/>
              </w:rPr>
              <w:t>Reference yields; sector-wide cash actually settled; total eligible balances; accrued EGSR; expected and received Fund remittance; aggregate bank allowance; opening and closing Fund cash; data timestamp</w:t>
            </w:r>
          </w:p>
        </w:tc>
      </w:tr>
      <w:tr>
        <w:trPr>
          <w:cantSplit/>
        </w:trPr>
        <w:tc>
          <w:tcPr>
            <w:tcW w:type="dxa" w:w="3765"/>
            <w:vAlign w:val="center"/>
            <w:tcMar>
              <w:top w:w="90" w:type="dxa"/>
              <w:start w:w="110" w:type="dxa"/>
              <w:bottom w:w="90" w:type="dxa"/>
              <w:end w:w="110" w:type="dxa"/>
            </w:tcMar>
            <w:shd w:fill="F7F9FA"/>
          </w:tcPr>
          <w:p>
            <w:pPr>
              <w:spacing w:after="0" w:line="252" w:lineRule="auto"/>
              <w:jc w:val="left"/>
            </w:pPr>
            <w:r>
              <w:rPr>
                <w:color w:val="1E2933"/>
                <w:sz w:val="17"/>
              </w:rPr>
              <w:t>Monthly within 10 working days, reconciled</w:t>
            </w:r>
          </w:p>
        </w:tc>
        <w:tc>
          <w:tcPr>
            <w:tcW w:type="dxa" w:w="5379"/>
            <w:vAlign w:val="center"/>
            <w:tcMar>
              <w:top w:w="90" w:type="dxa"/>
              <w:start w:w="110" w:type="dxa"/>
              <w:bottom w:w="90" w:type="dxa"/>
              <w:end w:w="110" w:type="dxa"/>
            </w:tcMar>
            <w:shd w:fill="F7F9FA"/>
          </w:tcPr>
          <w:p>
            <w:pPr>
              <w:spacing w:after="0" w:line="252" w:lineRule="auto"/>
              <w:jc w:val="left"/>
            </w:pPr>
            <w:r>
              <w:rPr>
                <w:color w:val="1E2933"/>
                <w:sz w:val="17"/>
              </w:rPr>
              <w:t>Named institution and product class; average balance; reference rate; EGSR; allowance cap and actual retention; remittance; arrears, corrections, penalties and pass-through fees; bank return to HMRC settlement to Fund-receipt reconciliation</w:t>
            </w:r>
          </w:p>
        </w:tc>
      </w:tr>
      <w:tr>
        <w:trPr>
          <w:cantSplit/>
        </w:trPr>
        <w:tc>
          <w:tcPr>
            <w:tcW w:type="dxa" w:w="3765"/>
            <w:vAlign w:val="center"/>
            <w:tcMar>
              <w:top w:w="90" w:type="dxa"/>
              <w:start w:w="110" w:type="dxa"/>
              <w:bottom w:w="90" w:type="dxa"/>
              <w:end w:w="110" w:type="dxa"/>
            </w:tcMar>
          </w:tcPr>
          <w:p>
            <w:pPr>
              <w:spacing w:after="0" w:line="252" w:lineRule="auto"/>
              <w:jc w:val="left"/>
            </w:pPr>
            <w:r>
              <w:rPr>
                <w:color w:val="1E2933"/>
                <w:sz w:val="17"/>
              </w:rPr>
              <w:t>Event-driven</w:t>
            </w:r>
          </w:p>
        </w:tc>
        <w:tc>
          <w:tcPr>
            <w:tcW w:type="dxa" w:w="5379"/>
            <w:vAlign w:val="center"/>
            <w:tcMar>
              <w:top w:w="90" w:type="dxa"/>
              <w:start w:w="110" w:type="dxa"/>
              <w:bottom w:w="90" w:type="dxa"/>
              <w:end w:w="110" w:type="dxa"/>
            </w:tcMar>
          </w:tcPr>
          <w:p>
            <w:pPr>
              <w:spacing w:after="0" w:line="252" w:lineRule="auto"/>
              <w:jc w:val="left"/>
            </w:pPr>
            <w:r>
              <w:rPr>
                <w:color w:val="1E2933"/>
                <w:sz w:val="17"/>
              </w:rPr>
              <w:t>Completed investment decision, contract award or material change within a short statutory deadline; material loss, conflict or enforcement notice within 72 hours where publication is safe</w:t>
            </w:r>
          </w:p>
        </w:tc>
      </w:tr>
      <w:tr>
        <w:trPr>
          <w:cantSplit/>
        </w:trPr>
        <w:tc>
          <w:tcPr>
            <w:tcW w:type="dxa" w:w="3765"/>
            <w:vAlign w:val="center"/>
            <w:tcMar>
              <w:top w:w="90" w:type="dxa"/>
              <w:start w:w="110" w:type="dxa"/>
              <w:bottom w:w="90" w:type="dxa"/>
              <w:end w:w="110" w:type="dxa"/>
            </w:tcMar>
            <w:shd w:fill="F7F9FA"/>
          </w:tcPr>
          <w:p>
            <w:pPr>
              <w:spacing w:after="0" w:line="252" w:lineRule="auto"/>
              <w:jc w:val="left"/>
            </w:pPr>
            <w:r>
              <w:rPr>
                <w:color w:val="1E2933"/>
                <w:sz w:val="17"/>
              </w:rPr>
              <w:t>Quarterly within 30-45 days</w:t>
            </w:r>
          </w:p>
        </w:tc>
        <w:tc>
          <w:tcPr>
            <w:tcW w:type="dxa" w:w="5379"/>
            <w:vAlign w:val="center"/>
            <w:tcMar>
              <w:top w:w="90" w:type="dxa"/>
              <w:start w:w="110" w:type="dxa"/>
              <w:bottom w:w="90" w:type="dxa"/>
              <w:end w:w="110" w:type="dxa"/>
            </w:tcMar>
            <w:shd w:fill="F7F9FA"/>
          </w:tcPr>
          <w:p>
            <w:pPr>
              <w:spacing w:after="0" w:line="252" w:lineRule="auto"/>
              <w:jc w:val="left"/>
            </w:pPr>
            <w:r>
              <w:rPr>
                <w:color w:val="1E2933"/>
                <w:sz w:val="17"/>
              </w:rPr>
              <w:t>Fund cash and net asset value; commitments and cash actually deployed; liquidity, duration and stress loss; external income; internal gilt coupons separately; fees, impairments, defaults, benchmark, forecast against outturn, geographic/sector allocation, conflicts, waivers, fraud detected and money recovered</w:t>
            </w:r>
          </w:p>
        </w:tc>
      </w:tr>
      <w:tr>
        <w:trPr>
          <w:cantSplit/>
        </w:trPr>
        <w:tc>
          <w:tcPr>
            <w:tcW w:type="dxa" w:w="3765"/>
            <w:vAlign w:val="center"/>
            <w:tcMar>
              <w:top w:w="90" w:type="dxa"/>
              <w:start w:w="110" w:type="dxa"/>
              <w:bottom w:w="90" w:type="dxa"/>
              <w:end w:w="110" w:type="dxa"/>
            </w:tcMar>
          </w:tcPr>
          <w:p>
            <w:pPr>
              <w:spacing w:after="0" w:line="252" w:lineRule="auto"/>
              <w:jc w:val="left"/>
            </w:pPr>
            <w:r>
              <w:rPr>
                <w:color w:val="1E2933"/>
                <w:sz w:val="17"/>
              </w:rPr>
              <w:t>Annual, audited</w:t>
            </w:r>
          </w:p>
        </w:tc>
        <w:tc>
          <w:tcPr>
            <w:tcW w:type="dxa" w:w="5379"/>
            <w:vAlign w:val="center"/>
            <w:tcMar>
              <w:top w:w="90" w:type="dxa"/>
              <w:start w:w="110" w:type="dxa"/>
              <w:bottom w:w="90" w:type="dxa"/>
              <w:end w:w="110" w:type="dxa"/>
            </w:tcMar>
          </w:tcPr>
          <w:p>
            <w:pPr>
              <w:spacing w:after="0" w:line="252" w:lineRule="auto"/>
              <w:jc w:val="left"/>
            </w:pPr>
            <w:r>
              <w:rPr>
                <w:color w:val="1E2933"/>
                <w:sz w:val="17"/>
              </w:rPr>
              <w:t>Full accounts; named investments, contractors and company numbers; beneficial owners; related-party exposures; executive pay; conflicts; subsidies, guarantees and write-offs; distribution, equality, fiscal and GDP/additionality evaluation</w:t>
            </w:r>
          </w:p>
        </w:tc>
      </w:tr>
    </w:tbl>
    <w:p>
      <w:pPr>
        <w:spacing w:after="20"/>
      </w:pPr>
    </w:p>
    <w:p>
      <w:r>
        <w:t xml:space="preserve">Records should have permanent identifiers and be time-stamped and append-only: a correction adds a new version and reason rather than silently replacing history. Banks should be identified by legal name, company number, FCA reference number and legal-entity identifier; projects and contracts should link to their procurement lifecycle records. Publish a data dictionary, calculation code, machine-readable archive, independent-assurance status, release calendar, accessibility statement and lightweight mobile, Welsh and easy-read routes. Each forecast must retain its original vintage and later outturn, variance and explanation. Sources: </w:t>
      </w:r>
      <w:r>
        <w:t xml:space="preserve"> </w:t>
      </w:r>
      <w:hyperlink r:id="rId97">
        <w:r>
          <w:rPr>
            <w:color w:val="006D77"/>
            <w:u w:val="single"/>
          </w:rPr>
          <w:t>[81]</w:t>
        </w:r>
      </w:hyperlink>
      <w:r>
        <w:t xml:space="preserve">, </w:t>
      </w:r>
      <w:r>
        <w:t xml:space="preserve"> </w:t>
      </w:r>
      <w:hyperlink r:id="rId98">
        <w:r>
          <w:rPr>
            <w:color w:val="006D77"/>
            <w:u w:val="single"/>
          </w:rPr>
          <w:t>[82]</w:t>
        </w:r>
      </w:hyperlink>
      <w:r>
        <w:t xml:space="preserve">, </w:t>
      </w:r>
      <w:r>
        <w:t xml:space="preserve"> </w:t>
      </w:r>
      <w:hyperlink r:id="rId99">
        <w:r>
          <w:rPr>
            <w:color w:val="006D77"/>
            <w:u w:val="single"/>
          </w:rPr>
          <w:t>[83]</w:t>
        </w:r>
      </w:hyperlink>
      <w:r>
        <w:t>.</w:t>
      </w:r>
    </w:p>
    <w:p>
      <w:r>
        <w:t xml:space="preserve">Every temporary withholding should itself be visible in an exemptions log with an identifier, legal basis, specified harm, approving officer, review date and release status. Figures presented as official statistics should be independently assessed for trustworthiness, quality and value. Sources: </w:t>
      </w:r>
      <w:r>
        <w:t xml:space="preserve"> </w:t>
      </w:r>
      <w:hyperlink r:id="rId100">
        <w:r>
          <w:rPr>
            <w:color w:val="006D77"/>
            <w:u w:val="single"/>
          </w:rPr>
          <w:t>[84]</w:t>
        </w:r>
      </w:hyperlink>
      <w:r>
        <w:t xml:space="preserve">, </w:t>
      </w:r>
      <w:r>
        <w:t xml:space="preserve"> </w:t>
      </w:r>
      <w:hyperlink r:id="rId101">
        <w:r>
          <w:rPr>
            <w:color w:val="006D77"/>
            <w:u w:val="single"/>
          </w:rPr>
          <w:t>[85]</w:t>
        </w:r>
      </w:hyperlink>
      <w:r>
        <w:t>.</w:t>
      </w:r>
    </w:p>
    <w:p>
      <w:r>
        <w:t>Public transparency must not expose personal balances or create a bank run. Individual saver and borrower data remain private; small cells are suppressed; system-wide provisional totals may update daily, while named-bank balance or liquidity detail may use a 30-to-90-day safety lag authorised by the PRA with a public reason. Individual trade disclosure may likewise wait until execution is complete to prevent front-running the public. Aggregate exposure, price range and risk remain current throughout; a safety delay must never become a blanket commercial-secrecy exemption.</w:t>
      </w:r>
    </w:p>
    <w:p>
      <w:r>
        <w:t xml:space="preserve">Section 18 of the Commissioners for Revenue and Customs Act 2005 restricts disclosure of information held by HMRC. Primary legislation for the CIC must therefore create a precise publication gateway for named-institution remittance and compliance data while continuing to prohibit publication of customer-level tax information. The portal cannot simply assume that HMRC may release it. Source: </w:t>
      </w:r>
      <w:r>
        <w:t xml:space="preserve"> </w:t>
      </w:r>
      <w:hyperlink r:id="rId102">
        <w:r>
          <w:rPr>
            <w:color w:val="006D77"/>
            <w:u w:val="single"/>
          </w:rPr>
          <w:t>[86]</w:t>
        </w:r>
      </w:hyperlink>
      <w:r>
        <w:t>.</w:t>
      </w:r>
    </w:p>
    <w:p>
      <w:pPr>
        <w:pStyle w:val="Heading1"/>
      </w:pPr>
      <w:r>
        <w:t>A11. Five-to-ten-year evaluation dashboard</w:t>
      </w:r>
    </w:p>
    <w:tbl>
      <w:tblPr>
        <w:tblW w:type="dxa" w:w="9144"/>
        <w:jc w:val="center"/>
        <w:tblLayout w:type="fixed"/>
        <w:tblLook w:firstColumn="1" w:firstRow="1" w:lastColumn="0" w:lastRow="0" w:noHBand="0" w:noVBand="1" w:val="04A0"/>
        <w:tblInd w:type="dxa" w:w="110"/>
      </w:tblPr>
      <w:tblGrid>
        <w:gridCol w:w="2110"/>
        <w:gridCol w:w="7034"/>
      </w:tblGrid>
      <w:tr>
        <w:trPr>
          <w:cantSplit/>
          <w:tblHeader w:val="true"/>
        </w:trPr>
        <w:tc>
          <w:tcPr>
            <w:tcW w:type="dxa" w:w="2110"/>
            <w:vAlign w:val="center"/>
            <w:tcMar>
              <w:top w:w="90" w:type="dxa"/>
              <w:start w:w="110" w:type="dxa"/>
              <w:bottom w:w="90" w:type="dxa"/>
              <w:end w:w="110" w:type="dxa"/>
            </w:tcMar>
            <w:shd w:fill="16324F"/>
          </w:tcPr>
          <w:p>
            <w:pPr>
              <w:spacing w:after="0" w:line="252" w:lineRule="auto"/>
              <w:jc w:val="left"/>
            </w:pPr>
            <w:r>
              <w:rPr>
                <w:b/>
                <w:color w:val="FFFFFF"/>
                <w:sz w:val="17"/>
              </w:rPr>
              <w:t>Area</w:t>
            </w:r>
          </w:p>
        </w:tc>
        <w:tc>
          <w:tcPr>
            <w:tcW w:type="dxa" w:w="7034"/>
            <w:vAlign w:val="center"/>
            <w:tcMar>
              <w:top w:w="90" w:type="dxa"/>
              <w:start w:w="110" w:type="dxa"/>
              <w:bottom w:w="90" w:type="dxa"/>
              <w:end w:w="110" w:type="dxa"/>
            </w:tcMar>
            <w:shd w:fill="16324F"/>
          </w:tcPr>
          <w:p>
            <w:pPr>
              <w:spacing w:after="0" w:line="252" w:lineRule="auto"/>
              <w:jc w:val="left"/>
            </w:pPr>
            <w:r>
              <w:rPr>
                <w:b/>
                <w:color w:val="FFFFFF"/>
                <w:sz w:val="17"/>
              </w:rPr>
              <w:t>Benchmarks required</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Fiscal</w:t>
            </w:r>
          </w:p>
        </w:tc>
        <w:tc>
          <w:tcPr>
            <w:tcW w:type="dxa" w:w="7034"/>
            <w:vAlign w:val="center"/>
            <w:tcMar>
              <w:top w:w="90" w:type="dxa"/>
              <w:start w:w="110" w:type="dxa"/>
              <w:bottom w:w="90" w:type="dxa"/>
              <w:end w:w="110" w:type="dxa"/>
            </w:tcMar>
          </w:tcPr>
          <w:p>
            <w:pPr>
              <w:spacing w:after="0" w:line="252" w:lineRule="auto"/>
              <w:jc w:val="left"/>
            </w:pPr>
            <w:r>
              <w:rPr>
                <w:color w:val="1E2933"/>
                <w:sz w:val="17"/>
              </w:rPr>
              <w:t>Gross payment and recipients; net UP tax; personal transfers actually closed; professional-service budgets retained; eligible savings balances; EGSR; Fund share; bank allowance; displaced savings tax; administration; guarantees; litigation; transition cost; net revenue</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Behaviour</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Account closures; lower saving; shifts into gilts, funds, property, companies, foreign assets, cash and crypto; residency changes; substitution into positive current-account balances and rewards</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Banking</w:t>
            </w:r>
          </w:p>
        </w:tc>
        <w:tc>
          <w:tcPr>
            <w:tcW w:type="dxa" w:w="7034"/>
            <w:vAlign w:val="center"/>
            <w:tcMar>
              <w:top w:w="90" w:type="dxa"/>
              <w:start w:w="110" w:type="dxa"/>
              <w:bottom w:w="90" w:type="dxa"/>
              <w:end w:w="110" w:type="dxa"/>
            </w:tcMar>
          </w:tcPr>
          <w:p>
            <w:pPr>
              <w:spacing w:after="0" w:line="252" w:lineRule="auto"/>
              <w:jc w:val="left"/>
            </w:pPr>
            <w:r>
              <w:rPr>
                <w:color w:val="1E2933"/>
                <w:sz w:val="17"/>
              </w:rPr>
              <w:t>Retail deposit stock; migration by institution type; wholesale funding spread; net interest income; capital; liquidity; LCR/NSFR; bank and building-society failures</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Credit</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Mortgage and SME rates, approvals and volumes; refinancing; arrears; defaults; guarantee calls; regional access</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Investment</w:t>
            </w:r>
          </w:p>
        </w:tc>
        <w:tc>
          <w:tcPr>
            <w:tcW w:type="dxa" w:w="7034"/>
            <w:vAlign w:val="center"/>
            <w:tcMar>
              <w:top w:w="90" w:type="dxa"/>
              <w:start w:w="110" w:type="dxa"/>
              <w:bottom w:w="90" w:type="dxa"/>
              <w:end w:w="110" w:type="dxa"/>
            </w:tcMar>
          </w:tcPr>
          <w:p>
            <w:pPr>
              <w:spacing w:after="0" w:line="252" w:lineRule="auto"/>
              <w:jc w:val="left"/>
            </w:pPr>
            <w:r>
              <w:rPr>
                <w:color w:val="1E2933"/>
                <w:sz w:val="17"/>
              </w:rPr>
              <w:t>Amount committed and actually spent; external and internal-gilt income separately; liquidity reserve; losses; leverage; completion delays; domestic content; additionality; crowd-in; crowd-out; return against matched benchmarks</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Growth</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Real GDP and GDP per head against baseline; productivity; business formation and survival; employment, hours and labour participation</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Inflation</w:t>
            </w:r>
          </w:p>
        </w:tc>
        <w:tc>
          <w:tcPr>
            <w:tcW w:type="dxa" w:w="7034"/>
            <w:vAlign w:val="center"/>
            <w:tcMar>
              <w:top w:w="90" w:type="dxa"/>
              <w:start w:w="110" w:type="dxa"/>
              <w:bottom w:w="90" w:type="dxa"/>
              <w:end w:w="110" w:type="dxa"/>
            </w:tcMar>
          </w:tcPr>
          <w:p>
            <w:pPr>
              <w:spacing w:after="0" w:line="252" w:lineRule="auto"/>
              <w:jc w:val="left"/>
            </w:pPr>
            <w:r>
              <w:rPr>
                <w:color w:val="1E2933"/>
                <w:sz w:val="17"/>
              </w:rPr>
              <w:t>CPI/CPIH; rents; house prices; land; wages; services inflation; import prices; sterling; Bank Rate response</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Housing</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Net additional homes; affordable/social completions; price-to-income and rent-to-income ratios; overcrowding; homelessness; retrofit</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Distribution</w:t>
            </w:r>
          </w:p>
        </w:tc>
        <w:tc>
          <w:tcPr>
            <w:tcW w:type="dxa" w:w="7034"/>
            <w:vAlign w:val="center"/>
            <w:tcMar>
              <w:top w:w="90" w:type="dxa"/>
              <w:start w:w="110" w:type="dxa"/>
              <w:bottom w:w="90" w:type="dxa"/>
              <w:end w:w="110" w:type="dxa"/>
            </w:tcMar>
          </w:tcPr>
          <w:p>
            <w:pPr>
              <w:spacing w:after="0" w:line="252" w:lineRule="auto"/>
              <w:jc w:val="left"/>
            </w:pPr>
            <w:r>
              <w:rPr>
                <w:color w:val="1E2933"/>
                <w:sz w:val="17"/>
              </w:rPr>
              <w:t>Net position by income and wealth decile, age, disability, household type and region; emergency cash buffers; real value of savings</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Administration</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Headcount redeployed/reduced; contractor spend; estate footprint; IT costs; decision errors; appeal time; user burden</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Service continuity</w:t>
            </w:r>
          </w:p>
        </w:tc>
        <w:tc>
          <w:tcPr>
            <w:tcW w:type="dxa" w:w="7034"/>
            <w:vAlign w:val="center"/>
            <w:tcMar>
              <w:top w:w="90" w:type="dxa"/>
              <w:start w:w="110" w:type="dxa"/>
              <w:bottom w:w="90" w:type="dxa"/>
              <w:end w:w="110" w:type="dxa"/>
            </w:tcMar>
          </w:tcPr>
          <w:p>
            <w:pPr>
              <w:spacing w:after="0" w:line="252" w:lineRule="auto"/>
              <w:jc w:val="left"/>
            </w:pPr>
            <w:r>
              <w:rPr>
                <w:color w:val="1E2933"/>
                <w:sz w:val="17"/>
              </w:rPr>
              <w:t>Paid care hours; unmet assessed need; care-home and childcare capacity; clinical waiting times; direct-payment continuity; equipment and adaptation delays; provider failures</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Integrity</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Unpaid remittances; bank allowance as a share of EGSR; fraud losses; procurement concentration; conflicts; related-party exposure; audit qualifications; corrections; whistleblower outcomes</w:t>
            </w:r>
          </w:p>
        </w:tc>
      </w:tr>
      <w:tr>
        <w:trPr>
          <w:cantSplit/>
        </w:trPr>
        <w:tc>
          <w:tcPr>
            <w:tcW w:type="dxa" w:w="2110"/>
            <w:vAlign w:val="center"/>
            <w:tcMar>
              <w:top w:w="90" w:type="dxa"/>
              <w:start w:w="110" w:type="dxa"/>
              <w:bottom w:w="90" w:type="dxa"/>
              <w:end w:w="110" w:type="dxa"/>
            </w:tcMar>
          </w:tcPr>
          <w:p>
            <w:pPr>
              <w:spacing w:after="0" w:line="252" w:lineRule="auto"/>
              <w:jc w:val="left"/>
            </w:pPr>
            <w:r>
              <w:rPr>
                <w:color w:val="1E2933"/>
                <w:sz w:val="17"/>
              </w:rPr>
              <w:t>Transparency</w:t>
            </w:r>
          </w:p>
        </w:tc>
        <w:tc>
          <w:tcPr>
            <w:tcW w:type="dxa" w:w="7034"/>
            <w:vAlign w:val="center"/>
            <w:tcMar>
              <w:top w:w="90" w:type="dxa"/>
              <w:start w:w="110" w:type="dxa"/>
              <w:bottom w:w="90" w:type="dxa"/>
              <w:end w:w="110" w:type="dxa"/>
            </w:tcMar>
          </w:tcPr>
          <w:p>
            <w:pPr>
              <w:spacing w:after="0" w:line="252" w:lineRule="auto"/>
              <w:jc w:val="left"/>
            </w:pPr>
            <w:r>
              <w:rPr>
                <w:color w:val="1E2933"/>
                <w:sz w:val="17"/>
              </w:rPr>
              <w:t>Update timeliness; missing or revised returns; API availability; accessibility; safety delays; portal uptime; public complaints resolved</w:t>
            </w:r>
          </w:p>
        </w:tc>
      </w:tr>
      <w:tr>
        <w:trPr>
          <w:cantSplit/>
        </w:trPr>
        <w:tc>
          <w:tcPr>
            <w:tcW w:type="dxa" w:w="2110"/>
            <w:vAlign w:val="center"/>
            <w:tcMar>
              <w:top w:w="90" w:type="dxa"/>
              <w:start w:w="110" w:type="dxa"/>
              <w:bottom w:w="90" w:type="dxa"/>
              <w:end w:w="110" w:type="dxa"/>
            </w:tcMar>
            <w:shd w:fill="F7F9FA"/>
          </w:tcPr>
          <w:p>
            <w:pPr>
              <w:spacing w:after="0" w:line="252" w:lineRule="auto"/>
              <w:jc w:val="left"/>
            </w:pPr>
            <w:r>
              <w:rPr>
                <w:color w:val="1E2933"/>
                <w:sz w:val="17"/>
              </w:rPr>
              <w:t>Public consent</w:t>
            </w:r>
          </w:p>
        </w:tc>
        <w:tc>
          <w:tcPr>
            <w:tcW w:type="dxa" w:w="7034"/>
            <w:vAlign w:val="center"/>
            <w:tcMar>
              <w:top w:w="90" w:type="dxa"/>
              <w:start w:w="110" w:type="dxa"/>
              <w:bottom w:w="90" w:type="dxa"/>
              <w:end w:w="110" w:type="dxa"/>
            </w:tcMar>
            <w:shd w:fill="F7F9FA"/>
          </w:tcPr>
          <w:p>
            <w:pPr>
              <w:spacing w:after="0" w:line="252" w:lineRule="auto"/>
              <w:jc w:val="left"/>
            </w:pPr>
            <w:r>
              <w:rPr>
                <w:color w:val="1E2933"/>
                <w:sz w:val="17"/>
              </w:rPr>
              <w:t>Representative polling; deliberative citizens' assembly; comprehension of the trade-off; consent by affected saver groups</w:t>
            </w:r>
          </w:p>
        </w:tc>
      </w:tr>
    </w:tbl>
    <w:p>
      <w:pPr>
        <w:spacing w:after="20"/>
      </w:pPr>
    </w:p>
    <w:p>
      <w:r>
        <w:t>The claim that a majority would consider the trade fair is plausible but presently unproven. It should be tested after people are shown the exact Universal Payment, tax treatment, inflation effect, exemptions, public-investment rules and likely interest contribution for their own balance.</w:t>
      </w:r>
    </w:p>
    <w:p>
      <w:pPr>
        <w:pStyle w:val="Heading1"/>
      </w:pPr>
      <w:r>
        <w:t>A12. Staged implementation</w:t>
      </w:r>
    </w:p>
    <w:p>
      <w:pPr>
        <w:pStyle w:val="Heading2"/>
      </w:pPr>
      <w:r>
        <w:t>Years 0-1 - legislation and measurement</w:t>
      </w:r>
    </w:p>
    <w:p>
      <w:pPr>
        <w:pStyle w:val="ListBullet"/>
      </w:pPr>
      <w:r>
        <w:t>do not begin an unfunded national payment; publish a year-by-year tax, offset, borrowing, inflation and debt schedule that closes the full fiscal bridge;</w:t>
      </w:r>
    </w:p>
    <w:p>
      <w:pPr>
        <w:pStyle w:val="ListBullet"/>
      </w:pPr>
      <w:r>
        <w:t>reconcile HMRC, ONS and Bank of England account data;</w:t>
      </w:r>
    </w:p>
    <w:p>
      <w:pPr>
        <w:pStyle w:val="ListBullet"/>
      </w:pPr>
      <w:r>
        <w:t>require a 12-month shadow return using average daily balances, the published reference schedule and the proposed allowance, without collecting money;</w:t>
      </w:r>
    </w:p>
    <w:p>
      <w:pPr>
        <w:pStyle w:val="ListBullet"/>
      </w:pPr>
      <w:r>
        <w:t>run a household microsimulation linked to wealth and age distributions;</w:t>
      </w:r>
    </w:p>
    <w:p>
      <w:pPr>
        <w:pStyle w:val="ListBullet"/>
      </w:pPr>
      <w:r>
        <w:t>obtain OBR costing and Bank of England/PRA stress analysis at 10%, 20% and 40% deposit migration, including building societies and smaller lenders;</w:t>
      </w:r>
    </w:p>
    <w:p>
      <w:pPr>
        <w:pStyle w:val="ListBullet"/>
      </w:pPr>
      <w:r>
        <w:t>publish equality, human-rights and devolution assessments;</w:t>
      </w:r>
    </w:p>
    <w:p>
      <w:pPr>
        <w:pStyle w:val="ListBullet"/>
      </w:pPr>
      <w:r>
        <w:t>publish a statutory payment map classifying every central, devolved and local transfer as unrestricted personal cash, restricted professional-service funding, a loan, a tax reduction, compensation or a private pass-through;</w:t>
      </w:r>
    </w:p>
    <w:p>
      <w:pPr>
        <w:pStyle w:val="ListBullet"/>
      </w:pPr>
      <w:r>
        <w:t>settle child-account control, overseas eligibility, accrued pension rights, service-budget protection and provider-payment continuity before any legacy entitlement closes;</w:t>
      </w:r>
    </w:p>
    <w:p>
      <w:pPr>
        <w:pStyle w:val="ListBullet"/>
      </w:pPr>
      <w:r>
        <w:t>legislate the 75% minimum in primary legislation together with principal ownership, beneficial-interest, audit and appeal safeguards;</w:t>
      </w:r>
    </w:p>
    <w:p>
      <w:pPr>
        <w:pStyle w:val="ListBullet"/>
      </w:pPr>
      <w:r>
        <w:t>establish the Shared Growth Commission and launch a test version of the no-login People's Money Ledger;</w:t>
      </w:r>
    </w:p>
    <w:p>
      <w:pPr>
        <w:pStyle w:val="ListBullet"/>
      </w:pPr>
      <w:r>
        <w:t>design public consultation and a citizens' assembly.</w:t>
      </w:r>
    </w:p>
    <w:p>
      <w:pPr>
        <w:pStyle w:val="Heading2"/>
      </w:pPr>
      <w:r>
        <w:t>Years 1-2 - public option pilot</w:t>
      </w:r>
    </w:p>
    <w:p>
      <w:pPr>
        <w:pStyle w:val="ListBullet"/>
      </w:pPr>
      <w:r>
        <w:t>operate individual Universal Payment and tax shadow accounts, with protected limited pilots only where their financing and existing entitlements are legally secure;</w:t>
      </w:r>
    </w:p>
    <w:p>
      <w:pPr>
        <w:pStyle w:val="ListBullet"/>
      </w:pPr>
      <w:r>
        <w:t>launch voluntary NS&amp;I Common Growth Accounts;</w:t>
      </w:r>
    </w:p>
    <w:p>
      <w:pPr>
        <w:pStyle w:val="ListBullet"/>
      </w:pPr>
      <w:r>
        <w:t>publish each account's principal, protected return and pooled contribution;</w:t>
      </w:r>
    </w:p>
    <w:p>
      <w:pPr>
        <w:pStyle w:val="ListBullet"/>
      </w:pPr>
      <w:r>
        <w:t>invest only through independently assessed additional projects;</w:t>
      </w:r>
    </w:p>
    <w:p>
      <w:pPr>
        <w:pStyle w:val="ListBullet"/>
      </w:pPr>
      <w:r>
        <w:t>test accessible written and offline service;</w:t>
      </w:r>
    </w:p>
    <w:p>
      <w:pPr>
        <w:pStyle w:val="ListBullet"/>
      </w:pPr>
      <w:r>
        <w:t>publish institution-level shadow calculations and correct classification or data-quality failures before cash collection;</w:t>
      </w:r>
    </w:p>
    <w:p>
      <w:pPr>
        <w:pStyle w:val="ListBullet"/>
      </w:pPr>
      <w:r>
        <w:t>establish the public mortgage benchmark through limited wholesale funding or guarantees tied to new supply.</w:t>
      </w:r>
    </w:p>
    <w:p>
      <w:pPr>
        <w:pStyle w:val="Heading2"/>
      </w:pPr>
      <w:r>
        <w:t>Years 3-5 - conditional scale</w:t>
      </w:r>
    </w:p>
    <w:p>
      <w:pPr>
        <w:pStyle w:val="ListBullet"/>
      </w:pPr>
      <w:r>
        <w:t>expand the Universal Payment only when an OBR-certified financing plan, Bank of England inflation assessment and professional-service continuity test all pass; pause rather than monetize any unresolved gap;</w:t>
      </w:r>
    </w:p>
    <w:p>
      <w:pPr>
        <w:pStyle w:val="ListBullet"/>
      </w:pPr>
      <w:r>
        <w:t>close each personal benefit only after the replacement payment has reconciled successfully for the same people, while care, treatment, childcare and other service budgets remain legally ring-fenced;</w:t>
      </w:r>
    </w:p>
    <w:p>
      <w:pPr>
        <w:pStyle w:val="ListBullet"/>
      </w:pPr>
      <w:r>
        <w:t>compare deposit retention, bank funding, mortgage rates and project delivery with a pre-registered counterfactual;</w:t>
      </w:r>
    </w:p>
    <w:p>
      <w:pPr>
        <w:pStyle w:val="ListBullet"/>
      </w:pPr>
      <w:r>
        <w:t xml:space="preserve">phase the </w:t>
      </w:r>
      <w:r>
        <w:rPr>
          <w:b/>
        </w:rPr>
        <w:t>scope</w:t>
      </w:r>
      <w:r>
        <w:t xml:space="preserve"> by product and institution rather than lowering the rule: every balance brought into the mandatory scheme carries the statutory minimum 75% public share;</w:t>
      </w:r>
    </w:p>
    <w:p>
      <w:pPr>
        <w:pStyle w:val="ListBullet"/>
      </w:pPr>
      <w:r>
        <w:t>grandfather fixed-rate contracts until maturity and place an unpaid Fund claim behind protected depositors in insolvency;</w:t>
      </w:r>
    </w:p>
    <w:p>
      <w:pPr>
        <w:pStyle w:val="ListBullet"/>
      </w:pPr>
      <w:r>
        <w:t>make any genuine PRA-approved stress deferral accrue in full, with a pre-funded stability reserve maintaining the Fund's cash receipt;</w:t>
      </w:r>
    </w:p>
    <w:p>
      <w:pPr>
        <w:pStyle w:val="ListBullet"/>
      </w:pPr>
      <w:r>
        <w:t>expand only if FPC stability limits, equality tests and value-for-money tests pass;</w:t>
      </w:r>
    </w:p>
    <w:p>
      <w:pPr>
        <w:pStyle w:val="ListBullet"/>
      </w:pPr>
      <w:r>
        <w:t>recycle principal and investment returns under the perpetual-fund statute.</w:t>
      </w:r>
    </w:p>
    <w:p>
      <w:pPr>
        <w:pStyle w:val="Heading2"/>
      </w:pPr>
      <w:r>
        <w:t>Years 5-10 - outcomes and correction</w:t>
      </w:r>
    </w:p>
    <w:p>
      <w:pPr>
        <w:pStyle w:val="ListBullet"/>
      </w:pPr>
      <w:r>
        <w:t>publish an independent real-GDP and productivity evaluation;</w:t>
      </w:r>
    </w:p>
    <w:p>
      <w:pPr>
        <w:pStyle w:val="ListBullet"/>
      </w:pPr>
      <w:r>
        <w:t>measure the real value of household cash, not only nominal balances;</w:t>
      </w:r>
    </w:p>
    <w:p>
      <w:pPr>
        <w:pStyle w:val="ListBullet"/>
      </w:pPr>
      <w:r>
        <w:t>compare housing supply and prices with regions not receiving the same lending intensity;</w:t>
      </w:r>
    </w:p>
    <w:p>
      <w:pPr>
        <w:pStyle w:val="ListBullet"/>
      </w:pPr>
      <w:r>
        <w:t xml:space="preserve">retain automatic brakes on </w:t>
      </w:r>
      <w:r>
        <w:rPr>
          <w:b/>
        </w:rPr>
        <w:t>expansion</w:t>
      </w:r>
      <w:r>
        <w:t>, a parliamentary renewal vote and a prohibition on Treasury waiver of a named bank's liability;</w:t>
      </w:r>
    </w:p>
    <w:p>
      <w:pPr>
        <w:pStyle w:val="ListBullet"/>
      </w:pPr>
      <w:r>
        <w:t>change or reverse mechanisms that create avoidable harm.</w:t>
      </w:r>
    </w:p>
    <w:p>
      <w:pPr>
        <w:pStyle w:val="Heading1"/>
      </w:pPr>
      <w:r>
        <w:t>A13. Technical conclusion</w:t>
      </w:r>
    </w:p>
    <w:p>
      <w:r>
        <w:t xml:space="preserve">The £3,000 monthly payment has a gross annual scale of approximately </w:t>
      </w:r>
      <w:r>
        <w:rPr>
          <w:b/>
        </w:rPr>
        <w:t>£2.494 trillion</w:t>
      </w:r>
      <w:r>
        <w:t xml:space="preserve">. The revised resident-consistent benefit credit is approximately </w:t>
      </w:r>
      <w:r>
        <w:rPr>
          <w:b/>
        </w:rPr>
        <w:t>£354.1 billion</w:t>
      </w:r>
      <w:r>
        <w:t xml:space="preserve">, compared with £190 billion in the previous version, and the mature administration calibration is £4.5 billion. Using the £470 billion </w:t>
      </w:r>
      <w:r>
        <w:rPr>
          <w:b/>
        </w:rPr>
        <w:t>net-tax planning scenario</w:t>
      </w:r>
      <w:r>
        <w:t xml:space="preserve"> leaves a reference annual gap of about </w:t>
      </w:r>
      <w:r>
        <w:rPr>
          <w:b/>
        </w:rPr>
        <w:t>£1.6655 trillion</w:t>
      </w:r>
      <w:r>
        <w:t xml:space="preserve">, with a static sensitivity of approximately </w:t>
      </w:r>
      <w:r>
        <w:rPr>
          <w:b/>
        </w:rPr>
        <w:t>£1.602 trillion to £1.842 trillion</w:t>
      </w:r>
      <w:r>
        <w:t>. The tax range now incorporates an estimated £16 billion to £25 billion of tax attributable to replaced benefits, so there is no separate overlap add-back. This is still the proposal's binding constraint. It cannot be made safe by calling the cheque GDP, abolishing professional services, treating every charity relief as fraud or counting consumption taxes twice.</w:t>
      </w:r>
    </w:p>
    <w:p>
      <w:r>
        <w:t xml:space="preserve">The 75% Common Interest Contribution strengthens the proposal as a statement of shared ownership and can create a useful long-term public investment stream. On the current static deposit calculation it provides at least </w:t>
      </w:r>
      <w:r>
        <w:rPr>
          <w:b/>
        </w:rPr>
        <w:t>£29.73 billion gross</w:t>
      </w:r>
      <w:r>
        <w:t xml:space="preserve">, or about </w:t>
      </w:r>
      <w:r>
        <w:rPr>
          <w:b/>
        </w:rPr>
        <w:t>£23.63 billion after the displaced savings-tax baseline and before all other costs</w:t>
      </w:r>
      <w:r>
        <w:t xml:space="preserve">. The reference behavioural case yields about </w:t>
      </w:r>
      <w:r>
        <w:rPr>
          <w:b/>
        </w:rPr>
        <w:t>£14.59 billion a mature year after its reserve</w:t>
      </w:r>
      <w:r>
        <w:t>. That is meaningful capital, but still tens of billions rather than the trillions required to finance the Universal Payment alone. Under the instruction that it be invested, it closes none of the current payment gap.</w:t>
      </w:r>
    </w:p>
    <w:p>
      <w:r>
        <w:t>Its GDP effect depends entirely on design.</w:t>
      </w:r>
    </w:p>
    <w:p>
      <w:pPr>
        <w:pStyle w:val="ListBullet"/>
      </w:pPr>
      <w:r>
        <w:t>A sudden compulsory redirection of all saver return could reduce bank funding, weaken monetary transmission, inflate other assets and produce an unstable base. Its net GDP effect could be zero or negative even though at least 75% reaches the public Fund.</w:t>
      </w:r>
    </w:p>
    <w:p>
      <w:pPr>
        <w:pStyle w:val="ListBullet"/>
      </w:pPr>
      <w:r>
        <w:t>A phased, transparent and protected public-growth model could modestly increase productive capacity, particularly if it builds housing, energy and infrastructure and crowds in private investment.</w:t>
      </w:r>
    </w:p>
    <w:p>
      <w:pPr>
        <w:pStyle w:val="ListBullet"/>
      </w:pPr>
      <w:r>
        <w:t>A public mortgage benchmark can improve fairness, but only when paired with additional supply and honest pricing of funding, losses and subsidy.</w:t>
      </w:r>
    </w:p>
    <w:p>
      <w:pPr>
        <w:pStyle w:val="ListBullet"/>
      </w:pPr>
      <w:r>
        <w:t>Gilts are appropriate for liquidity and risk management, but a public Fund receiving interest from the Treasury is not creating new national income. Central DMO issuance and direct investment in additional productive capacity are preferable to a competing permanent Fund-bond programme.</w:t>
      </w:r>
    </w:p>
    <w:p>
      <w:pPr>
        <w:pStyle w:val="ListBullet"/>
      </w:pPr>
      <w:r>
        <w:t>HMRC collection, arm's-length investment, independent parliamentary oversight and the no-login People's Money Ledger together make the 75% promise verifiable rather than rhetorical.</w:t>
      </w:r>
    </w:p>
    <w:p>
      <w:r>
        <w:t xml:space="preserve">The ten-year result is consequently conditional rather than a promise. In the funded reference illustration, real GDP grows every year but reaches a 2036 level about </w:t>
      </w:r>
      <w:r>
        <w:rPr>
          <w:b/>
        </w:rPr>
        <w:t>2.7% below the no-policy baseline</w:t>
      </w:r>
      <w:r>
        <w:t xml:space="preserve">. Successful delivery can reach about </w:t>
      </w:r>
      <w:r>
        <w:rPr>
          <w:b/>
        </w:rPr>
        <w:t>3.5% above baseline</w:t>
      </w:r>
      <w:r>
        <w:t xml:space="preserve"> if labour participation, productive investment, housing supply, redeployment and bank funding all perform strongly. Banking stress ends about </w:t>
      </w:r>
      <w:r>
        <w:rPr>
          <w:b/>
        </w:rPr>
        <w:t>6.3% below baseline</w:t>
      </w:r>
      <w:r>
        <w:t xml:space="preserve">, while sustained avoidance and fiscal leakage ends about </w:t>
      </w:r>
      <w:r>
        <w:rPr>
          <w:b/>
        </w:rPr>
        <w:t>8.8% below</w:t>
      </w:r>
      <w:r>
        <w:t>. These are non-probabilistic sensitivities. The immediate unfunded version is not given an invented point estimate; it fails the fiscal gate before the GDP forecast begins.</w:t>
      </w:r>
    </w:p>
    <w:p>
      <w:r>
        <w:t>The fair collective principle should therefore be retained, but the fiscal model must carry the literal no-saver-return version and the protected-real-return version separately. In both, the bank allowance is capped and the Fund receives at least 75% of the eligible return after any explicitly legislated saver protection. That permits Parliament and the public to choose the trade-off with full knowledge of its revenue, inflation, distribution and banking effects.</w:t>
      </w:r>
    </w:p>
    <w:p>
      <w:r>
        <w:t>The central promise remains:</w:t>
      </w:r>
    </w:p>
    <w:tbl>
      <w:tblPr>
        <w:tblW w:type="dxa" w:w="8856"/>
        <w:jc w:val="center"/>
        <w:tblLayout w:type="fixed"/>
        <w:tblLook w:firstColumn="1" w:firstRow="1" w:lastColumn="0" w:lastRow="0" w:noHBand="0" w:noVBand="1" w:val="04A0"/>
        <w:tblInd w:type="dxa" w:w="160"/>
      </w:tblPr>
      <w:tblGrid>
        <w:gridCol w:w="8856"/>
      </w:tblGrid>
      <w:tr>
        <w:trPr>
          <w:tblHeader w:val="true"/>
        </w:trPr>
        <w:tc>
          <w:tcPr>
            <w:tcW w:type="dxa" w:w="8856"/>
            <w:shd w:fill="FBF5E5"/>
            <w:tcMar>
              <w:top w:w="120" w:type="dxa"/>
              <w:start w:w="160" w:type="dxa"/>
              <w:bottom w:w="120" w:type="dxa"/>
              <w:end w:w="160" w:type="dxa"/>
            </w:tcMar>
          </w:tcPr>
          <w:p>
            <w:pPr>
              <w:pStyle w:val="PolicyNote"/>
              <w:keepLines/>
            </w:pPr>
            <w:r>
              <w:t>Every person receives a secure lifetime floor. People may still work, save, create and become wealthier. The systems built from our shared money must be transparent enough that gains, losses and risks are visible to everyone.</w:t>
            </w:r>
          </w:p>
        </w:tc>
      </w:tr>
    </w:tbl>
    <w:p>
      <w:r>
        <w:br w:type="page"/>
      </w:r>
    </w:p>
    <w:p>
      <w:pPr>
        <w:pStyle w:val="Heading1"/>
      </w:pPr>
      <w:r>
        <w:t>References</w:t>
      </w:r>
    </w:p>
    <w:p>
      <w:pPr>
        <w:pStyle w:val="PolicyNote"/>
      </w:pPr>
      <w:r>
        <w:t>Numeric citations follow a Vancouver-style policy adaptation. Peer-reviewed sources use DOI links; official statistics and administrative records use stable publisher URLs and the evidence cut-off date. Comparator evidence supports components only unless the text states otherwise.</w:t>
      </w:r>
    </w:p>
    <w:p>
      <w:pPr>
        <w:pStyle w:val="Reference"/>
      </w:pPr>
      <w:r>
        <w:rPr>
          <w:b/>
        </w:rPr>
        <w:t xml:space="preserve">1. </w:t>
      </w:r>
      <w:r>
        <w:t xml:space="preserve">National Audit Office. (2024). DWP customer service. </w:t>
      </w:r>
      <w:hyperlink r:id="rId11">
        <w:r>
          <w:rPr>
            <w:color w:val="006D77"/>
            <w:u w:val="single"/>
          </w:rPr>
          <w:t>https://www.nao.org.uk/wp-content/uploads/2024/07/dwp-customer-service.pdf</w:t>
        </w:r>
      </w:hyperlink>
      <w:r>
        <w:t xml:space="preserve"> (accessed 7 September 2026).</w:t>
      </w:r>
    </w:p>
    <w:p>
      <w:pPr>
        <w:pStyle w:val="Reference"/>
      </w:pPr>
      <w:r>
        <w:rPr>
          <w:b/>
        </w:rPr>
        <w:t xml:space="preserve">2. </w:t>
      </w:r>
      <w:r>
        <w:t xml:space="preserve">UK Government. (n.d.). UK charity tax relief statistics. </w:t>
      </w:r>
      <w:hyperlink r:id="rId14">
        <w:r>
          <w:rPr>
            <w:color w:val="006D77"/>
            <w:u w:val="single"/>
          </w:rPr>
          <w:t>https://www.gov.uk/government/statistics/uk-charity-tax-relief-statistics/uk-charity-tax-relief-statistics-commentary</w:t>
        </w:r>
      </w:hyperlink>
      <w:r>
        <w:t xml:space="preserve"> (accessed 7 September 2026).</w:t>
      </w:r>
    </w:p>
    <w:p>
      <w:pPr>
        <w:pStyle w:val="Reference"/>
      </w:pPr>
      <w:r>
        <w:rPr>
          <w:b/>
        </w:rPr>
        <w:t xml:space="preserve">3. </w:t>
      </w:r>
      <w:r>
        <w:t xml:space="preserve">Verho, J., Hämäläinen, K., &amp; Kanninen, O. (2022). Removing welfare traps: Employment responses in the Finnish basic income experiment. American Economic Journal: Economic Policy, 14(1), 501–522. </w:t>
      </w:r>
      <w:hyperlink r:id="rId16">
        <w:r>
          <w:rPr>
            <w:color w:val="006D77"/>
            <w:u w:val="single"/>
          </w:rPr>
          <w:t>https://doi.org/10.1257/pol.20200143</w:t>
        </w:r>
      </w:hyperlink>
      <w:r/>
    </w:p>
    <w:p>
      <w:pPr>
        <w:pStyle w:val="Reference"/>
      </w:pPr>
      <w:r>
        <w:rPr>
          <w:b/>
        </w:rPr>
        <w:t xml:space="preserve">4. </w:t>
      </w:r>
      <w:r>
        <w:t xml:space="preserve">Finland Ministry of Social Affairs and Health. (n.d.). Official results. </w:t>
      </w:r>
      <w:hyperlink r:id="rId17">
        <w:r>
          <w:rPr>
            <w:color w:val="006D77"/>
            <w:u w:val="single"/>
          </w:rPr>
          <w:t>https://stm.fi/en/-/perustulokokeilun-tulokset-tyollisyysvaikutukset-vahaisia-toimeentulo-ja-psyykkinen-terveys-koettiin-paremmaksi</w:t>
        </w:r>
      </w:hyperlink>
      <w:r>
        <w:t xml:space="preserve"> (accessed 7 September 2026).</w:t>
      </w:r>
    </w:p>
    <w:p>
      <w:pPr>
        <w:pStyle w:val="Reference"/>
      </w:pPr>
      <w:r>
        <w:rPr>
          <w:b/>
        </w:rPr>
        <w:t xml:space="preserve">5. </w:t>
      </w:r>
      <w:r>
        <w:t xml:space="preserve">Alaska Department of Revenue. (2024). Alaska annual report. </w:t>
      </w:r>
      <w:hyperlink r:id="rId18">
        <w:r>
          <w:rPr>
            <w:color w:val="006D77"/>
            <w:u w:val="single"/>
          </w:rPr>
          <w:t>https://pfd.alaska.gov/docs/permanentfunddividendlibraries/annual-reports/2024-pfd-annual-report.pdf</w:t>
        </w:r>
      </w:hyperlink>
      <w:r>
        <w:t xml:space="preserve"> (accessed 7 September 2026).</w:t>
      </w:r>
    </w:p>
    <w:p>
      <w:pPr>
        <w:pStyle w:val="Reference"/>
      </w:pPr>
      <w:r>
        <w:rPr>
          <w:b/>
        </w:rPr>
        <w:t xml:space="preserve">6. </w:t>
      </w:r>
      <w:r>
        <w:t xml:space="preserve">Jones, D., &amp; Marinescu, I. E. (2022). The labor market impacts of universal and permanent cash transfers: Evidence from the Alaska Permanent Fund. American Economic Journal: Economic Policy, 14(2), 315–340. </w:t>
      </w:r>
      <w:hyperlink r:id="rId19">
        <w:r>
          <w:rPr>
            <w:color w:val="006D77"/>
            <w:u w:val="single"/>
          </w:rPr>
          <w:t>https://doi.org/10.1257/pol.20190299</w:t>
        </w:r>
      </w:hyperlink>
      <w:r/>
    </w:p>
    <w:p>
      <w:pPr>
        <w:pStyle w:val="Reference"/>
      </w:pPr>
      <w:r>
        <w:rPr>
          <w:b/>
        </w:rPr>
        <w:t xml:space="preserve">7. </w:t>
      </w:r>
      <w:r>
        <w:t xml:space="preserve">treasury.govt.nz. (2026). NZ estimates. </w:t>
      </w:r>
      <w:hyperlink r:id="rId20">
        <w:r>
          <w:rPr>
            <w:color w:val="006D77"/>
            <w:u w:val="single"/>
          </w:rPr>
          <w:t>https://www.treasury.govt.nz/sites/default/files/2026-05/est26-v9-socdev.pdf</w:t>
        </w:r>
      </w:hyperlink>
      <w:r>
        <w:t xml:space="preserve"> (accessed 7 September 2026).</w:t>
      </w:r>
    </w:p>
    <w:p>
      <w:pPr>
        <w:pStyle w:val="Reference"/>
      </w:pPr>
      <w:r>
        <w:rPr>
          <w:b/>
        </w:rPr>
        <w:t xml:space="preserve">8. </w:t>
      </w:r>
      <w:r>
        <w:t xml:space="preserve">msd.govt.nz. (2026). NZS data. </w:t>
      </w:r>
      <w:hyperlink r:id="rId21">
        <w:r>
          <w:rPr>
            <w:color w:val="006D77"/>
            <w:u w:val="single"/>
          </w:rPr>
          <w:t>https://www.msd.govt.nz/documents/about-msd-and-our-work/publications-resources/statistics/benefit/2026/quarterly-benefit-fact-sheets-nzs-and-vp-tables-june-2026.xlsx</w:t>
        </w:r>
      </w:hyperlink>
      <w:r>
        <w:t xml:space="preserve"> (accessed 7 September 2026).</w:t>
      </w:r>
    </w:p>
    <w:p>
      <w:pPr>
        <w:pStyle w:val="Reference"/>
      </w:pPr>
      <w:r>
        <w:rPr>
          <w:b/>
        </w:rPr>
        <w:t xml:space="preserve">9. </w:t>
      </w:r>
      <w:r>
        <w:t xml:space="preserve">unicef.org. (2020). UNICEF case study. </w:t>
      </w:r>
      <w:hyperlink r:id="rId22">
        <w:r>
          <w:rPr>
            <w:color w:val="006D77"/>
            <w:u w:val="single"/>
          </w:rPr>
          <w:t>https://www.unicef.org/media/70456/file/IRN-case-study-2020.pdf</w:t>
        </w:r>
      </w:hyperlink>
      <w:r>
        <w:t xml:space="preserve"> (accessed 7 September 2026).</w:t>
      </w:r>
    </w:p>
    <w:p>
      <w:pPr>
        <w:pStyle w:val="Reference"/>
      </w:pPr>
      <w:r>
        <w:rPr>
          <w:b/>
        </w:rPr>
        <w:t xml:space="preserve">10. </w:t>
      </w:r>
      <w:r>
        <w:t xml:space="preserve">Salehi-Isfahani, D., &amp; Mostafavi-Dehzooei, M. H. (2018). Cash transfers and labor supply: Evidence from a large-scale program in Iran. Journal of Development Economics, 135, 349–367. </w:t>
      </w:r>
      <w:hyperlink r:id="rId23">
        <w:r>
          <w:rPr>
            <w:color w:val="006D77"/>
            <w:u w:val="single"/>
          </w:rPr>
          <w:t>https://doi.org/10.1016/j.jdeveco.2018.08.005</w:t>
        </w:r>
      </w:hyperlink>
      <w:r/>
    </w:p>
    <w:p>
      <w:pPr>
        <w:pStyle w:val="Reference"/>
      </w:pPr>
      <w:r>
        <w:rPr>
          <w:b/>
        </w:rPr>
        <w:t xml:space="preserve">11. </w:t>
      </w:r>
      <w:r>
        <w:t xml:space="preserve">National Audit Office. (2024). NAO UC report. </w:t>
      </w:r>
      <w:hyperlink r:id="rId24">
        <w:r>
          <w:rPr>
            <w:color w:val="006D77"/>
            <w:u w:val="single"/>
          </w:rPr>
          <w:t>https://www.nao.org.uk/wp-content/uploads/2024/02/progress-in-implementing-universal-credit-report.pdf</w:t>
        </w:r>
      </w:hyperlink>
      <w:r>
        <w:t xml:space="preserve"> (accessed 7 September 2026).</w:t>
      </w:r>
    </w:p>
    <w:p>
      <w:pPr>
        <w:pStyle w:val="Reference"/>
      </w:pPr>
      <w:r>
        <w:rPr>
          <w:b/>
        </w:rPr>
        <w:t xml:space="preserve">12. </w:t>
      </w:r>
      <w:r>
        <w:t xml:space="preserve">Muralidharan, K., Niehaus, P., &amp; Sukhtankar, S. (2016). Building state capacity: Evidence from biometric Smartcards in India. American Economic Review, 106(10), 2895–2929. </w:t>
      </w:r>
      <w:hyperlink r:id="rId25">
        <w:r>
          <w:rPr>
            <w:color w:val="006D77"/>
            <w:u w:val="single"/>
          </w:rPr>
          <w:t>https://doi.org/10.1257/aer.20141346</w:t>
        </w:r>
      </w:hyperlink>
      <w:r/>
    </w:p>
    <w:p>
      <w:pPr>
        <w:pStyle w:val="Reference"/>
      </w:pPr>
      <w:r>
        <w:rPr>
          <w:b/>
        </w:rPr>
        <w:t xml:space="preserve">13. </w:t>
      </w:r>
      <w:r>
        <w:t xml:space="preserve">Muralidharan, K., Niehaus, P., &amp; Sukhtankar, S. (2025). Identity verification standards in welfare programs: Experimental evidence from India. Review of Economics and Statistics, 107(2), 372–392. </w:t>
      </w:r>
      <w:hyperlink r:id="rId26">
        <w:r>
          <w:rPr>
            <w:color w:val="006D77"/>
            <w:u w:val="single"/>
          </w:rPr>
          <w:t>https://doi.org/10.1162/rest_a_01296</w:t>
        </w:r>
      </w:hyperlink>
      <w:r/>
    </w:p>
    <w:p>
      <w:pPr>
        <w:pStyle w:val="Reference"/>
      </w:pPr>
      <w:r>
        <w:rPr>
          <w:b/>
        </w:rPr>
        <w:t xml:space="preserve">14. </w:t>
      </w:r>
      <w:r>
        <w:t xml:space="preserve">International Policy Centre for Inclusive Growth. (n.d.). Soares et al.. </w:t>
      </w:r>
      <w:hyperlink r:id="rId27">
        <w:r>
          <w:rPr>
            <w:color w:val="006D77"/>
            <w:u w:val="single"/>
          </w:rPr>
          <w:t>https://ipcid.org/sites/default/files/pub/en/IPCWorkingPaper71.pdf</w:t>
        </w:r>
      </w:hyperlink>
      <w:r>
        <w:t xml:space="preserve"> (accessed 7 September 2026).</w:t>
      </w:r>
    </w:p>
    <w:p>
      <w:pPr>
        <w:pStyle w:val="Reference"/>
      </w:pPr>
      <w:r>
        <w:rPr>
          <w:b/>
        </w:rPr>
        <w:t xml:space="preserve">15. </w:t>
      </w:r>
      <w:r>
        <w:t xml:space="preserve">World Bank. (n.d.). World Bank completion report. </w:t>
      </w:r>
      <w:hyperlink r:id="rId28">
        <w:r>
          <w:rPr>
            <w:color w:val="006D77"/>
            <w:u w:val="single"/>
          </w:rPr>
          <w:t>https://documents1.worldbank.org/curated/en/578141568314136393/pdf/Brazil-Second-Bolsa-Familia-Project.pdf</w:t>
        </w:r>
      </w:hyperlink>
      <w:r>
        <w:t xml:space="preserve"> (accessed 7 September 2026).</w:t>
      </w:r>
    </w:p>
    <w:p>
      <w:pPr>
        <w:pStyle w:val="Reference"/>
      </w:pPr>
      <w:r>
        <w:rPr>
          <w:b/>
        </w:rPr>
        <w:t xml:space="preserve">16. </w:t>
      </w:r>
      <w:r>
        <w:t xml:space="preserve">World Bank. (n.d.). World Bank. </w:t>
      </w:r>
      <w:hyperlink r:id="rId29">
        <w:r>
          <w:rPr>
            <w:color w:val="006D77"/>
            <w:u w:val="single"/>
          </w:rPr>
          <w:t>https://documents1.worldbank.org/curated/en/745871522848339938/pdf/Public-Sector-Savings-and-Revenue-from-Identification-Systems-Opportunities-and-Constraints.pdf</w:t>
        </w:r>
      </w:hyperlink>
      <w:r>
        <w:t xml:space="preserve"> (accessed 7 September 2026).</w:t>
      </w:r>
    </w:p>
    <w:p>
      <w:pPr>
        <w:pStyle w:val="Reference"/>
      </w:pPr>
      <w:r>
        <w:rPr>
          <w:b/>
        </w:rPr>
        <w:t xml:space="preserve">17. </w:t>
      </w:r>
      <w:r>
        <w:t xml:space="preserve">National Audit Office of Estonia. (n.d.). Estonian audit. </w:t>
      </w:r>
      <w:hyperlink r:id="rId30">
        <w:r>
          <w:rPr>
            <w:color w:val="006D77"/>
            <w:u w:val="single"/>
          </w:rPr>
          <w:t>https://www.riigikontroll.ee/en/audits/information-technology-investments-and-costs-public-institutions</w:t>
        </w:r>
      </w:hyperlink>
      <w:r>
        <w:t xml:space="preserve"> (accessed 7 September 2026).</w:t>
      </w:r>
    </w:p>
    <w:p>
      <w:pPr>
        <w:pStyle w:val="Reference"/>
      </w:pPr>
      <w:r>
        <w:rPr>
          <w:b/>
        </w:rPr>
        <w:t xml:space="preserve">18. </w:t>
      </w:r>
      <w:r>
        <w:t xml:space="preserve">UK Government. (n.d.). NWF priorities. </w:t>
      </w:r>
      <w:hyperlink r:id="rId31">
        <w:r>
          <w:rPr>
            <w:color w:val="006D77"/>
            <w:u w:val="single"/>
          </w:rPr>
          <w:t>https://www.gov.uk/government/publications/statement-of-strategic-priorities-to-the-national-wealth-fund/statement-of-strategic-priorities-to-the-national-wealth-fund-html</w:t>
        </w:r>
      </w:hyperlink>
      <w:r>
        <w:t xml:space="preserve"> (accessed 7 September 2026).</w:t>
      </w:r>
    </w:p>
    <w:p>
      <w:pPr>
        <w:pStyle w:val="Reference"/>
      </w:pPr>
      <w:r>
        <w:rPr>
          <w:b/>
        </w:rPr>
        <w:t xml:space="preserve">19. </w:t>
      </w:r>
      <w:r>
        <w:t xml:space="preserve">KfW. (n.d.). KfW results. </w:t>
      </w:r>
      <w:hyperlink r:id="rId32">
        <w:r>
          <w:rPr>
            <w:color w:val="006D77"/>
            <w:u w:val="single"/>
          </w:rPr>
          <w:t>https://www.kfw.de/About-KfW/Newsroom/Latest-News/Pressemitteilungen-Details_886400.html</w:t>
        </w:r>
      </w:hyperlink>
      <w:r>
        <w:t xml:space="preserve"> (accessed 7 September 2026).</w:t>
      </w:r>
    </w:p>
    <w:p>
      <w:pPr>
        <w:pStyle w:val="Reference"/>
      </w:pPr>
      <w:r>
        <w:rPr>
          <w:b/>
        </w:rPr>
        <w:t xml:space="preserve">20. </w:t>
      </w:r>
      <w:r>
        <w:t xml:space="preserve">Lindert, K., Karippacheril, T. G., Caillava, I. R., &amp; Chávez, K. N. (Eds.). (2020). Sourcebook on the foundations of social protection delivery systems. World Bank. </w:t>
      </w:r>
      <w:hyperlink r:id="rId33">
        <w:r>
          <w:rPr>
            <w:color w:val="006D77"/>
            <w:u w:val="single"/>
          </w:rPr>
          <w:t>https://doi.org/10.1596/978-1-4648-1577-5</w:t>
        </w:r>
      </w:hyperlink>
      <w:r/>
    </w:p>
    <w:p>
      <w:pPr>
        <w:pStyle w:val="Reference"/>
      </w:pPr>
      <w:r>
        <w:rPr>
          <w:b/>
        </w:rPr>
        <w:t xml:space="preserve">21. </w:t>
      </w:r>
      <w:r>
        <w:t xml:space="preserve">Kaur, S., Mullainathan, S., Oh, S., &amp; Schilbach, F. (2025). Do financial concerns make workers less productive? Quarterly Journal of Economics, 140(1), 635–689. </w:t>
      </w:r>
      <w:hyperlink r:id="rId34">
        <w:r>
          <w:rPr>
            <w:color w:val="006D77"/>
            <w:u w:val="single"/>
          </w:rPr>
          <w:t>https://doi.org/10.1093/qje/qjae038</w:t>
        </w:r>
      </w:hyperlink>
      <w:r/>
    </w:p>
    <w:p>
      <w:pPr>
        <w:pStyle w:val="Reference"/>
      </w:pPr>
      <w:r>
        <w:rPr>
          <w:b/>
        </w:rPr>
        <w:t xml:space="preserve">22. </w:t>
      </w:r>
      <w:r>
        <w:t xml:space="preserve">Vivalt, E., Rhodes, E., Bartik, A. W., Broockman, D. E., Krause, P. K., &amp; Miller, S. (2026). The employment effects of a guaranteed income. Quarterly Journal of Economics, qjag042. </w:t>
      </w:r>
      <w:hyperlink r:id="rId35">
        <w:r>
          <w:rPr>
            <w:color w:val="006D77"/>
            <w:u w:val="single"/>
          </w:rPr>
          <w:t>https://doi.org/10.1093/qje/qjag042</w:t>
        </w:r>
      </w:hyperlink>
      <w:r/>
    </w:p>
    <w:p>
      <w:pPr>
        <w:pStyle w:val="Reference"/>
      </w:pPr>
      <w:r>
        <w:rPr>
          <w:b/>
        </w:rPr>
        <w:t xml:space="preserve">23. </w:t>
      </w:r>
      <w:r>
        <w:t xml:space="preserve">Bloom, N., Liang, J., Roberts, J., &amp; Ying, Z. J. (2015). Does working from home work? Evidence from a Chinese experiment. Quarterly Journal of Economics, 130(1), 165–218. </w:t>
      </w:r>
      <w:hyperlink r:id="rId36">
        <w:r>
          <w:rPr>
            <w:color w:val="006D77"/>
            <w:u w:val="single"/>
          </w:rPr>
          <w:t>https://doi.org/10.1093/qje/qju032</w:t>
        </w:r>
      </w:hyperlink>
      <w:r/>
    </w:p>
    <w:p>
      <w:pPr>
        <w:pStyle w:val="Reference"/>
      </w:pPr>
      <w:r>
        <w:rPr>
          <w:b/>
        </w:rPr>
        <w:t xml:space="preserve">24. </w:t>
      </w:r>
      <w:r>
        <w:t xml:space="preserve">Bloom, N., Han, R., &amp; Liang, J. (2024). Hybrid working from home improves retention without damaging performance. Nature, 630, 920–925. </w:t>
      </w:r>
      <w:hyperlink r:id="rId37">
        <w:r>
          <w:rPr>
            <w:color w:val="006D77"/>
            <w:u w:val="single"/>
          </w:rPr>
          <w:t>https://doi.org/10.1038/s41586-024-07500-2</w:t>
        </w:r>
      </w:hyperlink>
      <w:r/>
    </w:p>
    <w:p>
      <w:pPr>
        <w:pStyle w:val="Reference"/>
      </w:pPr>
      <w:r>
        <w:rPr>
          <w:b/>
        </w:rPr>
        <w:t xml:space="preserve">25. </w:t>
      </w:r>
      <w:r>
        <w:t xml:space="preserve">Kesavan, S., Lambert, S. J., Williams, J. C., &amp; Pendem, P. K. (2022). Doing well by doing good: Improving retail store performance with responsible scheduling practices at the Gap, Inc. Management Science, 68(11), 7818–7836. </w:t>
      </w:r>
      <w:hyperlink r:id="rId38">
        <w:r>
          <w:rPr>
            <w:color w:val="006D77"/>
            <w:u w:val="single"/>
          </w:rPr>
          <w:t>https://doi.org/10.1287/mnsc.2021.4291</w:t>
        </w:r>
      </w:hyperlink>
      <w:r/>
    </w:p>
    <w:p>
      <w:pPr>
        <w:pStyle w:val="Reference"/>
      </w:pPr>
      <w:r>
        <w:rPr>
          <w:b/>
        </w:rPr>
        <w:t xml:space="preserve">26. </w:t>
      </w:r>
      <w:r>
        <w:t xml:space="preserve">UK Government. (n.d.). HSE work-related ill health. </w:t>
      </w:r>
      <w:hyperlink r:id="rId39">
        <w:r>
          <w:rPr>
            <w:color w:val="006D77"/>
            <w:u w:val="single"/>
          </w:rPr>
          <w:t>https://www.hse.gov.uk/statistics/dayslost.htm</w:t>
        </w:r>
      </w:hyperlink>
      <w:r>
        <w:t xml:space="preserve"> (accessed 7 September 2026).</w:t>
      </w:r>
    </w:p>
    <w:p>
      <w:pPr>
        <w:pStyle w:val="Reference"/>
      </w:pPr>
      <w:r>
        <w:rPr>
          <w:b/>
        </w:rPr>
        <w:t xml:space="preserve">27. </w:t>
      </w:r>
      <w:r>
        <w:t xml:space="preserve">UK Government. (2026). OBR March 2026 forecast. </w:t>
      </w:r>
      <w:hyperlink r:id="rId42">
        <w:r>
          <w:rPr>
            <w:color w:val="006D77"/>
            <w:u w:val="single"/>
          </w:rPr>
          <w:t>https://www.gov.uk/government/publications/march-2026-economic-and-fiscal-outlook</w:t>
        </w:r>
      </w:hyperlink>
      <w:r>
        <w:t xml:space="preserve"> (accessed 7 September 2026).</w:t>
      </w:r>
    </w:p>
    <w:p>
      <w:pPr>
        <w:pStyle w:val="Reference"/>
      </w:pPr>
      <w:r>
        <w:rPr>
          <w:b/>
        </w:rPr>
        <w:t xml:space="preserve">28. </w:t>
      </w:r>
      <w:r>
        <w:t xml:space="preserve">International Forum of Sovereign Wealth Funds. (n.d.). Santiago Principles. </w:t>
      </w:r>
      <w:hyperlink r:id="rId44">
        <w:r>
          <w:rPr>
            <w:color w:val="006D77"/>
            <w:u w:val="single"/>
          </w:rPr>
          <w:t>https://www.ifswf.org/santiago-principles</w:t>
        </w:r>
      </w:hyperlink>
      <w:r>
        <w:t xml:space="preserve"> (accessed 7 September 2026).</w:t>
      </w:r>
    </w:p>
    <w:p>
      <w:pPr>
        <w:pStyle w:val="Reference"/>
      </w:pPr>
      <w:r>
        <w:rPr>
          <w:b/>
        </w:rPr>
        <w:t xml:space="preserve">29. </w:t>
      </w:r>
      <w:r>
        <w:t xml:space="preserve">UK Government. (n.d.). ONS PSNFL methodology. </w:t>
      </w:r>
      <w:hyperlink r:id="rId45">
        <w:r>
          <w:rPr>
            <w:color w:val="006D77"/>
            <w:u w:val="single"/>
          </w:rPr>
          <w:t>https://www.ons.gov.uk/economy/governmentpublicsectorandtaxes/publicsectorfinance/methodologies/publicsectornetfinancialliabilitiespsnfl</w:t>
        </w:r>
      </w:hyperlink>
      <w:r>
        <w:t xml:space="preserve"> (accessed 7 September 2026).</w:t>
      </w:r>
    </w:p>
    <w:p>
      <w:pPr>
        <w:pStyle w:val="Reference"/>
      </w:pPr>
      <w:r>
        <w:rPr>
          <w:b/>
        </w:rPr>
        <w:t xml:space="preserve">30. </w:t>
      </w:r>
      <w:r>
        <w:t xml:space="preserve">Financial Conduct Authority. (n.d.). FCA cash-savings profitability analysis. </w:t>
      </w:r>
      <w:hyperlink r:id="rId46">
        <w:r>
          <w:rPr>
            <w:color w:val="006D77"/>
            <w:u w:val="single"/>
          </w:rPr>
          <w:t>https://www.fca.org.uk/data/cash-savings-profitability-analysis</w:t>
        </w:r>
      </w:hyperlink>
      <w:r>
        <w:t xml:space="preserve"> (accessed 7 September 2026).</w:t>
      </w:r>
    </w:p>
    <w:p>
      <w:pPr>
        <w:pStyle w:val="Reference"/>
      </w:pPr>
      <w:r>
        <w:rPr>
          <w:b/>
        </w:rPr>
        <w:t xml:space="preserve">31. </w:t>
      </w:r>
      <w:r>
        <w:t xml:space="preserve">Bank of England. (2025). PRA liquidity and funding supervision. </w:t>
      </w:r>
      <w:hyperlink r:id="rId47">
        <w:r>
          <w:rPr>
            <w:color w:val="006D77"/>
            <w:u w:val="single"/>
          </w:rPr>
          <w:t>https://www.bankofengland.co.uk/-/media/boe/files/prudential-regulation/supervisory-statement/2025/ss2415-october-2025</w:t>
        </w:r>
      </w:hyperlink>
      <w:r>
        <w:t xml:space="preserve"> (accessed 7 September 2026).</w:t>
      </w:r>
    </w:p>
    <w:p>
      <w:pPr>
        <w:pStyle w:val="Reference"/>
      </w:pPr>
      <w:r>
        <w:rPr>
          <w:b/>
        </w:rPr>
        <w:t xml:space="preserve">32. </w:t>
      </w:r>
      <w:r>
        <w:t xml:space="preserve">UK Government. (2024). ONS annual mid-year population estimates, mid-2024. </w:t>
      </w:r>
      <w:hyperlink r:id="rId48">
        <w:r>
          <w:rPr>
            <w:color w:val="006D77"/>
            <w:u w:val="single"/>
          </w:rPr>
          <w:t>https://www.ons.gov.uk/peoplepopulationandcommunity/populationandmigration/populationestimates/bulletins/annualmidyearpopulationestimates/mid2024</w:t>
        </w:r>
      </w:hyperlink>
      <w:r>
        <w:t xml:space="preserve"> (accessed 7 September 2026).</w:t>
      </w:r>
    </w:p>
    <w:p>
      <w:pPr>
        <w:pStyle w:val="Reference"/>
      </w:pPr>
      <w:r>
        <w:rPr>
          <w:b/>
        </w:rPr>
        <w:t xml:space="preserve">33. </w:t>
      </w:r>
      <w:r>
        <w:t xml:space="preserve">UK Government. (2023). HMRC personal incomes statistics, 2023-24. </w:t>
      </w:r>
      <w:hyperlink r:id="rId49">
        <w:r>
          <w:rPr>
            <w:color w:val="006D77"/>
            <w:u w:val="single"/>
          </w:rPr>
          <w:t>https://www.gov.uk/government/statistics/personal-incomes-statistics-for-the-tax-year-2023-to-2024</w:t>
        </w:r>
      </w:hyperlink>
      <w:r>
        <w:t xml:space="preserve"> (accessed 7 September 2026).</w:t>
      </w:r>
    </w:p>
    <w:p>
      <w:pPr>
        <w:pStyle w:val="Reference"/>
      </w:pPr>
      <w:r>
        <w:rPr>
          <w:b/>
        </w:rPr>
        <w:t xml:space="preserve">34. </w:t>
      </w:r>
      <w:r>
        <w:t xml:space="preserve">UK Government. (n.d.). taxable State benefits. </w:t>
      </w:r>
      <w:hyperlink r:id="rId50">
        <w:r>
          <w:rPr>
            <w:color w:val="006D77"/>
            <w:u w:val="single"/>
          </w:rPr>
          <w:t>https://www.gov.uk/income-tax/taxfree-and-taxable-state-benefits</w:t>
        </w:r>
      </w:hyperlink>
      <w:r>
        <w:t xml:space="preserve"> (accessed 7 September 2026).</w:t>
      </w:r>
    </w:p>
    <w:p>
      <w:pPr>
        <w:pStyle w:val="Reference"/>
      </w:pPr>
      <w:r>
        <w:rPr>
          <w:b/>
        </w:rPr>
        <w:t xml:space="preserve">35. </w:t>
      </w:r>
      <w:r>
        <w:t xml:space="preserve">UK Government. (n.d.). UK Income Tax rates. </w:t>
      </w:r>
      <w:hyperlink r:id="rId51">
        <w:r>
          <w:rPr>
            <w:color w:val="006D77"/>
            <w:u w:val="single"/>
          </w:rPr>
          <w:t>https://www.gov.uk/income-tax-rates</w:t>
        </w:r>
      </w:hyperlink>
      <w:r>
        <w:t xml:space="preserve"> (accessed 7 September 2026).</w:t>
      </w:r>
    </w:p>
    <w:p>
      <w:pPr>
        <w:pStyle w:val="Reference"/>
      </w:pPr>
      <w:r>
        <w:rPr>
          <w:b/>
        </w:rPr>
        <w:t xml:space="preserve">36. </w:t>
      </w:r>
      <w:r>
        <w:t xml:space="preserve">UK Government. (n.d.). Scottish Income Tax. </w:t>
      </w:r>
      <w:hyperlink r:id="rId52">
        <w:r>
          <w:rPr>
            <w:color w:val="006D77"/>
            <w:u w:val="single"/>
          </w:rPr>
          <w:t>https://www.gov.uk/scottish-income-tax</w:t>
        </w:r>
      </w:hyperlink>
      <w:r>
        <w:t xml:space="preserve"> (accessed 7 September 2026).</w:t>
      </w:r>
    </w:p>
    <w:p>
      <w:pPr>
        <w:pStyle w:val="Reference"/>
      </w:pPr>
      <w:r>
        <w:rPr>
          <w:b/>
        </w:rPr>
        <w:t xml:space="preserve">37. </w:t>
      </w:r>
      <w:r>
        <w:t xml:space="preserve">UK Government. (2026). DWP benefit expenditure and caseload tables 2026. </w:t>
      </w:r>
      <w:hyperlink r:id="rId53">
        <w:r>
          <w:rPr>
            <w:color w:val="006D77"/>
            <w:u w:val="single"/>
          </w:rPr>
          <w:t>https://www.gov.uk/government/publications/benefit-expenditure-and-caseload-tables-2026</w:t>
        </w:r>
      </w:hyperlink>
      <w:r>
        <w:t xml:space="preserve"> (accessed 7 September 2026).</w:t>
      </w:r>
    </w:p>
    <w:p>
      <w:pPr>
        <w:pStyle w:val="Reference"/>
      </w:pPr>
      <w:r>
        <w:rPr>
          <w:b/>
        </w:rPr>
        <w:t xml:space="preserve">38. </w:t>
      </w:r>
      <w:r>
        <w:t xml:space="preserve">Scottish Fiscal Commission. (2026). Scottish Fiscal Commission social-security forecast. </w:t>
      </w:r>
      <w:hyperlink r:id="rId54">
        <w:r>
          <w:rPr>
            <w:color w:val="006D77"/>
            <w:u w:val="single"/>
          </w:rPr>
          <w:t>https://fiscalcommission.scot/19-march-2026-social-security-uprating/</w:t>
        </w:r>
      </w:hyperlink>
      <w:r>
        <w:t xml:space="preserve"> (accessed 7 September 2026).</w:t>
      </w:r>
    </w:p>
    <w:p>
      <w:pPr>
        <w:pStyle w:val="Reference"/>
      </w:pPr>
      <w:r>
        <w:rPr>
          <w:b/>
        </w:rPr>
        <w:t xml:space="preserve">39. </w:t>
      </w:r>
      <w:r>
        <w:t xml:space="preserve">UK Government. (2024). DHSC adult social-care finance report, England, 2024-25. </w:t>
      </w:r>
      <w:hyperlink r:id="rId55">
        <w:r>
          <w:rPr>
            <w:color w:val="006D77"/>
            <w:u w:val="single"/>
          </w:rPr>
          <w:t>https://www.gov.uk/government/statistics/adult-social-care-finance-report-england-2024-to-2025/adult-social-care-finance-report-england-2024-to-2025</w:t>
        </w:r>
      </w:hyperlink>
      <w:r>
        <w:t xml:space="preserve"> (accessed 7 September 2026).</w:t>
      </w:r>
    </w:p>
    <w:p>
      <w:pPr>
        <w:pStyle w:val="Reference"/>
      </w:pPr>
      <w:r>
        <w:rPr>
          <w:b/>
        </w:rPr>
        <w:t xml:space="preserve">40. </w:t>
      </w:r>
      <w:r>
        <w:t xml:space="preserve">Bank of England. (2026). Bank of England deposit series. </w:t>
      </w:r>
      <w:hyperlink r:id="rId56">
        <w:r>
          <w:rPr>
            <w:color w:val="006D77"/>
            <w:u w:val="single"/>
          </w:rPr>
          <w:t>https://www.bankofengland.co.uk/boeapps/database/_iadb-fromshowcolumns.asp?csv.x=yes&amp;Datefrom=01/Jul/2026&amp;Dateto=31/Jul/2026&amp;SeriesCodes=LPMVRWI%2CLPMBF88%2CLPMZ3TH%2CLPMZ3TN%2CLPMB4F6%2CLPMVVHR&amp;CSVF=TN&amp;UsingCodes=Y&amp;VPD=Y&amp;VFD=N</w:t>
        </w:r>
      </w:hyperlink>
      <w:r>
        <w:t xml:space="preserve"> (accessed 7 September 2026).</w:t>
      </w:r>
    </w:p>
    <w:p>
      <w:pPr>
        <w:pStyle w:val="Reference"/>
      </w:pPr>
      <w:r>
        <w:rPr>
          <w:b/>
        </w:rPr>
        <w:t xml:space="preserve">41. </w:t>
      </w:r>
      <w:r>
        <w:t xml:space="preserve">Bank of England. (2026). Bank of England effective interest rates, July 2026. </w:t>
      </w:r>
      <w:hyperlink r:id="rId57">
        <w:r>
          <w:rPr>
            <w:color w:val="006D77"/>
            <w:u w:val="single"/>
          </w:rPr>
          <w:t>https://www.bankofengland.co.uk/statistics/effective-interest-rates/2026/july-2026</w:t>
        </w:r>
      </w:hyperlink>
      <w:r>
        <w:t xml:space="preserve"> (accessed 7 September 2026).</w:t>
      </w:r>
    </w:p>
    <w:p>
      <w:pPr>
        <w:pStyle w:val="Reference"/>
      </w:pPr>
      <w:r>
        <w:rPr>
          <w:b/>
        </w:rPr>
        <w:t xml:space="preserve">42. </w:t>
      </w:r>
      <w:r>
        <w:t xml:space="preserve">UK Government. (n.d.). ONS household interest series I69P. </w:t>
      </w:r>
      <w:hyperlink r:id="rId58">
        <w:r>
          <w:rPr>
            <w:color w:val="006D77"/>
            <w:u w:val="single"/>
          </w:rPr>
          <w:t>https://www.ons.gov.uk/economy/grossdomesticproductgdp/timeseries/i69p/ukea</w:t>
        </w:r>
      </w:hyperlink>
      <w:r>
        <w:t xml:space="preserve"> (accessed 7 September 2026).</w:t>
      </w:r>
    </w:p>
    <w:p>
      <w:pPr>
        <w:pStyle w:val="Reference"/>
      </w:pPr>
      <w:r>
        <w:rPr>
          <w:b/>
        </w:rPr>
        <w:t xml:space="preserve">43. </w:t>
      </w:r>
      <w:r>
        <w:t xml:space="preserve">UK Government. (2022). HMRC Income Tax liabilities. </w:t>
      </w:r>
      <w:hyperlink r:id="rId59">
        <w:r>
          <w:rPr>
            <w:color w:val="006D77"/>
            <w:u w:val="single"/>
          </w:rPr>
          <w:t>https://www.gov.uk/government/statistics/income-tax-liabilities-statistics-tax-year-2022-to-2023-to-tax-year-2025-to-2026/bulletin-commentary</w:t>
        </w:r>
      </w:hyperlink>
      <w:r>
        <w:t xml:space="preserve"> (accessed 7 September 2026).</w:t>
      </w:r>
    </w:p>
    <w:p>
      <w:pPr>
        <w:pStyle w:val="Reference"/>
      </w:pPr>
      <w:r>
        <w:rPr>
          <w:b/>
        </w:rPr>
        <w:t xml:space="preserve">44. </w:t>
      </w:r>
      <w:r>
        <w:t xml:space="preserve">UK Government. (2026). HMRC tax-relief statistics. </w:t>
      </w:r>
      <w:hyperlink r:id="rId60">
        <w:r>
          <w:rPr>
            <w:color w:val="006D77"/>
            <w:u w:val="single"/>
          </w:rPr>
          <w:t>https://www.gov.uk/government/statistics/tax-reliefs/tax-relief-statistics-january-2026</w:t>
        </w:r>
      </w:hyperlink>
      <w:r>
        <w:t xml:space="preserve"> (accessed 7 September 2026).</w:t>
      </w:r>
    </w:p>
    <w:p>
      <w:pPr>
        <w:pStyle w:val="Reference"/>
      </w:pPr>
      <w:r>
        <w:rPr>
          <w:b/>
        </w:rPr>
        <w:t xml:space="preserve">45. </w:t>
      </w:r>
      <w:r>
        <w:t xml:space="preserve">UK Government. (n.d.). current savings-interest tax rules. </w:t>
      </w:r>
      <w:hyperlink r:id="rId61">
        <w:r>
          <w:rPr>
            <w:color w:val="006D77"/>
            <w:u w:val="single"/>
          </w:rPr>
          <w:t>https://www.gov.uk/apply-tax-free-interest-on-savings</w:t>
        </w:r>
      </w:hyperlink>
      <w:r>
        <w:t xml:space="preserve"> (accessed 7 September 2026).</w:t>
      </w:r>
    </w:p>
    <w:p>
      <w:pPr>
        <w:pStyle w:val="Reference"/>
      </w:pPr>
      <w:r>
        <w:rPr>
          <w:b/>
        </w:rPr>
        <w:t xml:space="preserve">46. </w:t>
      </w:r>
      <w:r>
        <w:t xml:space="preserve">Financial Conduct Authority. (2024). FCA Financial Lives 2024 cash-savings report. </w:t>
      </w:r>
      <w:hyperlink r:id="rId62">
        <w:r>
          <w:rPr>
            <w:color w:val="006D77"/>
            <w:u w:val="single"/>
          </w:rPr>
          <w:t>https://www.fca.org.uk/publication/financial-lives/fls-2024-cash-savings.pdf</w:t>
        </w:r>
      </w:hyperlink>
      <w:r>
        <w:t xml:space="preserve"> (accessed 7 September 2026).</w:t>
      </w:r>
    </w:p>
    <w:p>
      <w:pPr>
        <w:pStyle w:val="Reference"/>
      </w:pPr>
      <w:r>
        <w:rPr>
          <w:b/>
        </w:rPr>
        <w:t xml:space="preserve">47. </w:t>
      </w:r>
      <w:r>
        <w:t xml:space="preserve">UK Government. (n.d.). Human Rights Act 1998, Schedule 1. </w:t>
      </w:r>
      <w:hyperlink r:id="rId63">
        <w:r>
          <w:rPr>
            <w:color w:val="006D77"/>
            <w:u w:val="single"/>
          </w:rPr>
          <w:t>https://www.legislation.gov.uk/ukpga/1998/42/schedule/1</w:t>
        </w:r>
      </w:hyperlink>
      <w:r>
        <w:t xml:space="preserve"> (accessed 7 September 2026).</w:t>
      </w:r>
    </w:p>
    <w:p>
      <w:pPr>
        <w:pStyle w:val="Reference"/>
      </w:pPr>
      <w:r>
        <w:rPr>
          <w:b/>
        </w:rPr>
        <w:t xml:space="preserve">48. </w:t>
      </w:r>
      <w:r>
        <w:t xml:space="preserve">UK Government. (2010). Equality Act 2010, section 149. </w:t>
      </w:r>
      <w:hyperlink r:id="rId64">
        <w:r>
          <w:rPr>
            <w:color w:val="006D77"/>
            <w:u w:val="single"/>
          </w:rPr>
          <w:t>https://www.legislation.gov.uk/ukpga/2010/15/section/149</w:t>
        </w:r>
      </w:hyperlink>
      <w:r>
        <w:t xml:space="preserve"> (accessed 7 September 2026).</w:t>
      </w:r>
    </w:p>
    <w:p>
      <w:pPr>
        <w:pStyle w:val="Reference"/>
      </w:pPr>
      <w:r>
        <w:rPr>
          <w:b/>
        </w:rPr>
        <w:t xml:space="preserve">49. </w:t>
      </w:r>
      <w:r>
        <w:t xml:space="preserve">UK Government. (2024). NS&amp;I 2024-25 accounts. </w:t>
      </w:r>
      <w:hyperlink r:id="rId65">
        <w:r>
          <w:rPr>
            <w:color w:val="006D77"/>
            <w:u w:val="single"/>
          </w:rPr>
          <w:t>https://www.gov.uk/government/publications/national-savings-and-investments-annual-report-and-accounts-2024-to-2025/national-savings-and-investments-annual-report-and-accounts-and-product-accounts-2024-25-html</w:t>
        </w:r>
      </w:hyperlink>
      <w:r>
        <w:t xml:space="preserve"> (accessed 7 September 2026).</w:t>
      </w:r>
    </w:p>
    <w:p>
      <w:pPr>
        <w:pStyle w:val="Reference"/>
      </w:pPr>
      <w:r>
        <w:rPr>
          <w:b/>
        </w:rPr>
        <w:t xml:space="preserve">50. </w:t>
      </w:r>
      <w:r>
        <w:t xml:space="preserve">UK Government. (2026). Debt Management Report 2026-27. </w:t>
      </w:r>
      <w:hyperlink r:id="rId66">
        <w:r>
          <w:rPr>
            <w:color w:val="006D77"/>
            <w:u w:val="single"/>
          </w:rPr>
          <w:t>https://assets.publishing.service.gov.uk/media/69a6c580b9bd90e63a2521f2/Debt_Management_Report-2026-27.pdf</w:t>
        </w:r>
      </w:hyperlink>
      <w:r>
        <w:t xml:space="preserve"> (accessed 7 September 2026).</w:t>
      </w:r>
    </w:p>
    <w:p>
      <w:pPr>
        <w:pStyle w:val="Reference"/>
      </w:pPr>
      <w:r>
        <w:rPr>
          <w:b/>
        </w:rPr>
        <w:t xml:space="preserve">51. </w:t>
      </w:r>
      <w:r>
        <w:t xml:space="preserve">UK Government. (n.d.). National Wealth Fund framework. </w:t>
      </w:r>
      <w:hyperlink r:id="rId67">
        <w:r>
          <w:rPr>
            <w:color w:val="006D77"/>
            <w:u w:val="single"/>
          </w:rPr>
          <w:t>https://www.gov.uk/government/publications/national-wealth-fund-framework-document/framework-document-national-wealth-fund</w:t>
        </w:r>
      </w:hyperlink>
      <w:r>
        <w:t xml:space="preserve"> (accessed 7 September 2026).</w:t>
      </w:r>
    </w:p>
    <w:p>
      <w:pPr>
        <w:pStyle w:val="Reference"/>
      </w:pPr>
      <w:r>
        <w:rPr>
          <w:b/>
        </w:rPr>
        <w:t xml:space="preserve">52. </w:t>
      </w:r>
      <w:r>
        <w:t xml:space="preserve">UK Government. (2026). National Housing Bank prospectus. </w:t>
      </w:r>
      <w:hyperlink r:id="rId68">
        <w:r>
          <w:rPr>
            <w:color w:val="006D77"/>
            <w:u w:val="single"/>
          </w:rPr>
          <w:t>https://www.gov.uk/government/publications/homes-england-and-national-housing-bank-investment-prospectus-2026/homes-england-and-national-housing-bank-investment-prospectus-2026-html</w:t>
        </w:r>
      </w:hyperlink>
      <w:r>
        <w:t xml:space="preserve"> (accessed 7 September 2026).</w:t>
      </w:r>
    </w:p>
    <w:p>
      <w:pPr>
        <w:pStyle w:val="Reference"/>
      </w:pPr>
      <w:r>
        <w:rPr>
          <w:b/>
        </w:rPr>
        <w:t xml:space="preserve">53. </w:t>
      </w:r>
      <w:r>
        <w:t xml:space="preserve">Audit Scotland. (2025). Audit Scotland on the Scottish National Investment Bank. </w:t>
      </w:r>
      <w:hyperlink r:id="rId69">
        <w:r>
          <w:rPr>
            <w:color w:val="006D77"/>
            <w:u w:val="single"/>
          </w:rPr>
          <w:t>https://audit.scot/uploads/2025-05/nr_250515_scottish_national_investment_bank_pr.pdf</w:t>
        </w:r>
      </w:hyperlink>
      <w:r>
        <w:t xml:space="preserve"> (accessed 7 September 2026).</w:t>
      </w:r>
    </w:p>
    <w:p>
      <w:pPr>
        <w:pStyle w:val="Reference"/>
      </w:pPr>
      <w:r>
        <w:rPr>
          <w:b/>
        </w:rPr>
        <w:t xml:space="preserve">54. </w:t>
      </w:r>
      <w:r>
        <w:t xml:space="preserve">Financial Services Compensation Scheme. (n.d.). FSCS deposit protection. </w:t>
      </w:r>
      <w:hyperlink r:id="rId70">
        <w:r>
          <w:rPr>
            <w:color w:val="006D77"/>
            <w:u w:val="single"/>
          </w:rPr>
          <w:t>https://protected.fscs.org.uk/what-we-cover/banks-building-societies-credit-unions/deposit-limit/</w:t>
        </w:r>
      </w:hyperlink>
      <w:r>
        <w:t xml:space="preserve"> (accessed 7 September 2026).</w:t>
      </w:r>
    </w:p>
    <w:p>
      <w:pPr>
        <w:pStyle w:val="Reference"/>
      </w:pPr>
      <w:r>
        <w:rPr>
          <w:b/>
        </w:rPr>
        <w:t xml:space="preserve">55. </w:t>
      </w:r>
      <w:r>
        <w:t xml:space="preserve">UK Government. (2025). 2025 Mortgage Guarantee Scheme rules. </w:t>
      </w:r>
      <w:hyperlink r:id="rId71">
        <w:r>
          <w:rPr>
            <w:color w:val="006D77"/>
            <w:u w:val="single"/>
          </w:rPr>
          <w:t>https://www.gov.uk/government/publications/2025-mortgage-guarantee-scheme/2025-mortgage-guarantee-scheme-rules-accessible</w:t>
        </w:r>
      </w:hyperlink>
      <w:r>
        <w:t xml:space="preserve"> (accessed 7 September 2026).</w:t>
      </w:r>
    </w:p>
    <w:p>
      <w:pPr>
        <w:pStyle w:val="Reference"/>
      </w:pPr>
      <w:r>
        <w:rPr>
          <w:b/>
        </w:rPr>
        <w:t xml:space="preserve">56. </w:t>
      </w:r>
      <w:r>
        <w:t xml:space="preserve">UK Government. (n.d.). Mortgage Charter. </w:t>
      </w:r>
      <w:hyperlink r:id="rId72">
        <w:r>
          <w:rPr>
            <w:color w:val="006D77"/>
            <w:u w:val="single"/>
          </w:rPr>
          <w:t>https://www.gov.uk/government/publications/mortgage-charter/mortgage-charter</w:t>
        </w:r>
      </w:hyperlink>
      <w:r>
        <w:t xml:space="preserve"> (accessed 7 September 2026).</w:t>
      </w:r>
    </w:p>
    <w:p>
      <w:pPr>
        <w:pStyle w:val="Reference"/>
      </w:pPr>
      <w:r>
        <w:rPr>
          <w:b/>
        </w:rPr>
        <w:t xml:space="preserve">57. </w:t>
      </w:r>
      <w:r>
        <w:t xml:space="preserve">Bank of England. (n.d.). Bank of England SONIA benchmark. </w:t>
      </w:r>
      <w:hyperlink r:id="rId73">
        <w:r>
          <w:rPr>
            <w:color w:val="006D77"/>
            <w:u w:val="single"/>
          </w:rPr>
          <w:t>https://www.bankofengland.co.uk/markets/sonia-benchmark</w:t>
        </w:r>
      </w:hyperlink>
      <w:r>
        <w:t xml:space="preserve"> (accessed 7 September 2026).</w:t>
      </w:r>
    </w:p>
    <w:p>
      <w:pPr>
        <w:pStyle w:val="Reference"/>
      </w:pPr>
      <w:r>
        <w:rPr>
          <w:b/>
        </w:rPr>
        <w:t xml:space="preserve">58. </w:t>
      </w:r>
      <w:r>
        <w:t xml:space="preserve">UK Government. (2025). ONS classification discussion. </w:t>
      </w:r>
      <w:hyperlink r:id="rId74">
        <w:r>
          <w:rPr>
            <w:color w:val="006D77"/>
            <w:u w:val="single"/>
          </w:rPr>
          <w:t>https://www.ons.gov.uk/economy/governmentpublicsectorandtaxes/publicsectorfinance/articles/lookingaheaddevelopmentsinpublicsectorfinancestatistics/2025</w:t>
        </w:r>
      </w:hyperlink>
      <w:r>
        <w:t xml:space="preserve"> (accessed 7 September 2026).</w:t>
      </w:r>
    </w:p>
    <w:p>
      <w:pPr>
        <w:pStyle w:val="Reference"/>
      </w:pPr>
      <w:r>
        <w:rPr>
          <w:b/>
        </w:rPr>
        <w:t xml:space="preserve">59. </w:t>
      </w:r>
      <w:r>
        <w:t xml:space="preserve">UK Government. (2026). ONS on consolidation of public-sector gilt holdings. </w:t>
      </w:r>
      <w:hyperlink r:id="rId75">
        <w:r>
          <w:rPr>
            <w:color w:val="006D77"/>
            <w:u w:val="single"/>
          </w:rPr>
          <w:t>https://www.ons.gov.uk/economy/governmentpublicsectorandtaxes/publicsectorfinance/articles/lookingaheaddevelopmentsinpublicsectorfinancestatistics/2026</w:t>
        </w:r>
      </w:hyperlink>
      <w:r>
        <w:t xml:space="preserve"> (accessed 7 September 2026).</w:t>
      </w:r>
    </w:p>
    <w:p>
      <w:pPr>
        <w:pStyle w:val="Reference"/>
      </w:pPr>
      <w:r>
        <w:rPr>
          <w:b/>
        </w:rPr>
        <w:t xml:space="preserve">60. </w:t>
      </w:r>
      <w:r>
        <w:t xml:space="preserve">UK Government. (2025). ONS treatment of public development-bank loans and equity. </w:t>
      </w:r>
      <w:hyperlink r:id="rId76">
        <w:r>
          <w:rPr>
            <w:color w:val="006D77"/>
            <w:u w:val="single"/>
          </w:rPr>
          <w:t>https://www.ons.gov.uk/economy/governmentpublicsectorandtaxes/publicsectorfinance/articles/developmentofpublicsectorfinancestatistics/august2025</w:t>
        </w:r>
      </w:hyperlink>
      <w:r>
        <w:t xml:space="preserve"> (accessed 7 September 2026).</w:t>
      </w:r>
    </w:p>
    <w:p>
      <w:pPr>
        <w:pStyle w:val="Reference"/>
      </w:pPr>
      <w:r>
        <w:rPr>
          <w:b/>
        </w:rPr>
        <w:t xml:space="preserve">61. </w:t>
      </w:r>
      <w:r>
        <w:t xml:space="preserve">UK Government. (2026). Debt Management Report 2026-27. </w:t>
      </w:r>
      <w:hyperlink r:id="rId77">
        <w:r>
          <w:rPr>
            <w:color w:val="006D77"/>
            <w:u w:val="single"/>
          </w:rPr>
          <w:t>https://www.gov.uk/government/publications/debt-management-report-2026-27/debt-management-report-2026-27</w:t>
        </w:r>
      </w:hyperlink>
      <w:r>
        <w:t xml:space="preserve"> (accessed 7 September 2026).</w:t>
      </w:r>
    </w:p>
    <w:p>
      <w:pPr>
        <w:pStyle w:val="Reference"/>
      </w:pPr>
      <w:r>
        <w:rPr>
          <w:b/>
        </w:rPr>
        <w:t xml:space="preserve">62. </w:t>
      </w:r>
      <w:r>
        <w:t xml:space="preserve">UK Government. (2026). Managing Public Money, sections 5.8-5.9 and Annex 5.6. </w:t>
      </w:r>
      <w:hyperlink r:id="rId78">
        <w:r>
          <w:rPr>
            <w:color w:val="006D77"/>
            <w:u w:val="single"/>
          </w:rPr>
          <w:t>https://assets.publishing.service.gov.uk/media/69e0b17861d2e8e9b9e42e13/Managing_Public_Money_-_April_2026.pdf</w:t>
        </w:r>
      </w:hyperlink>
      <w:r>
        <w:t xml:space="preserve"> (accessed 7 September 2026).</w:t>
      </w:r>
    </w:p>
    <w:p>
      <w:pPr>
        <w:pStyle w:val="Reference"/>
      </w:pPr>
      <w:r>
        <w:rPr>
          <w:b/>
        </w:rPr>
        <w:t xml:space="preserve">63. </w:t>
      </w:r>
      <w:r>
        <w:t xml:space="preserve">UK Government. (n.d.). DMO green gilts. </w:t>
      </w:r>
      <w:hyperlink r:id="rId79">
        <w:r>
          <w:rPr>
            <w:color w:val="006D77"/>
            <w:u w:val="single"/>
          </w:rPr>
          <w:t>https://www.dmo.gov.uk/responsibilities/green-gilts/</w:t>
        </w:r>
      </w:hyperlink>
      <w:r>
        <w:t xml:space="preserve"> (accessed 7 September 2026).</w:t>
      </w:r>
    </w:p>
    <w:p>
      <w:pPr>
        <w:pStyle w:val="Reference"/>
      </w:pPr>
      <w:r>
        <w:rPr>
          <w:b/>
        </w:rPr>
        <w:t xml:space="preserve">64. </w:t>
      </w:r>
      <w:r>
        <w:t xml:space="preserve">UK Government. (2011). Budget Responsibility and National Audit Act 2011. </w:t>
      </w:r>
      <w:hyperlink r:id="rId80">
        <w:r>
          <w:rPr>
            <w:color w:val="006D77"/>
            <w:u w:val="single"/>
          </w:rPr>
          <w:t>https://www.legislation.gov.uk/ukpga/2011/4/contents/enacted</w:t>
        </w:r>
      </w:hyperlink>
      <w:r>
        <w:t xml:space="preserve"> (accessed 7 September 2026).</w:t>
      </w:r>
    </w:p>
    <w:p>
      <w:pPr>
        <w:pStyle w:val="Reference"/>
      </w:pPr>
      <w:r>
        <w:rPr>
          <w:b/>
        </w:rPr>
        <w:t xml:space="preserve">65. </w:t>
      </w:r>
      <w:r>
        <w:t xml:space="preserve">UK Parliament. (2024). OBR October 2024 Economic and fiscal outlook. </w:t>
      </w:r>
      <w:hyperlink r:id="rId81">
        <w:r>
          <w:rPr>
            <w:color w:val="006D77"/>
            <w:u w:val="single"/>
          </w:rPr>
          <w:t>https://lordsbusiness.parliament.uk/Document/89565/Pdf?subType=Standard</w:t>
        </w:r>
      </w:hyperlink>
      <w:r>
        <w:t xml:space="preserve"> (accessed 7 September 2026).</w:t>
      </w:r>
    </w:p>
    <w:p>
      <w:pPr>
        <w:pStyle w:val="Reference"/>
      </w:pPr>
      <w:r>
        <w:rPr>
          <w:b/>
        </w:rPr>
        <w:t xml:space="preserve">66. </w:t>
      </w:r>
      <w:r>
        <w:t xml:space="preserve">UK Government. (2026). ONS GDP first quarterly estimate, April to June 2026. </w:t>
      </w:r>
      <w:hyperlink r:id="rId82">
        <w:r>
          <w:rPr>
            <w:color w:val="006D77"/>
            <w:u w:val="single"/>
          </w:rPr>
          <w:t>https://www.ons.gov.uk/economy/grossdomesticproductgdp/bulletins/gdpfirstquarterlyestimateuk/apriltojune2026</w:t>
        </w:r>
      </w:hyperlink>
      <w:r>
        <w:t xml:space="preserve"> (accessed 7 September 2026).</w:t>
      </w:r>
    </w:p>
    <w:p>
      <w:pPr>
        <w:pStyle w:val="Reference"/>
      </w:pPr>
      <w:r>
        <w:rPr>
          <w:b/>
        </w:rPr>
        <w:t xml:space="preserve">67. </w:t>
      </w:r>
      <w:r>
        <w:t xml:space="preserve">UK Government. (2026). OBR Economic and fiscal outlook, March 2026. </w:t>
      </w:r>
      <w:hyperlink r:id="rId83">
        <w:r>
          <w:rPr>
            <w:color w:val="006D77"/>
            <w:u w:val="single"/>
          </w:rPr>
          <w:t>https://assets.publishing.service.gov.uk/media/69a6d7b62e1f4fbda4252208/economic-and-fiscal-outlook-march-2026-web-accessible.pdf</w:t>
        </w:r>
      </w:hyperlink>
      <w:r>
        <w:t xml:space="preserve"> (accessed 7 September 2026).</w:t>
      </w:r>
    </w:p>
    <w:p>
      <w:pPr>
        <w:pStyle w:val="Reference"/>
      </w:pPr>
      <w:r>
        <w:rPr>
          <w:b/>
        </w:rPr>
        <w:t xml:space="preserve">68. </w:t>
      </w:r>
      <w:r>
        <w:t xml:space="preserve">Bank of England. (2026). Bank of England Monetary Policy Report, July 2026. </w:t>
      </w:r>
      <w:hyperlink r:id="rId84">
        <w:r>
          <w:rPr>
            <w:color w:val="006D77"/>
            <w:u w:val="single"/>
          </w:rPr>
          <w:t>https://www.bankofengland.co.uk/monetary-policy-report/2026/july-2026</w:t>
        </w:r>
      </w:hyperlink>
      <w:r>
        <w:t xml:space="preserve"> (accessed 7 September 2026).</w:t>
      </w:r>
    </w:p>
    <w:p>
      <w:pPr>
        <w:pStyle w:val="Reference"/>
      </w:pPr>
      <w:r>
        <w:rPr>
          <w:b/>
        </w:rPr>
        <w:t xml:space="preserve">69. </w:t>
      </w:r>
      <w:r>
        <w:t xml:space="preserve">Office for Budget Responsibility. (n.d.). OBR explanation of dynamic scoring and policy multipliers. </w:t>
      </w:r>
      <w:hyperlink r:id="rId85">
        <w:r>
          <w:rPr>
            <w:color w:val="006D77"/>
            <w:u w:val="single"/>
          </w:rPr>
          <w:t>https://articles.obr.uk/dynamic-scoring-of-policy-measures-in-obr-forecasts/</w:t>
        </w:r>
      </w:hyperlink>
      <w:r>
        <w:t xml:space="preserve"> (accessed 7 September 2026).</w:t>
      </w:r>
    </w:p>
    <w:p>
      <w:pPr>
        <w:pStyle w:val="Reference"/>
      </w:pPr>
      <w:r>
        <w:rPr>
          <w:b/>
        </w:rPr>
        <w:t xml:space="preserve">70. </w:t>
      </w:r>
      <w:r>
        <w:t xml:space="preserve">Scottish Government. (2024). Scottish Government, Economic Impact of a Minimum Income Guarantee, 2024. </w:t>
      </w:r>
      <w:hyperlink r:id="rId86">
        <w:r>
          <w:rPr>
            <w:color w:val="006D77"/>
            <w:u w:val="single"/>
          </w:rPr>
          <w:t>https://www.gov.scot/publications/economic-impact-minimum-income-guarantee-analysis-economic-theory-policy-evidence/pages/6/</w:t>
        </w:r>
      </w:hyperlink>
      <w:r>
        <w:t xml:space="preserve"> (accessed 7 September 2026).</w:t>
      </w:r>
    </w:p>
    <w:p>
      <w:pPr>
        <w:pStyle w:val="Reference"/>
      </w:pPr>
      <w:r>
        <w:rPr>
          <w:b/>
        </w:rPr>
        <w:t xml:space="preserve">71. </w:t>
      </w:r>
      <w:r>
        <w:t xml:space="preserve">Office for Budget Responsibility. (2024). OBR Economic and fiscal outlook, October 2024. </w:t>
      </w:r>
      <w:hyperlink r:id="rId87">
        <w:r>
          <w:rPr>
            <w:color w:val="006D77"/>
            <w:u w:val="single"/>
          </w:rPr>
          <w:t>https://obr.uk/docs/dlm_uploads/OBR_Economic_and_fiscal_outlook_Oct_2024.pdf</w:t>
        </w:r>
      </w:hyperlink>
      <w:r>
        <w:t xml:space="preserve"> (accessed 7 September 2026).</w:t>
      </w:r>
    </w:p>
    <w:p>
      <w:pPr>
        <w:pStyle w:val="Reference"/>
      </w:pPr>
      <w:r>
        <w:rPr>
          <w:b/>
        </w:rPr>
        <w:t xml:space="preserve">72. </w:t>
      </w:r>
      <w:r>
        <w:t xml:space="preserve">UK Government. (2025). DWP Annual Report and Accounts 2025-26. </w:t>
      </w:r>
      <w:hyperlink r:id="rId88">
        <w:r>
          <w:rPr>
            <w:color w:val="006D77"/>
            <w:u w:val="single"/>
          </w:rPr>
          <w:t>https://www.gov.uk/government/publications/dwp-annual-report-and-accounts-2025-to-2026</w:t>
        </w:r>
      </w:hyperlink>
      <w:r>
        <w:t xml:space="preserve"> (accessed 7 September 2026).</w:t>
      </w:r>
    </w:p>
    <w:p>
      <w:pPr>
        <w:pStyle w:val="Reference"/>
      </w:pPr>
      <w:r>
        <w:rPr>
          <w:b/>
        </w:rPr>
        <w:t xml:space="preserve">73. </w:t>
      </w:r>
      <w:r>
        <w:t xml:space="preserve">UK Parliament. (n.d.). Public Accounts Committee on functional assessments. </w:t>
      </w:r>
      <w:hyperlink r:id="rId89">
        <w:r>
          <w:rPr>
            <w:color w:val="006D77"/>
            <w:u w:val="single"/>
          </w:rPr>
          <w:t>https://publications.parliament.uk/pa/cm5804/cmselect/cmpubacc/79/report.html</w:t>
        </w:r>
      </w:hyperlink>
      <w:r>
        <w:t xml:space="preserve"> (accessed 7 September 2026).</w:t>
      </w:r>
    </w:p>
    <w:p>
      <w:pPr>
        <w:pStyle w:val="Reference"/>
      </w:pPr>
      <w:r>
        <w:rPr>
          <w:b/>
        </w:rPr>
        <w:t xml:space="preserve">74. </w:t>
      </w:r>
      <w:r>
        <w:t xml:space="preserve">UK Government. (2025). HMRC Annual Report and Accounts 2025-26. </w:t>
      </w:r>
      <w:hyperlink r:id="rId90">
        <w:r>
          <w:rPr>
            <w:color w:val="006D77"/>
            <w:u w:val="single"/>
          </w:rPr>
          <w:t>https://assets.publishing.service.gov.uk/media/6a4f66c406e7256c331df8a2/HMRC_annual_report_and_accounts_2025_to_2026.pdf</w:t>
        </w:r>
      </w:hyperlink>
      <w:r>
        <w:t xml:space="preserve"> (accessed 7 September 2026).</w:t>
      </w:r>
    </w:p>
    <w:p>
      <w:pPr>
        <w:pStyle w:val="Reference"/>
      </w:pPr>
      <w:r>
        <w:rPr>
          <w:b/>
        </w:rPr>
        <w:t xml:space="preserve">75. </w:t>
      </w:r>
      <w:r>
        <w:t xml:space="preserve">UK Government. (n.d.). changes to charity tax rules. </w:t>
      </w:r>
      <w:hyperlink r:id="rId91">
        <w:r>
          <w:rPr>
            <w:color w:val="006D77"/>
            <w:u w:val="single"/>
          </w:rPr>
          <w:t>https://www.gov.uk/government/publications/changes-to-charity-tax-rules/legislation-to-introduce-changes-to-charity-tax-rules</w:t>
        </w:r>
      </w:hyperlink>
      <w:r>
        <w:t xml:space="preserve"> (accessed 7 September 2026).</w:t>
      </w:r>
    </w:p>
    <w:p>
      <w:pPr>
        <w:pStyle w:val="Reference"/>
      </w:pPr>
      <w:r>
        <w:rPr>
          <w:b/>
        </w:rPr>
        <w:t xml:space="preserve">76. </w:t>
      </w:r>
      <w:r>
        <w:t xml:space="preserve">UK Government. (n.d.). HMRC Bank and Building Society Interest reporting. </w:t>
      </w:r>
      <w:hyperlink r:id="rId92">
        <w:r>
          <w:rPr>
            <w:color w:val="006D77"/>
            <w:u w:val="single"/>
          </w:rPr>
          <w:t>https://www.gov.uk/guidance/bank-and-building-society-interest-returns</w:t>
        </w:r>
      </w:hyperlink>
      <w:r>
        <w:t xml:space="preserve"> (accessed 7 September 2026).</w:t>
      </w:r>
    </w:p>
    <w:p>
      <w:pPr>
        <w:pStyle w:val="Reference"/>
      </w:pPr>
      <w:r>
        <w:rPr>
          <w:b/>
        </w:rPr>
        <w:t xml:space="preserve">77. </w:t>
      </w:r>
      <w:r>
        <w:t xml:space="preserve">UK Government. (n.d.). National Audit Act 1983, Part II. </w:t>
      </w:r>
      <w:hyperlink r:id="rId93">
        <w:r>
          <w:rPr>
            <w:color w:val="006D77"/>
            <w:u w:val="single"/>
          </w:rPr>
          <w:t>https://www.legislation.gov.uk/ukpga/1983/44/part/II</w:t>
        </w:r>
      </w:hyperlink>
      <w:r>
        <w:t xml:space="preserve"> (accessed 7 September 2026).</w:t>
      </w:r>
    </w:p>
    <w:p>
      <w:pPr>
        <w:pStyle w:val="Reference"/>
      </w:pPr>
      <w:r>
        <w:rPr>
          <w:b/>
        </w:rPr>
        <w:t xml:space="preserve">78. </w:t>
      </w:r>
      <w:r>
        <w:t xml:space="preserve">UK Government. (2011). Budget Responsibility and National Audit Act 2011, section 17. </w:t>
      </w:r>
      <w:hyperlink r:id="rId94">
        <w:r>
          <w:rPr>
            <w:color w:val="006D77"/>
            <w:u w:val="single"/>
          </w:rPr>
          <w:t>https://www.legislation.gov.uk/ukpga/2011/4/section/17</w:t>
        </w:r>
      </w:hyperlink>
      <w:r>
        <w:t xml:space="preserve"> (accessed 7 September 2026).</w:t>
      </w:r>
    </w:p>
    <w:p>
      <w:pPr>
        <w:pStyle w:val="Reference"/>
      </w:pPr>
      <w:r>
        <w:rPr>
          <w:b/>
        </w:rPr>
        <w:t xml:space="preserve">79. </w:t>
      </w:r>
      <w:r>
        <w:t xml:space="preserve">UK Parliament. (n.d.). Public Accounts Committee role. </w:t>
      </w:r>
      <w:hyperlink r:id="rId95">
        <w:r>
          <w:rPr>
            <w:color w:val="006D77"/>
            <w:u w:val="single"/>
          </w:rPr>
          <w:t>https://committees.parliament.uk/committee/127/public-accounts-committee/role/</w:t>
        </w:r>
      </w:hyperlink>
      <w:r>
        <w:t xml:space="preserve"> (accessed 7 September 2026).</w:t>
      </w:r>
    </w:p>
    <w:p>
      <w:pPr>
        <w:pStyle w:val="Reference"/>
      </w:pPr>
      <w:r>
        <w:rPr>
          <w:b/>
        </w:rPr>
        <w:t xml:space="preserve">80. </w:t>
      </w:r>
      <w:r>
        <w:t xml:space="preserve">National Audit Office. (n.d.). National Audit Office remit. </w:t>
      </w:r>
      <w:hyperlink r:id="rId96">
        <w:r>
          <w:rPr>
            <w:color w:val="006D77"/>
            <w:u w:val="single"/>
          </w:rPr>
          <w:t>https://www.nao.org.uk/about-us/</w:t>
        </w:r>
      </w:hyperlink>
      <w:r>
        <w:t xml:space="preserve"> (accessed 7 September 2026).</w:t>
      </w:r>
    </w:p>
    <w:p>
      <w:pPr>
        <w:pStyle w:val="Reference"/>
      </w:pPr>
      <w:r>
        <w:rPr>
          <w:b/>
        </w:rPr>
        <w:t xml:space="preserve">81. </w:t>
      </w:r>
      <w:r>
        <w:t xml:space="preserve">UK Government. (n.d.). government open-data API guidance. </w:t>
      </w:r>
      <w:hyperlink r:id="rId97">
        <w:r>
          <w:rPr>
            <w:color w:val="006D77"/>
            <w:u w:val="single"/>
          </w:rPr>
          <w:t>https://guidance.data.gov.uk/get_data/api_documentation/</w:t>
        </w:r>
      </w:hyperlink>
      <w:r>
        <w:t xml:space="preserve"> (accessed 7 September 2026).</w:t>
      </w:r>
    </w:p>
    <w:p>
      <w:pPr>
        <w:pStyle w:val="Reference"/>
      </w:pPr>
      <w:r>
        <w:rPr>
          <w:b/>
        </w:rPr>
        <w:t xml:space="preserve">82. </w:t>
      </w:r>
      <w:r>
        <w:t xml:space="preserve">UK Government. (n.d.). Open Contracting Data Standard profile. </w:t>
      </w:r>
      <w:hyperlink r:id="rId98">
        <w:r>
          <w:rPr>
            <w:color w:val="006D77"/>
            <w:u w:val="single"/>
          </w:rPr>
          <w:t>https://www.gov.uk/government/publications/open-standards-for-government/open-contracting-data-standard-profile</w:t>
        </w:r>
      </w:hyperlink>
      <w:r>
        <w:t xml:space="preserve"> (accessed 7 September 2026).</w:t>
      </w:r>
    </w:p>
    <w:p>
      <w:pPr>
        <w:pStyle w:val="Reference"/>
      </w:pPr>
      <w:r>
        <w:rPr>
          <w:b/>
        </w:rPr>
        <w:t xml:space="preserve">83. </w:t>
      </w:r>
      <w:r>
        <w:t xml:space="preserve">UK Government. (n.d.). Open Government Licence. </w:t>
      </w:r>
      <w:hyperlink r:id="rId99">
        <w:r>
          <w:rPr>
            <w:color w:val="006D77"/>
            <w:u w:val="single"/>
          </w:rPr>
          <w:t>https://www.nationalarchives.gov.uk/doc/open-government-licence/version/3/</w:t>
        </w:r>
      </w:hyperlink>
      <w:r>
        <w:t xml:space="preserve"> (accessed 7 September 2026).</w:t>
      </w:r>
    </w:p>
    <w:p>
      <w:pPr>
        <w:pStyle w:val="Reference"/>
      </w:pPr>
      <w:r>
        <w:rPr>
          <w:b/>
        </w:rPr>
        <w:t xml:space="preserve">84. </w:t>
      </w:r>
      <w:r>
        <w:t xml:space="preserve">UK Government. (n.d.). Code of Practice for Statistics. </w:t>
      </w:r>
      <w:hyperlink r:id="rId100">
        <w:r>
          <w:rPr>
            <w:color w:val="006D77"/>
            <w:u w:val="single"/>
          </w:rPr>
          <w:t>https://code.statisticsauthority.gov.uk/</w:t>
        </w:r>
      </w:hyperlink>
      <w:r>
        <w:t xml:space="preserve"> (accessed 7 September 2026).</w:t>
      </w:r>
    </w:p>
    <w:p>
      <w:pPr>
        <w:pStyle w:val="Reference"/>
      </w:pPr>
      <w:r>
        <w:rPr>
          <w:b/>
        </w:rPr>
        <w:t xml:space="preserve">85. </w:t>
      </w:r>
      <w:r>
        <w:t xml:space="preserve">UK Government. (n.d.). Office for Statistics Regulation accreditation. </w:t>
      </w:r>
      <w:hyperlink r:id="rId101">
        <w:r>
          <w:rPr>
            <w:color w:val="006D77"/>
            <w:u w:val="single"/>
          </w:rPr>
          <w:t>https://osr.statisticsauthority.gov.uk/accredited-official-statistics/</w:t>
        </w:r>
      </w:hyperlink>
      <w:r>
        <w:t xml:space="preserve"> (accessed 7 September 2026).</w:t>
      </w:r>
    </w:p>
    <w:p>
      <w:pPr>
        <w:pStyle w:val="Reference"/>
      </w:pPr>
      <w:r>
        <w:rPr>
          <w:b/>
        </w:rPr>
        <w:t xml:space="preserve">86. </w:t>
      </w:r>
      <w:r>
        <w:t xml:space="preserve">UK Government. (2005). Commissioners for Revenue and Customs Act 2005, section 18. </w:t>
      </w:r>
      <w:hyperlink r:id="rId102">
        <w:r>
          <w:rPr>
            <w:color w:val="006D77"/>
            <w:u w:val="single"/>
          </w:rPr>
          <w:t>https://www.legislation.gov.uk/ukpga/2005/11/section/18</w:t>
        </w:r>
      </w:hyperlink>
      <w:r>
        <w:t xml:space="preserve"> (accessed 7 September 2026).</w:t>
      </w:r>
    </w:p>
    <w:p>
      <w:r>
        <w:br w:type="page"/>
      </w:r>
    </w:p>
    <w:p>
      <w:pPr>
        <w:pStyle w:val="Heading1"/>
      </w:pPr>
      <w:r>
        <w:t>Version control and use</w:t>
      </w:r>
    </w:p>
    <w:tbl>
      <w:tblPr>
        <w:tblW w:type="dxa" w:w="9072"/>
        <w:jc w:val="center"/>
        <w:tblLayout w:type="fixed"/>
        <w:tblLook w:firstColumn="1" w:firstRow="1" w:lastColumn="0" w:lastRow="0" w:noHBand="0" w:noVBand="1" w:val="04A0"/>
        <w:tblInd w:type="dxa" w:w="110"/>
      </w:tblPr>
      <w:tblGrid>
        <w:gridCol w:w="1944"/>
        <w:gridCol w:w="7128"/>
      </w:tblGrid>
      <w:tr>
        <w:trPr>
          <w:cantSplit/>
          <w:tblHeader w:val="true"/>
        </w:trPr>
        <w:tc>
          <w:tcPr>
            <w:tcW w:type="dxa" w:w="1944"/>
            <w:tcMar>
              <w:top w:w="90" w:type="dxa"/>
              <w:start w:w="110" w:type="dxa"/>
              <w:bottom w:w="90" w:type="dxa"/>
              <w:end w:w="110" w:type="dxa"/>
            </w:tcMar>
            <w:shd w:fill="16324F"/>
          </w:tcPr>
          <w:p>
            <w:r>
              <w:rPr>
                <w:b/>
                <w:color w:val="FFFFFF"/>
                <w:sz w:val="17"/>
              </w:rPr>
              <w:t>Document</w:t>
            </w:r>
          </w:p>
        </w:tc>
        <w:tc>
          <w:tcPr>
            <w:tcW w:type="dxa" w:w="7128"/>
            <w:tcMar>
              <w:top w:w="90" w:type="dxa"/>
              <w:start w:w="110" w:type="dxa"/>
              <w:bottom w:w="90" w:type="dxa"/>
              <w:end w:w="110" w:type="dxa"/>
            </w:tcMar>
          </w:tcPr>
          <w:p>
            <w:pPr>
              <w:pStyle w:val="PolicyNote"/>
            </w:pPr>
            <w:r>
              <w:t>Universal Payment and Shared Growth Financial Policy</w:t>
            </w:r>
          </w:p>
        </w:tc>
      </w:tr>
      <w:tr>
        <w:trPr>
          <w:cantSplit/>
        </w:trPr>
        <w:tc>
          <w:tcPr>
            <w:tcW w:type="dxa" w:w="1944"/>
            <w:tcMar>
              <w:top w:w="90" w:type="dxa"/>
              <w:start w:w="110" w:type="dxa"/>
              <w:bottom w:w="90" w:type="dxa"/>
              <w:end w:w="110" w:type="dxa"/>
            </w:tcMar>
            <w:shd w:fill="EAF0F6"/>
          </w:tcPr>
          <w:p>
            <w:r>
              <w:rPr>
                <w:b/>
                <w:color w:val="16324F"/>
                <w:sz w:val="17"/>
              </w:rPr>
              <w:t>Version</w:t>
            </w:r>
          </w:p>
        </w:tc>
        <w:tc>
          <w:tcPr>
            <w:tcW w:type="dxa" w:w="7128"/>
            <w:tcMar>
              <w:top w:w="90" w:type="dxa"/>
              <w:start w:w="110" w:type="dxa"/>
              <w:bottom w:w="90" w:type="dxa"/>
              <w:end w:w="110" w:type="dxa"/>
            </w:tcMar>
          </w:tcPr>
          <w:p>
            <w:pPr>
              <w:pStyle w:val="PolicyNote"/>
            </w:pPr>
            <w:r>
              <w:t>1.0 — framework for serious consideration</w:t>
            </w:r>
          </w:p>
        </w:tc>
      </w:tr>
      <w:tr>
        <w:trPr>
          <w:cantSplit/>
        </w:trPr>
        <w:tc>
          <w:tcPr>
            <w:tcW w:type="dxa" w:w="1944"/>
            <w:tcMar>
              <w:top w:w="90" w:type="dxa"/>
              <w:start w:w="110" w:type="dxa"/>
              <w:bottom w:w="90" w:type="dxa"/>
              <w:end w:w="110" w:type="dxa"/>
            </w:tcMar>
            <w:shd w:fill="EAF0F6"/>
          </w:tcPr>
          <w:p>
            <w:r>
              <w:rPr>
                <w:b/>
                <w:color w:val="16324F"/>
                <w:sz w:val="17"/>
              </w:rPr>
              <w:t>Evidence cut-off</w:t>
            </w:r>
          </w:p>
        </w:tc>
        <w:tc>
          <w:tcPr>
            <w:tcW w:type="dxa" w:w="7128"/>
            <w:tcMar>
              <w:top w:w="90" w:type="dxa"/>
              <w:start w:w="110" w:type="dxa"/>
              <w:bottom w:w="90" w:type="dxa"/>
              <w:end w:w="110" w:type="dxa"/>
            </w:tcMar>
          </w:tcPr>
          <w:p>
            <w:pPr>
              <w:pStyle w:val="PolicyNote"/>
            </w:pPr>
            <w:r>
              <w:t>7 September 2026</w:t>
            </w:r>
          </w:p>
        </w:tc>
      </w:tr>
      <w:tr>
        <w:trPr>
          <w:cantSplit/>
        </w:trPr>
        <w:tc>
          <w:tcPr>
            <w:tcW w:type="dxa" w:w="1944"/>
            <w:tcMar>
              <w:top w:w="90" w:type="dxa"/>
              <w:start w:w="110" w:type="dxa"/>
              <w:bottom w:w="90" w:type="dxa"/>
              <w:end w:w="110" w:type="dxa"/>
            </w:tcMar>
            <w:shd w:fill="EAF0F6"/>
          </w:tcPr>
          <w:p>
            <w:r>
              <w:rPr>
                <w:b/>
                <w:color w:val="16324F"/>
                <w:sz w:val="17"/>
              </w:rPr>
              <w:t>Supersedes</w:t>
            </w:r>
          </w:p>
        </w:tc>
        <w:tc>
          <w:tcPr>
            <w:tcW w:type="dxa" w:w="7128"/>
            <w:tcMar>
              <w:top w:w="90" w:type="dxa"/>
              <w:start w:w="110" w:type="dxa"/>
              <w:bottom w:w="90" w:type="dxa"/>
              <w:end w:w="110" w:type="dxa"/>
            </w:tcMar>
          </w:tcPr>
          <w:p>
            <w:pPr>
              <w:pStyle w:val="PolicyNote"/>
            </w:pPr>
            <w:r>
              <w:t>Does not erase the consolidated working paper; formalises it as a gated financial policy</w:t>
            </w:r>
          </w:p>
        </w:tc>
      </w:tr>
      <w:tr>
        <w:trPr>
          <w:cantSplit/>
        </w:trPr>
        <w:tc>
          <w:tcPr>
            <w:tcW w:type="dxa" w:w="1944"/>
            <w:tcMar>
              <w:top w:w="90" w:type="dxa"/>
              <w:start w:w="110" w:type="dxa"/>
              <w:bottom w:w="90" w:type="dxa"/>
              <w:end w:w="110" w:type="dxa"/>
            </w:tcMar>
            <w:shd w:fill="EAF0F6"/>
          </w:tcPr>
          <w:p>
            <w:r>
              <w:rPr>
                <w:b/>
                <w:color w:val="16324F"/>
                <w:sz w:val="17"/>
              </w:rPr>
              <w:t>Next version</w:t>
            </w:r>
          </w:p>
        </w:tc>
        <w:tc>
          <w:tcPr>
            <w:tcW w:type="dxa" w:w="7128"/>
            <w:tcMar>
              <w:top w:w="90" w:type="dxa"/>
              <w:start w:w="110" w:type="dxa"/>
              <w:bottom w:w="90" w:type="dxa"/>
              <w:end w:w="110" w:type="dxa"/>
            </w:tcMar>
          </w:tcPr>
          <w:p>
            <w:pPr>
              <w:pStyle w:val="PolicyNote"/>
            </w:pPr>
            <w:r>
              <w:t>Version 2 after the Klatou Financial Investigation Workstream and independent official modelling</w:t>
            </w:r>
          </w:p>
        </w:tc>
      </w:tr>
      <w:tr>
        <w:trPr>
          <w:cantSplit/>
        </w:trPr>
        <w:tc>
          <w:tcPr>
            <w:tcW w:type="dxa" w:w="1944"/>
            <w:tcMar>
              <w:top w:w="90" w:type="dxa"/>
              <w:start w:w="110" w:type="dxa"/>
              <w:bottom w:w="90" w:type="dxa"/>
              <w:end w:w="110" w:type="dxa"/>
            </w:tcMar>
            <w:shd w:fill="EAF0F6"/>
          </w:tcPr>
          <w:p>
            <w:r>
              <w:rPr>
                <w:b/>
                <w:color w:val="16324F"/>
                <w:sz w:val="17"/>
              </w:rPr>
              <w:t>Citation rule</w:t>
            </w:r>
          </w:p>
        </w:tc>
        <w:tc>
          <w:tcPr>
            <w:tcW w:type="dxa" w:w="7128"/>
            <w:tcMar>
              <w:top w:w="90" w:type="dxa"/>
              <w:start w:w="110" w:type="dxa"/>
              <w:bottom w:w="90" w:type="dxa"/>
              <w:end w:w="110" w:type="dxa"/>
            </w:tcMar>
          </w:tcPr>
          <w:p>
            <w:pPr>
              <w:pStyle w:val="PolicyNote"/>
            </w:pPr>
            <w:r>
              <w:t>Distinguish official fact, peer-reviewed estimate, modelled comparator, scenario assumption and policy judgement</w:t>
            </w:r>
          </w:p>
        </w:tc>
      </w:tr>
      <w:tr>
        <w:trPr>
          <w:cantSplit/>
        </w:trPr>
        <w:tc>
          <w:tcPr>
            <w:tcW w:type="dxa" w:w="1944"/>
            <w:tcMar>
              <w:top w:w="90" w:type="dxa"/>
              <w:start w:w="110" w:type="dxa"/>
              <w:bottom w:w="90" w:type="dxa"/>
              <w:end w:w="110" w:type="dxa"/>
            </w:tcMar>
            <w:shd w:fill="EAF0F6"/>
          </w:tcPr>
          <w:p>
            <w:r>
              <w:rPr>
                <w:b/>
                <w:color w:val="16324F"/>
                <w:sz w:val="17"/>
              </w:rPr>
              <w:t>Core warning</w:t>
            </w:r>
          </w:p>
        </w:tc>
        <w:tc>
          <w:tcPr>
            <w:tcW w:type="dxa" w:w="7128"/>
            <w:tcMar>
              <w:top w:w="90" w:type="dxa"/>
              <w:start w:w="110" w:type="dxa"/>
              <w:bottom w:w="90" w:type="dxa"/>
              <w:end w:w="110" w:type="dxa"/>
            </w:tcMar>
          </w:tcPr>
          <w:p>
            <w:pPr>
              <w:pStyle w:val="PolicyNote"/>
            </w:pPr>
            <w:r>
              <w:t>Do not detach the £36,000 entitlement from the fiscal, inflation, service and bank-stability gates</w:t>
            </w:r>
          </w:p>
        </w:tc>
      </w:tr>
    </w:tbl>
    <w:p>
      <w:pPr>
        <w:spacing w:before="560"/>
        <w:jc w:val="center"/>
      </w:pPr>
      <w:r>
        <w:rPr>
          <w:b/>
          <w:color w:val="006D77"/>
          <w:sz w:val="24"/>
        </w:rPr>
        <w:t>A shared promise requires shared evidence, shared safeguards and shared accountability.</w:t>
      </w:r>
    </w:p>
    <w:sectPr w:rsidR="00FC693F" w:rsidRPr="0006063C" w:rsidSect="00034616">
      <w:headerReference w:type="default" r:id="rId9"/>
      <w:footerReference w:type="default" r:id="rId10"/>
      <w:pgSz w:w="12240" w:h="15840"/>
      <w:pgMar w:top="1123" w:right="1181" w:bottom="1123" w:left="1181"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0"/>
        <w:sz w:val="17"/>
      </w:rPr>
      <w:t xml:space="preserve">Page </w:t>
    </w:r>
    <w:r>
      <w:rPr>
        <w:color w:val="5B687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color w:val="006D77"/>
        <w:sz w:val="15"/>
      </w:rPr>
      <w:t>UNIVERSAL PAYMENT &amp; SHARED GROWTH  |  FINANCIAL POLICY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8" w:lineRule="auto"/>
      <w:jc w:val="both"/>
    </w:pPr>
    <w:rPr>
      <w:rFonts w:ascii="Calibri" w:hAnsi="Calibri"/>
      <w:color w:val="1E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16324F"/>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6D77"/>
      <w:sz w:val="27"/>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16324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6324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i/>
      <w:iCs/>
      <w:color w:val="5B6870"/>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8" w:lineRule="auto"/>
      <w:ind w:left="461" w:hanging="259"/>
      <w:contextualSpacing/>
    </w:pPr>
    <w:rPr>
      <w:rFonts w:ascii="Calibri" w:hAnsi="Calibri"/>
      <w:color w:val="1E29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8" w:lineRule="auto"/>
      <w:ind w:left="461" w:hanging="259"/>
      <w:contextualSpacing/>
    </w:pPr>
    <w:rPr>
      <w:rFonts w:ascii="Calibri" w:hAnsi="Calibri"/>
      <w:color w:val="1E2933"/>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Caption">
    <w:name w:val="Policy Caption"/>
    <w:pPr>
      <w:keepNext w:val="0"/>
      <w:spacing w:before="60" w:after="160"/>
    </w:pPr>
    <w:rPr>
      <w:rFonts w:ascii="Calibri" w:hAnsi="Calibri"/>
      <w:i/>
      <w:color w:val="5B6870"/>
      <w:sz w:val="17"/>
    </w:rPr>
  </w:style>
  <w:style w:type="paragraph" w:customStyle="1" w:styleId="PolicyNote">
    <w:name w:val="Policy Note"/>
    <w:pPr>
      <w:spacing w:after="80" w:line="276" w:lineRule="auto"/>
    </w:pPr>
    <w:rPr>
      <w:rFonts w:ascii="Calibri" w:hAnsi="Calibri"/>
      <w:color w:val="1E2933"/>
      <w:sz w:val="18"/>
    </w:rPr>
  </w:style>
  <w:style w:type="paragraph" w:customStyle="1" w:styleId="Reference">
    <w:name w:val="Reference"/>
    <w:pPr>
      <w:spacing w:after="80" w:line="259" w:lineRule="auto"/>
      <w:ind w:left="360" w:hanging="360"/>
    </w:pPr>
    <w:rPr>
      <w:rFonts w:ascii="Calibri" w:hAnsi="Calibri"/>
      <w:color w:val="1E2933"/>
      <w:sz w:val="16"/>
    </w:rPr>
  </w:style>
  <w:style w:type="paragraph" w:customStyle="1" w:styleId="ManualNumber">
    <w:name w:val="Manual Number"/>
    <w:pPr>
      <w:spacing w:after="80" w:line="278" w:lineRule="auto"/>
      <w:ind w:left="490" w:hanging="346"/>
    </w:pPr>
    <w:rPr>
      <w:rFonts w:ascii="Calibri" w:hAnsi="Calibri"/>
      <w:color w:val="1E29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ao.org.uk/wp-content/uploads/2024/07/dwp-customer-service.pdf"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www.gov.uk/government/statistics/uk-charity-tax-relief-statistics/uk-charity-tax-relief-statistics-commentary" TargetMode="External"/><Relationship Id="rId15" Type="http://schemas.openxmlformats.org/officeDocument/2006/relationships/image" Target="media/image3.png"/><Relationship Id="rId16" Type="http://schemas.openxmlformats.org/officeDocument/2006/relationships/hyperlink" Target="https://doi.org/10.1257/pol.20200143" TargetMode="External"/><Relationship Id="rId17" Type="http://schemas.openxmlformats.org/officeDocument/2006/relationships/hyperlink" Target="https://stm.fi/en/-/perustulokokeilun-tulokset-tyollisyysvaikutukset-vahaisia-toimeentulo-ja-psyykkinen-terveys-koettiin-paremmaksi" TargetMode="External"/><Relationship Id="rId18" Type="http://schemas.openxmlformats.org/officeDocument/2006/relationships/hyperlink" Target="https://pfd.alaska.gov/docs/permanentfunddividendlibraries/annual-reports/2024-pfd-annual-report.pdf" TargetMode="External"/><Relationship Id="rId19" Type="http://schemas.openxmlformats.org/officeDocument/2006/relationships/hyperlink" Target="https://doi.org/10.1257/pol.20190299" TargetMode="External"/><Relationship Id="rId20" Type="http://schemas.openxmlformats.org/officeDocument/2006/relationships/hyperlink" Target="https://www.treasury.govt.nz/sites/default/files/2026-05/est26-v9-socdev.pdf" TargetMode="External"/><Relationship Id="rId21" Type="http://schemas.openxmlformats.org/officeDocument/2006/relationships/hyperlink" Target="https://www.msd.govt.nz/documents/about-msd-and-our-work/publications-resources/statistics/benefit/2026/quarterly-benefit-fact-sheets-nzs-and-vp-tables-june-2026.xlsx" TargetMode="External"/><Relationship Id="rId22" Type="http://schemas.openxmlformats.org/officeDocument/2006/relationships/hyperlink" Target="https://www.unicef.org/media/70456/file/IRN-case-study-2020.pdf" TargetMode="External"/><Relationship Id="rId23" Type="http://schemas.openxmlformats.org/officeDocument/2006/relationships/hyperlink" Target="https://doi.org/10.1016/j.jdeveco.2018.08.005" TargetMode="External"/><Relationship Id="rId24" Type="http://schemas.openxmlformats.org/officeDocument/2006/relationships/hyperlink" Target="https://www.nao.org.uk/wp-content/uploads/2024/02/progress-in-implementing-universal-credit-report.pdf" TargetMode="External"/><Relationship Id="rId25" Type="http://schemas.openxmlformats.org/officeDocument/2006/relationships/hyperlink" Target="https://doi.org/10.1257/aer.20141346" TargetMode="External"/><Relationship Id="rId26" Type="http://schemas.openxmlformats.org/officeDocument/2006/relationships/hyperlink" Target="https://doi.org/10.1162/rest_a_01296" TargetMode="External"/><Relationship Id="rId27" Type="http://schemas.openxmlformats.org/officeDocument/2006/relationships/hyperlink" Target="https://ipcid.org/sites/default/files/pub/en/IPCWorkingPaper71.pdf" TargetMode="External"/><Relationship Id="rId28" Type="http://schemas.openxmlformats.org/officeDocument/2006/relationships/hyperlink" Target="https://documents1.worldbank.org/curated/en/578141568314136393/pdf/Brazil-Second-Bolsa-Familia-Project.pdf" TargetMode="External"/><Relationship Id="rId29" Type="http://schemas.openxmlformats.org/officeDocument/2006/relationships/hyperlink" Target="https://documents1.worldbank.org/curated/en/745871522848339938/pdf/Public-Sector-Savings-and-Revenue-from-Identification-Systems-Opportunities-and-Constraints.pdf" TargetMode="External"/><Relationship Id="rId30" Type="http://schemas.openxmlformats.org/officeDocument/2006/relationships/hyperlink" Target="https://www.riigikontroll.ee/en/audits/information-technology-investments-and-costs-public-institutions" TargetMode="External"/><Relationship Id="rId31" Type="http://schemas.openxmlformats.org/officeDocument/2006/relationships/hyperlink" Target="https://www.gov.uk/government/publications/statement-of-strategic-priorities-to-the-national-wealth-fund/statement-of-strategic-priorities-to-the-national-wealth-fund-html" TargetMode="External"/><Relationship Id="rId32" Type="http://schemas.openxmlformats.org/officeDocument/2006/relationships/hyperlink" Target="https://www.kfw.de/About-KfW/Newsroom/Latest-News/Pressemitteilungen-Details_886400.html" TargetMode="External"/><Relationship Id="rId33" Type="http://schemas.openxmlformats.org/officeDocument/2006/relationships/hyperlink" Target="https://doi.org/10.1596/978-1-4648-1577-5" TargetMode="External"/><Relationship Id="rId34" Type="http://schemas.openxmlformats.org/officeDocument/2006/relationships/hyperlink" Target="https://doi.org/10.1093/qje/qjae038" TargetMode="External"/><Relationship Id="rId35" Type="http://schemas.openxmlformats.org/officeDocument/2006/relationships/hyperlink" Target="https://doi.org/10.1093/qje/qjag042" TargetMode="External"/><Relationship Id="rId36" Type="http://schemas.openxmlformats.org/officeDocument/2006/relationships/hyperlink" Target="https://doi.org/10.1093/qje/qju032" TargetMode="External"/><Relationship Id="rId37" Type="http://schemas.openxmlformats.org/officeDocument/2006/relationships/hyperlink" Target="https://doi.org/10.1038/s41586-024-07500-2" TargetMode="External"/><Relationship Id="rId38" Type="http://schemas.openxmlformats.org/officeDocument/2006/relationships/hyperlink" Target="https://doi.org/10.1287/mnsc.2021.4291" TargetMode="External"/><Relationship Id="rId39" Type="http://schemas.openxmlformats.org/officeDocument/2006/relationships/hyperlink" Target="https://www.hse.gov.uk/statistics/dayslost.htm" TargetMode="External"/><Relationship Id="rId40" Type="http://schemas.openxmlformats.org/officeDocument/2006/relationships/image" Target="media/image4.png"/><Relationship Id="rId41" Type="http://schemas.openxmlformats.org/officeDocument/2006/relationships/image" Target="media/image5.png"/><Relationship Id="rId42" Type="http://schemas.openxmlformats.org/officeDocument/2006/relationships/hyperlink" Target="https://www.gov.uk/government/publications/march-2026-economic-and-fiscal-outlook" TargetMode="External"/><Relationship Id="rId43" Type="http://schemas.openxmlformats.org/officeDocument/2006/relationships/image" Target="media/image6.png"/><Relationship Id="rId44" Type="http://schemas.openxmlformats.org/officeDocument/2006/relationships/hyperlink" Target="https://www.ifswf.org/santiago-principles" TargetMode="External"/><Relationship Id="rId45" Type="http://schemas.openxmlformats.org/officeDocument/2006/relationships/hyperlink" Target="https://www.ons.gov.uk/economy/governmentpublicsectorandtaxes/publicsectorfinance/methodologies/publicsectornetfinancialliabilitiespsnfl" TargetMode="External"/><Relationship Id="rId46" Type="http://schemas.openxmlformats.org/officeDocument/2006/relationships/hyperlink" Target="https://www.fca.org.uk/data/cash-savings-profitability-analysis" TargetMode="External"/><Relationship Id="rId47" Type="http://schemas.openxmlformats.org/officeDocument/2006/relationships/hyperlink" Target="https://www.bankofengland.co.uk/-/media/boe/files/prudential-regulation/supervisory-statement/2025/ss2415-october-2025" TargetMode="External"/><Relationship Id="rId48" Type="http://schemas.openxmlformats.org/officeDocument/2006/relationships/hyperlink" Target="https://www.ons.gov.uk/peoplepopulationandcommunity/populationandmigration/populationestimates/bulletins/annualmidyearpopulationestimates/mid2024" TargetMode="External"/><Relationship Id="rId49" Type="http://schemas.openxmlformats.org/officeDocument/2006/relationships/hyperlink" Target="https://www.gov.uk/government/statistics/personal-incomes-statistics-for-the-tax-year-2023-to-2024" TargetMode="External"/><Relationship Id="rId50" Type="http://schemas.openxmlformats.org/officeDocument/2006/relationships/hyperlink" Target="https://www.gov.uk/income-tax/taxfree-and-taxable-state-benefits" TargetMode="External"/><Relationship Id="rId51" Type="http://schemas.openxmlformats.org/officeDocument/2006/relationships/hyperlink" Target="https://www.gov.uk/income-tax-rates" TargetMode="External"/><Relationship Id="rId52" Type="http://schemas.openxmlformats.org/officeDocument/2006/relationships/hyperlink" Target="https://www.gov.uk/scottish-income-tax" TargetMode="External"/><Relationship Id="rId53" Type="http://schemas.openxmlformats.org/officeDocument/2006/relationships/hyperlink" Target="https://www.gov.uk/government/publications/benefit-expenditure-and-caseload-tables-2026" TargetMode="External"/><Relationship Id="rId54" Type="http://schemas.openxmlformats.org/officeDocument/2006/relationships/hyperlink" Target="https://fiscalcommission.scot/19-march-2026-social-security-uprating/" TargetMode="External"/><Relationship Id="rId55" Type="http://schemas.openxmlformats.org/officeDocument/2006/relationships/hyperlink" Target="https://www.gov.uk/government/statistics/adult-social-care-finance-report-england-2024-to-2025/adult-social-care-finance-report-england-2024-to-2025" TargetMode="External"/><Relationship Id="rId56" Type="http://schemas.openxmlformats.org/officeDocument/2006/relationships/hyperlink" Target="https://www.bankofengland.co.uk/boeapps/database/_iadb-fromshowcolumns.asp?csv.x=yes&amp;Datefrom=01/Jul/2026&amp;Dateto=31/Jul/2026&amp;SeriesCodes=LPMVRWI%2CLPMBF88%2CLPMZ3TH%2CLPMZ3TN%2CLPMB4F6%2CLPMVVHR&amp;CSVF=TN&amp;UsingCodes=Y&amp;VPD=Y&amp;VFD=N" TargetMode="External"/><Relationship Id="rId57" Type="http://schemas.openxmlformats.org/officeDocument/2006/relationships/hyperlink" Target="https://www.bankofengland.co.uk/statistics/effective-interest-rates/2026/july-2026" TargetMode="External"/><Relationship Id="rId58" Type="http://schemas.openxmlformats.org/officeDocument/2006/relationships/hyperlink" Target="https://www.ons.gov.uk/economy/grossdomesticproductgdp/timeseries/i69p/ukea" TargetMode="External"/><Relationship Id="rId59" Type="http://schemas.openxmlformats.org/officeDocument/2006/relationships/hyperlink" Target="https://www.gov.uk/government/statistics/income-tax-liabilities-statistics-tax-year-2022-to-2023-to-tax-year-2025-to-2026/bulletin-commentary" TargetMode="External"/><Relationship Id="rId60" Type="http://schemas.openxmlformats.org/officeDocument/2006/relationships/hyperlink" Target="https://www.gov.uk/government/statistics/tax-reliefs/tax-relief-statistics-january-2026" TargetMode="External"/><Relationship Id="rId61" Type="http://schemas.openxmlformats.org/officeDocument/2006/relationships/hyperlink" Target="https://www.gov.uk/apply-tax-free-interest-on-savings" TargetMode="External"/><Relationship Id="rId62" Type="http://schemas.openxmlformats.org/officeDocument/2006/relationships/hyperlink" Target="https://www.fca.org.uk/publication/financial-lives/fls-2024-cash-savings.pdf" TargetMode="External"/><Relationship Id="rId63" Type="http://schemas.openxmlformats.org/officeDocument/2006/relationships/hyperlink" Target="https://www.legislation.gov.uk/ukpga/1998/42/schedule/1" TargetMode="External"/><Relationship Id="rId64" Type="http://schemas.openxmlformats.org/officeDocument/2006/relationships/hyperlink" Target="https://www.legislation.gov.uk/ukpga/2010/15/section/149" TargetMode="External"/><Relationship Id="rId65" Type="http://schemas.openxmlformats.org/officeDocument/2006/relationships/hyperlink" Target="https://www.gov.uk/government/publications/national-savings-and-investments-annual-report-and-accounts-2024-to-2025/national-savings-and-investments-annual-report-and-accounts-and-product-accounts-2024-25-html" TargetMode="External"/><Relationship Id="rId66" Type="http://schemas.openxmlformats.org/officeDocument/2006/relationships/hyperlink" Target="https://assets.publishing.service.gov.uk/media/69a6c580b9bd90e63a2521f2/Debt_Management_Report-2026-27.pdf" TargetMode="External"/><Relationship Id="rId67" Type="http://schemas.openxmlformats.org/officeDocument/2006/relationships/hyperlink" Target="https://www.gov.uk/government/publications/national-wealth-fund-framework-document/framework-document-national-wealth-fund" TargetMode="External"/><Relationship Id="rId68" Type="http://schemas.openxmlformats.org/officeDocument/2006/relationships/hyperlink" Target="https://www.gov.uk/government/publications/homes-england-and-national-housing-bank-investment-prospectus-2026/homes-england-and-national-housing-bank-investment-prospectus-2026-html" TargetMode="External"/><Relationship Id="rId69" Type="http://schemas.openxmlformats.org/officeDocument/2006/relationships/hyperlink" Target="https://audit.scot/uploads/2025-05/nr_250515_scottish_national_investment_bank_pr.pdf" TargetMode="External"/><Relationship Id="rId70" Type="http://schemas.openxmlformats.org/officeDocument/2006/relationships/hyperlink" Target="https://protected.fscs.org.uk/what-we-cover/banks-building-societies-credit-unions/deposit-limit/" TargetMode="External"/><Relationship Id="rId71" Type="http://schemas.openxmlformats.org/officeDocument/2006/relationships/hyperlink" Target="https://www.gov.uk/government/publications/2025-mortgage-guarantee-scheme/2025-mortgage-guarantee-scheme-rules-accessible" TargetMode="External"/><Relationship Id="rId72" Type="http://schemas.openxmlformats.org/officeDocument/2006/relationships/hyperlink" Target="https://www.gov.uk/government/publications/mortgage-charter/mortgage-charter" TargetMode="External"/><Relationship Id="rId73" Type="http://schemas.openxmlformats.org/officeDocument/2006/relationships/hyperlink" Target="https://www.bankofengland.co.uk/markets/sonia-benchmark" TargetMode="External"/><Relationship Id="rId74" Type="http://schemas.openxmlformats.org/officeDocument/2006/relationships/hyperlink" Target="https://www.ons.gov.uk/economy/governmentpublicsectorandtaxes/publicsectorfinance/articles/lookingaheaddevelopmentsinpublicsectorfinancestatistics/2025" TargetMode="External"/><Relationship Id="rId75" Type="http://schemas.openxmlformats.org/officeDocument/2006/relationships/hyperlink" Target="https://www.ons.gov.uk/economy/governmentpublicsectorandtaxes/publicsectorfinance/articles/lookingaheaddevelopmentsinpublicsectorfinancestatistics/2026" TargetMode="External"/><Relationship Id="rId76" Type="http://schemas.openxmlformats.org/officeDocument/2006/relationships/hyperlink" Target="https://www.ons.gov.uk/economy/governmentpublicsectorandtaxes/publicsectorfinance/articles/developmentofpublicsectorfinancestatistics/august2025" TargetMode="External"/><Relationship Id="rId77" Type="http://schemas.openxmlformats.org/officeDocument/2006/relationships/hyperlink" Target="https://www.gov.uk/government/publications/debt-management-report-2026-27/debt-management-report-2026-27" TargetMode="External"/><Relationship Id="rId78" Type="http://schemas.openxmlformats.org/officeDocument/2006/relationships/hyperlink" Target="https://assets.publishing.service.gov.uk/media/69e0b17861d2e8e9b9e42e13/Managing_Public_Money_-_April_2026.pdf" TargetMode="External"/><Relationship Id="rId79" Type="http://schemas.openxmlformats.org/officeDocument/2006/relationships/hyperlink" Target="https://www.dmo.gov.uk/responsibilities/green-gilts/" TargetMode="External"/><Relationship Id="rId80" Type="http://schemas.openxmlformats.org/officeDocument/2006/relationships/hyperlink" Target="https://www.legislation.gov.uk/ukpga/2011/4/contents/enacted" TargetMode="External"/><Relationship Id="rId81" Type="http://schemas.openxmlformats.org/officeDocument/2006/relationships/hyperlink" Target="https://lordsbusiness.parliament.uk/Document/89565/Pdf?subType=Standard" TargetMode="External"/><Relationship Id="rId82" Type="http://schemas.openxmlformats.org/officeDocument/2006/relationships/hyperlink" Target="https://www.ons.gov.uk/economy/grossdomesticproductgdp/bulletins/gdpfirstquarterlyestimateuk/apriltojune2026" TargetMode="External"/><Relationship Id="rId83" Type="http://schemas.openxmlformats.org/officeDocument/2006/relationships/hyperlink" Target="https://assets.publishing.service.gov.uk/media/69a6d7b62e1f4fbda4252208/economic-and-fiscal-outlook-march-2026-web-accessible.pdf" TargetMode="External"/><Relationship Id="rId84" Type="http://schemas.openxmlformats.org/officeDocument/2006/relationships/hyperlink" Target="https://www.bankofengland.co.uk/monetary-policy-report/2026/july-2026" TargetMode="External"/><Relationship Id="rId85" Type="http://schemas.openxmlformats.org/officeDocument/2006/relationships/hyperlink" Target="https://articles.obr.uk/dynamic-scoring-of-policy-measures-in-obr-forecasts/" TargetMode="External"/><Relationship Id="rId86" Type="http://schemas.openxmlformats.org/officeDocument/2006/relationships/hyperlink" Target="https://www.gov.scot/publications/economic-impact-minimum-income-guarantee-analysis-economic-theory-policy-evidence/pages/6/" TargetMode="External"/><Relationship Id="rId87" Type="http://schemas.openxmlformats.org/officeDocument/2006/relationships/hyperlink" Target="https://obr.uk/docs/dlm_uploads/OBR_Economic_and_fiscal_outlook_Oct_2024.pdf" TargetMode="External"/><Relationship Id="rId88" Type="http://schemas.openxmlformats.org/officeDocument/2006/relationships/hyperlink" Target="https://www.gov.uk/government/publications/dwp-annual-report-and-accounts-2025-to-2026" TargetMode="External"/><Relationship Id="rId89" Type="http://schemas.openxmlformats.org/officeDocument/2006/relationships/hyperlink" Target="https://publications.parliament.uk/pa/cm5804/cmselect/cmpubacc/79/report.html" TargetMode="External"/><Relationship Id="rId90" Type="http://schemas.openxmlformats.org/officeDocument/2006/relationships/hyperlink" Target="https://assets.publishing.service.gov.uk/media/6a4f66c406e7256c331df8a2/HMRC_annual_report_and_accounts_2025_to_2026.pdf" TargetMode="External"/><Relationship Id="rId91" Type="http://schemas.openxmlformats.org/officeDocument/2006/relationships/hyperlink" Target="https://www.gov.uk/government/publications/changes-to-charity-tax-rules/legislation-to-introduce-changes-to-charity-tax-rules" TargetMode="External"/><Relationship Id="rId92" Type="http://schemas.openxmlformats.org/officeDocument/2006/relationships/hyperlink" Target="https://www.gov.uk/guidance/bank-and-building-society-interest-returns" TargetMode="External"/><Relationship Id="rId93" Type="http://schemas.openxmlformats.org/officeDocument/2006/relationships/hyperlink" Target="https://www.legislation.gov.uk/ukpga/1983/44/part/II" TargetMode="External"/><Relationship Id="rId94" Type="http://schemas.openxmlformats.org/officeDocument/2006/relationships/hyperlink" Target="https://www.legislation.gov.uk/ukpga/2011/4/section/17" TargetMode="External"/><Relationship Id="rId95" Type="http://schemas.openxmlformats.org/officeDocument/2006/relationships/hyperlink" Target="https://committees.parliament.uk/committee/127/public-accounts-committee/role/" TargetMode="External"/><Relationship Id="rId96" Type="http://schemas.openxmlformats.org/officeDocument/2006/relationships/hyperlink" Target="https://www.nao.org.uk/about-us/" TargetMode="External"/><Relationship Id="rId97" Type="http://schemas.openxmlformats.org/officeDocument/2006/relationships/hyperlink" Target="https://guidance.data.gov.uk/get_data/api_documentation/" TargetMode="External"/><Relationship Id="rId98" Type="http://schemas.openxmlformats.org/officeDocument/2006/relationships/hyperlink" Target="https://www.gov.uk/government/publications/open-standards-for-government/open-contracting-data-standard-profile" TargetMode="External"/><Relationship Id="rId99" Type="http://schemas.openxmlformats.org/officeDocument/2006/relationships/hyperlink" Target="https://www.nationalarchives.gov.uk/doc/open-government-licence/version/3/" TargetMode="External"/><Relationship Id="rId100" Type="http://schemas.openxmlformats.org/officeDocument/2006/relationships/hyperlink" Target="https://code.statisticsauthority.gov.uk/" TargetMode="External"/><Relationship Id="rId101" Type="http://schemas.openxmlformats.org/officeDocument/2006/relationships/hyperlink" Target="https://osr.statisticsauthority.gov.uk/accredited-official-statistics/" TargetMode="External"/><Relationship Id="rId102" Type="http://schemas.openxmlformats.org/officeDocument/2006/relationships/hyperlink" Target="https://www.legislation.gov.uk/ukpga/2005/11/section/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Universal Payment and Shared Growth Financial Policy</dc:title>
  <dc:subject>UK financial policy framework for lifelong income security, administrative simplification and shared public investment</dc:subject>
  <dc:creator>AL; AI-assisted source-audited research synthesis</dc:creator>
  <cp:keywords>universal payment, basic income, pensions, benefits, public investment, GDP, productivity, UK</cp:keywords>
  <dc:description>Version 1.0. Framework for serious consideration; not an official forecast.</dc:description>
  <cp:lastModifiedBy/>
  <cp:revision>1</cp:revision>
  <dcterms:created xsi:type="dcterms:W3CDTF">2013-12-23T23:15:00Z</dcterms:created>
  <dcterms:modified xsi:type="dcterms:W3CDTF">2013-12-23T23:15:00Z</dcterms:modified>
  <cp:category/>
</cp:coreProperties>
</file>